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0CFA" w14:textId="77777777" w:rsidR="00E7406A" w:rsidRPr="006F3B5C" w:rsidRDefault="00E7406A">
      <w:pPr>
        <w:pStyle w:val="Heading2"/>
      </w:pPr>
      <w:proofErr w:type="gramStart"/>
      <w:r w:rsidRPr="006F3B5C">
        <w:t>Chapter 2.</w:t>
      </w:r>
      <w:proofErr w:type="gramEnd"/>
      <w:r w:rsidRPr="006F3B5C">
        <w:t xml:space="preserve">  Ratings for Special Purposes</w:t>
      </w:r>
    </w:p>
    <w:p w14:paraId="65E40CFB" w14:textId="37CCD739" w:rsidR="00E7406A" w:rsidRPr="006F3B5C" w:rsidRDefault="00E7406A">
      <w:pPr>
        <w:pStyle w:val="Heading4"/>
      </w:pPr>
      <w:r w:rsidRPr="006F3B5C">
        <w:t xml:space="preserve">1.  Rating Determination for Dependents </w:t>
      </w:r>
      <w:r w:rsidRPr="006F3B5C">
        <w:rPr>
          <w:color w:val="auto"/>
        </w:rPr>
        <w:t>Educational Assistance (DEA) Under 38 U.S.C. Chapter 35</w:t>
      </w:r>
    </w:p>
    <w:p w14:paraId="65E40CFC" w14:textId="77777777" w:rsidR="00E7406A" w:rsidRPr="006F3B5C" w:rsidRDefault="00E7406A">
      <w:pPr>
        <w:pStyle w:val="BlockLine"/>
      </w:pPr>
      <w:r w:rsidRPr="006F3B5C">
        <w:fldChar w:fldCharType="begin"/>
      </w:r>
      <w:r w:rsidRPr="006F3B5C">
        <w:instrText xml:space="preserve"> PRIVATE INFOTYPE="OTHER"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0D0B" w14:textId="77777777" w:rsidTr="0087122C">
        <w:trPr>
          <w:cantSplit/>
        </w:trPr>
        <w:tc>
          <w:tcPr>
            <w:tcW w:w="1728" w:type="dxa"/>
            <w:shd w:val="clear" w:color="auto" w:fill="auto"/>
          </w:tcPr>
          <w:p w14:paraId="65E40CFD" w14:textId="77777777" w:rsidR="00E7406A" w:rsidRPr="006F3B5C" w:rsidRDefault="00E7406A">
            <w:pPr>
              <w:pStyle w:val="Heading5"/>
            </w:pPr>
            <w:r w:rsidRPr="006F3B5C">
              <w:t>Introduction</w:t>
            </w:r>
          </w:p>
        </w:tc>
        <w:tc>
          <w:tcPr>
            <w:tcW w:w="7740" w:type="dxa"/>
            <w:shd w:val="clear" w:color="auto" w:fill="auto"/>
          </w:tcPr>
          <w:p w14:paraId="65E40CFE" w14:textId="77777777" w:rsidR="00E7406A" w:rsidRPr="006F3B5C" w:rsidRDefault="00E7406A" w:rsidP="0087122C">
            <w:pPr>
              <w:pStyle w:val="BlockText"/>
            </w:pPr>
            <w:r w:rsidRPr="006F3B5C">
              <w:t xml:space="preserve">This topic contains information on the rating determination for Dependents Educational Assistance (DEA) under 38 U.S.C. Chapter 35, including </w:t>
            </w:r>
          </w:p>
          <w:p w14:paraId="65E40CFF" w14:textId="77777777" w:rsidR="00E7406A" w:rsidRPr="006F3B5C" w:rsidRDefault="00E7406A" w:rsidP="0087122C">
            <w:pPr>
              <w:pStyle w:val="BlockText"/>
            </w:pPr>
          </w:p>
          <w:p w14:paraId="677896A1" w14:textId="20491E0F" w:rsidR="00FF3BA4" w:rsidRPr="006F3B5C" w:rsidRDefault="00DD59CE">
            <w:pPr>
              <w:pStyle w:val="BulletText1"/>
            </w:pPr>
            <w:hyperlink w:anchor="_a.__What" w:history="1">
              <w:r w:rsidR="00FF3BA4" w:rsidRPr="006F3B5C">
                <w:rPr>
                  <w:rStyle w:val="Hyperlink"/>
                </w:rPr>
                <w:t>what DEA is</w:t>
              </w:r>
            </w:hyperlink>
          </w:p>
          <w:p w14:paraId="1C430D8F" w14:textId="7FA9E7AF" w:rsidR="00E7406A" w:rsidRPr="006F3B5C" w:rsidRDefault="00DD59CE">
            <w:pPr>
              <w:pStyle w:val="BulletText1"/>
            </w:pPr>
            <w:hyperlink w:anchor="_b.__Who" w:history="1">
              <w:r w:rsidR="00FF3BA4" w:rsidRPr="006F3B5C">
                <w:rPr>
                  <w:rStyle w:val="Hyperlink"/>
                </w:rPr>
                <w:t>who may be eligible for DEA</w:t>
              </w:r>
            </w:hyperlink>
          </w:p>
          <w:p w14:paraId="6BC417F9" w14:textId="2A70C17A" w:rsidR="00FF3BA4" w:rsidRPr="006F3B5C" w:rsidRDefault="00DD59CE">
            <w:pPr>
              <w:pStyle w:val="BulletText1"/>
            </w:pPr>
            <w:hyperlink w:anchor="_c.__Definition" w:history="1">
              <w:r w:rsidR="00FF3BA4" w:rsidRPr="006F3B5C">
                <w:rPr>
                  <w:rStyle w:val="Hyperlink"/>
                </w:rPr>
                <w:t xml:space="preserve">definition of </w:t>
              </w:r>
              <w:r w:rsidR="00C53609" w:rsidRPr="006F3B5C">
                <w:rPr>
                  <w:rStyle w:val="Hyperlink"/>
                </w:rPr>
                <w:t>r</w:t>
              </w:r>
              <w:r w:rsidR="00FF3BA4" w:rsidRPr="006F3B5C">
                <w:rPr>
                  <w:rStyle w:val="Hyperlink"/>
                </w:rPr>
                <w:t xml:space="preserve">elationships for </w:t>
              </w:r>
              <w:r w:rsidR="00C53609" w:rsidRPr="006F3B5C">
                <w:rPr>
                  <w:rStyle w:val="Hyperlink"/>
                </w:rPr>
                <w:t>DEA p</w:t>
              </w:r>
              <w:r w:rsidR="00FF3BA4" w:rsidRPr="006F3B5C">
                <w:rPr>
                  <w:rStyle w:val="Hyperlink"/>
                </w:rPr>
                <w:t>urposes</w:t>
              </w:r>
            </w:hyperlink>
          </w:p>
          <w:p w14:paraId="2316F063" w14:textId="6804692D" w:rsidR="00FF3BA4" w:rsidRPr="006F3B5C" w:rsidRDefault="00DD59CE">
            <w:pPr>
              <w:pStyle w:val="BulletText1"/>
            </w:pPr>
            <w:hyperlink w:anchor="_d.__Qualifying" w:history="1">
              <w:r w:rsidR="00C53609" w:rsidRPr="006F3B5C">
                <w:rPr>
                  <w:rStyle w:val="Hyperlink"/>
                </w:rPr>
                <w:t>q</w:t>
              </w:r>
              <w:r w:rsidR="00FF3BA4" w:rsidRPr="006F3B5C">
                <w:rPr>
                  <w:rStyle w:val="Hyperlink"/>
                </w:rPr>
                <w:t xml:space="preserve">ualifying Veteran </w:t>
              </w:r>
              <w:r w:rsidR="00C53609" w:rsidRPr="006F3B5C">
                <w:rPr>
                  <w:rStyle w:val="Hyperlink"/>
                </w:rPr>
                <w:t>for DEA p</w:t>
              </w:r>
              <w:r w:rsidR="00FF3BA4" w:rsidRPr="006F3B5C">
                <w:rPr>
                  <w:rStyle w:val="Hyperlink"/>
                </w:rPr>
                <w:t>urposes</w:t>
              </w:r>
            </w:hyperlink>
          </w:p>
          <w:p w14:paraId="7BF4E2AE" w14:textId="4F5A48AE" w:rsidR="00FF3BA4" w:rsidRPr="006F3B5C" w:rsidRDefault="00DD59CE">
            <w:pPr>
              <w:pStyle w:val="BulletText1"/>
            </w:pPr>
            <w:hyperlink w:anchor="_e.__Qualifying" w:history="1">
              <w:r w:rsidR="00C53609" w:rsidRPr="006F3B5C">
                <w:rPr>
                  <w:rStyle w:val="Hyperlink"/>
                </w:rPr>
                <w:t>q</w:t>
              </w:r>
              <w:r w:rsidR="00FF3BA4" w:rsidRPr="006F3B5C">
                <w:rPr>
                  <w:rStyle w:val="Hyperlink"/>
                </w:rPr>
                <w:t xml:space="preserve">ualifying </w:t>
              </w:r>
              <w:r w:rsidR="00C53609" w:rsidRPr="006F3B5C">
                <w:rPr>
                  <w:rStyle w:val="Hyperlink"/>
                </w:rPr>
                <w:t>s</w:t>
              </w:r>
              <w:r w:rsidR="00FF3BA4" w:rsidRPr="006F3B5C">
                <w:rPr>
                  <w:rStyle w:val="Hyperlink"/>
                </w:rPr>
                <w:t>ervice</w:t>
              </w:r>
              <w:r w:rsidR="00331C3F" w:rsidRPr="006F3B5C">
                <w:rPr>
                  <w:rStyle w:val="Hyperlink"/>
                </w:rPr>
                <w:t xml:space="preserve"> </w:t>
              </w:r>
              <w:r w:rsidR="00FF3BA4" w:rsidRPr="006F3B5C">
                <w:rPr>
                  <w:rStyle w:val="Hyperlink"/>
                </w:rPr>
                <w:t xml:space="preserve">member for </w:t>
              </w:r>
              <w:r w:rsidR="00C53609" w:rsidRPr="006F3B5C">
                <w:rPr>
                  <w:rStyle w:val="Hyperlink"/>
                </w:rPr>
                <w:t xml:space="preserve">DEA </w:t>
              </w:r>
              <w:r w:rsidR="00FF3BA4" w:rsidRPr="006F3B5C">
                <w:rPr>
                  <w:rStyle w:val="Hyperlink"/>
                </w:rPr>
                <w:t>purposes</w:t>
              </w:r>
            </w:hyperlink>
          </w:p>
          <w:p w14:paraId="44B3FEBC" w14:textId="45E3649C" w:rsidR="00FF3BA4" w:rsidRPr="006F3B5C" w:rsidRDefault="00DD59CE">
            <w:pPr>
              <w:pStyle w:val="BulletText1"/>
            </w:pPr>
            <w:hyperlink w:anchor="_f.__Definition:" w:history="1">
              <w:r w:rsidR="00C53609" w:rsidRPr="006F3B5C">
                <w:rPr>
                  <w:rStyle w:val="Hyperlink"/>
                </w:rPr>
                <w:t>d</w:t>
              </w:r>
              <w:r w:rsidR="008914A2" w:rsidRPr="006F3B5C">
                <w:rPr>
                  <w:rStyle w:val="Hyperlink"/>
                </w:rPr>
                <w:t>efinition of a</w:t>
              </w:r>
              <w:r w:rsidR="00FF3BA4" w:rsidRPr="006F3B5C">
                <w:rPr>
                  <w:rStyle w:val="Hyperlink"/>
                </w:rPr>
                <w:t xml:space="preserve"> </w:t>
              </w:r>
              <w:r w:rsidR="00C53609" w:rsidRPr="006F3B5C">
                <w:rPr>
                  <w:rStyle w:val="Hyperlink"/>
                </w:rPr>
                <w:t>t</w:t>
              </w:r>
              <w:r w:rsidR="00FF3BA4" w:rsidRPr="006F3B5C">
                <w:rPr>
                  <w:rStyle w:val="Hyperlink"/>
                </w:rPr>
                <w:t xml:space="preserve">otal </w:t>
              </w:r>
              <w:r w:rsidR="00C53609" w:rsidRPr="006F3B5C">
                <w:rPr>
                  <w:rStyle w:val="Hyperlink"/>
                </w:rPr>
                <w:t>d</w:t>
              </w:r>
              <w:r w:rsidR="00FF3BA4" w:rsidRPr="006F3B5C">
                <w:rPr>
                  <w:rStyle w:val="Hyperlink"/>
                </w:rPr>
                <w:t>isability</w:t>
              </w:r>
            </w:hyperlink>
          </w:p>
          <w:p w14:paraId="0B9C567F" w14:textId="16047DA1" w:rsidR="00FF3BA4" w:rsidRPr="006F3B5C" w:rsidRDefault="00DD59CE">
            <w:pPr>
              <w:pStyle w:val="BulletText1"/>
            </w:pPr>
            <w:hyperlink w:anchor="_g.__Definition:" w:history="1">
              <w:r w:rsidR="00C53609" w:rsidRPr="006F3B5C">
                <w:rPr>
                  <w:rStyle w:val="Hyperlink"/>
                </w:rPr>
                <w:t>d</w:t>
              </w:r>
              <w:r w:rsidR="008914A2" w:rsidRPr="006F3B5C">
                <w:rPr>
                  <w:rStyle w:val="Hyperlink"/>
                </w:rPr>
                <w:t>efinition of a</w:t>
              </w:r>
              <w:r w:rsidR="00C53609" w:rsidRPr="006F3B5C">
                <w:rPr>
                  <w:rStyle w:val="Hyperlink"/>
                </w:rPr>
                <w:t xml:space="preserve"> p</w:t>
              </w:r>
              <w:r w:rsidR="00FF3BA4" w:rsidRPr="006F3B5C">
                <w:rPr>
                  <w:rStyle w:val="Hyperlink"/>
                </w:rPr>
                <w:t xml:space="preserve">ermanent </w:t>
              </w:r>
              <w:r w:rsidR="00C53609" w:rsidRPr="006F3B5C">
                <w:rPr>
                  <w:rStyle w:val="Hyperlink"/>
                </w:rPr>
                <w:t>d</w:t>
              </w:r>
              <w:r w:rsidR="00FF3BA4" w:rsidRPr="006F3B5C">
                <w:rPr>
                  <w:rStyle w:val="Hyperlink"/>
                </w:rPr>
                <w:t>isability</w:t>
              </w:r>
            </w:hyperlink>
          </w:p>
          <w:p w14:paraId="75F05716" w14:textId="3D215EE6" w:rsidR="00FF3BA4" w:rsidRPr="006F3B5C" w:rsidRDefault="00DD59CE" w:rsidP="00FF3BA4">
            <w:pPr>
              <w:pStyle w:val="BulletText1"/>
            </w:pPr>
            <w:hyperlink w:anchor="_h.__Temporary" w:history="1">
              <w:r w:rsidR="00C53609" w:rsidRPr="006F3B5C">
                <w:rPr>
                  <w:rStyle w:val="Hyperlink"/>
                </w:rPr>
                <w:t>t</w:t>
              </w:r>
              <w:r w:rsidR="00FF3BA4" w:rsidRPr="006F3B5C">
                <w:rPr>
                  <w:rStyle w:val="Hyperlink"/>
                </w:rPr>
                <w:t xml:space="preserve">emporary </w:t>
              </w:r>
              <w:r w:rsidR="00C53609" w:rsidRPr="006F3B5C">
                <w:rPr>
                  <w:rStyle w:val="Hyperlink"/>
                </w:rPr>
                <w:t>t</w:t>
              </w:r>
              <w:r w:rsidR="00FF3BA4" w:rsidRPr="006F3B5C">
                <w:rPr>
                  <w:rStyle w:val="Hyperlink"/>
                </w:rPr>
                <w:t xml:space="preserve">otal </w:t>
              </w:r>
              <w:r w:rsidR="00C53609" w:rsidRPr="006F3B5C">
                <w:rPr>
                  <w:rStyle w:val="Hyperlink"/>
                </w:rPr>
                <w:t>r</w:t>
              </w:r>
              <w:r w:rsidR="00FF3BA4" w:rsidRPr="006F3B5C">
                <w:rPr>
                  <w:rStyle w:val="Hyperlink"/>
                </w:rPr>
                <w:t xml:space="preserve">atings and </w:t>
              </w:r>
              <w:r w:rsidR="00C53609" w:rsidRPr="006F3B5C">
                <w:rPr>
                  <w:rStyle w:val="Hyperlink"/>
                </w:rPr>
                <w:t>DEA</w:t>
              </w:r>
            </w:hyperlink>
          </w:p>
          <w:p w14:paraId="71B6BA9B" w14:textId="25C685C1" w:rsidR="00FF3BA4" w:rsidRPr="006F3B5C" w:rsidRDefault="00DD59CE" w:rsidP="00FF3BA4">
            <w:pPr>
              <w:pStyle w:val="BulletText1"/>
            </w:pPr>
            <w:hyperlink w:anchor="_i.__When" w:history="1">
              <w:r w:rsidR="00C53609" w:rsidRPr="006F3B5C">
                <w:rPr>
                  <w:rStyle w:val="Hyperlink"/>
                </w:rPr>
                <w:t xml:space="preserve">when </w:t>
              </w:r>
              <w:r w:rsidR="008914A2" w:rsidRPr="006F3B5C">
                <w:rPr>
                  <w:rStyle w:val="Hyperlink"/>
                </w:rPr>
                <w:t>a permanent and total (</w:t>
              </w:r>
              <w:r w:rsidR="00FF3BA4" w:rsidRPr="006F3B5C">
                <w:rPr>
                  <w:rStyle w:val="Hyperlink"/>
                </w:rPr>
                <w:t>P&amp;T</w:t>
              </w:r>
              <w:r w:rsidR="008914A2" w:rsidRPr="006F3B5C">
                <w:rPr>
                  <w:rStyle w:val="Hyperlink"/>
                </w:rPr>
                <w:t>)</w:t>
              </w:r>
              <w:r w:rsidR="00FF3BA4" w:rsidRPr="006F3B5C">
                <w:rPr>
                  <w:rStyle w:val="Hyperlink"/>
                </w:rPr>
                <w:t xml:space="preserve"> </w:t>
              </w:r>
              <w:r w:rsidR="00C53609" w:rsidRPr="006F3B5C">
                <w:rPr>
                  <w:rStyle w:val="Hyperlink"/>
                </w:rPr>
                <w:t>d</w:t>
              </w:r>
              <w:r w:rsidR="00FF3BA4" w:rsidRPr="006F3B5C">
                <w:rPr>
                  <w:rStyle w:val="Hyperlink"/>
                </w:rPr>
                <w:t xml:space="preserve">isability </w:t>
              </w:r>
              <w:r w:rsidR="00C53609" w:rsidRPr="006F3B5C">
                <w:rPr>
                  <w:rStyle w:val="Hyperlink"/>
                </w:rPr>
                <w:t>e</w:t>
              </w:r>
              <w:r w:rsidR="00FF3BA4" w:rsidRPr="006F3B5C">
                <w:rPr>
                  <w:rStyle w:val="Hyperlink"/>
                </w:rPr>
                <w:t>xists</w:t>
              </w:r>
            </w:hyperlink>
          </w:p>
          <w:p w14:paraId="018E8FC0" w14:textId="0848BD8E" w:rsidR="00FF3BA4" w:rsidRPr="006F3B5C" w:rsidRDefault="00DD59CE" w:rsidP="00FF3BA4">
            <w:pPr>
              <w:pStyle w:val="BulletText1"/>
            </w:pPr>
            <w:hyperlink w:anchor="_j.__Responsibility" w:history="1">
              <w:r w:rsidR="00C53609" w:rsidRPr="006F3B5C">
                <w:rPr>
                  <w:rStyle w:val="Hyperlink"/>
                </w:rPr>
                <w:t>r</w:t>
              </w:r>
              <w:r w:rsidR="00FF3BA4" w:rsidRPr="006F3B5C">
                <w:rPr>
                  <w:rStyle w:val="Hyperlink"/>
                </w:rPr>
                <w:t xml:space="preserve">esponsibility for </w:t>
              </w:r>
              <w:r w:rsidR="00C53609" w:rsidRPr="006F3B5C">
                <w:rPr>
                  <w:rStyle w:val="Hyperlink"/>
                </w:rPr>
                <w:t>d</w:t>
              </w:r>
              <w:r w:rsidR="00FF3BA4" w:rsidRPr="006F3B5C">
                <w:rPr>
                  <w:rStyle w:val="Hyperlink"/>
                </w:rPr>
                <w:t xml:space="preserve">ecision </w:t>
              </w:r>
              <w:r w:rsidR="00C53609" w:rsidRPr="006F3B5C">
                <w:rPr>
                  <w:rStyle w:val="Hyperlink"/>
                </w:rPr>
                <w:t>m</w:t>
              </w:r>
              <w:r w:rsidR="00FF3BA4" w:rsidRPr="006F3B5C">
                <w:rPr>
                  <w:rStyle w:val="Hyperlink"/>
                </w:rPr>
                <w:t>aking</w:t>
              </w:r>
            </w:hyperlink>
          </w:p>
          <w:p w14:paraId="033D2A1B" w14:textId="04D0F175" w:rsidR="00FF3BA4" w:rsidRPr="006F3B5C" w:rsidRDefault="00DD59CE" w:rsidP="00FF3BA4">
            <w:pPr>
              <w:pStyle w:val="BulletText1"/>
            </w:pPr>
            <w:hyperlink w:anchor="_k.__When" w:history="1">
              <w:r w:rsidR="00C53609" w:rsidRPr="006F3B5C">
                <w:rPr>
                  <w:rStyle w:val="Hyperlink"/>
                </w:rPr>
                <w:t>w</w:t>
              </w:r>
              <w:r w:rsidR="00FF3BA4" w:rsidRPr="006F3B5C">
                <w:rPr>
                  <w:rStyle w:val="Hyperlink"/>
                </w:rPr>
                <w:t>hen DEA is a rating issue</w:t>
              </w:r>
            </w:hyperlink>
          </w:p>
          <w:p w14:paraId="4D7978FC" w14:textId="08C08B62" w:rsidR="00FF3BA4" w:rsidRPr="006F3B5C" w:rsidRDefault="00DD59CE" w:rsidP="00FF3BA4">
            <w:pPr>
              <w:pStyle w:val="BulletText1"/>
            </w:pPr>
            <w:hyperlink w:anchor="_l.__Date" w:history="1">
              <w:r w:rsidR="00C53609" w:rsidRPr="006F3B5C">
                <w:rPr>
                  <w:rStyle w:val="Hyperlink"/>
                </w:rPr>
                <w:t>d</w:t>
              </w:r>
              <w:r w:rsidR="00FF3BA4" w:rsidRPr="006F3B5C">
                <w:rPr>
                  <w:rStyle w:val="Hyperlink"/>
                </w:rPr>
                <w:t xml:space="preserve">ate of P&amp;T </w:t>
              </w:r>
              <w:r w:rsidR="00C53609" w:rsidRPr="006F3B5C">
                <w:rPr>
                  <w:rStyle w:val="Hyperlink"/>
                </w:rPr>
                <w:t>d</w:t>
              </w:r>
              <w:r w:rsidR="00FF3BA4" w:rsidRPr="006F3B5C">
                <w:rPr>
                  <w:rStyle w:val="Hyperlink"/>
                </w:rPr>
                <w:t xml:space="preserve">isability – </w:t>
              </w:r>
              <w:r w:rsidR="00C53609" w:rsidRPr="006F3B5C">
                <w:rPr>
                  <w:rStyle w:val="Hyperlink"/>
                </w:rPr>
                <w:t>c</w:t>
              </w:r>
              <w:r w:rsidR="00FF3BA4" w:rsidRPr="006F3B5C">
                <w:rPr>
                  <w:rStyle w:val="Hyperlink"/>
                </w:rPr>
                <w:t xml:space="preserve">laim or </w:t>
              </w:r>
              <w:r w:rsidR="005826D2" w:rsidRPr="006F3B5C">
                <w:rPr>
                  <w:rStyle w:val="Hyperlink"/>
                </w:rPr>
                <w:t>subordinate i</w:t>
              </w:r>
              <w:r w:rsidR="00FF3BA4" w:rsidRPr="006F3B5C">
                <w:rPr>
                  <w:rStyle w:val="Hyperlink"/>
                </w:rPr>
                <w:t>ssue</w:t>
              </w:r>
            </w:hyperlink>
          </w:p>
          <w:p w14:paraId="7425D712" w14:textId="0D5EC7E7" w:rsidR="00FF3BA4" w:rsidRPr="006F3B5C" w:rsidRDefault="00DD59CE" w:rsidP="00FF3BA4">
            <w:pPr>
              <w:pStyle w:val="BulletText1"/>
            </w:pPr>
            <w:hyperlink w:anchor="_m._Date_of" w:history="1">
              <w:r w:rsidR="00C53609" w:rsidRPr="006F3B5C">
                <w:rPr>
                  <w:rStyle w:val="Hyperlink"/>
                </w:rPr>
                <w:t>d</w:t>
              </w:r>
              <w:r w:rsidR="00FF3BA4" w:rsidRPr="006F3B5C">
                <w:rPr>
                  <w:rStyle w:val="Hyperlink"/>
                </w:rPr>
                <w:t xml:space="preserve">ate of P&amp;T </w:t>
              </w:r>
              <w:r w:rsidR="00C53609" w:rsidRPr="006F3B5C">
                <w:rPr>
                  <w:rStyle w:val="Hyperlink"/>
                </w:rPr>
                <w:t>d</w:t>
              </w:r>
              <w:r w:rsidR="00FF3BA4" w:rsidRPr="006F3B5C">
                <w:rPr>
                  <w:rStyle w:val="Hyperlink"/>
                </w:rPr>
                <w:t>isability</w:t>
              </w:r>
              <w:r w:rsidR="00C53609" w:rsidRPr="006F3B5C">
                <w:rPr>
                  <w:rStyle w:val="Hyperlink"/>
                </w:rPr>
                <w:t xml:space="preserve"> – c</w:t>
              </w:r>
              <w:r w:rsidR="00FF3BA4" w:rsidRPr="006F3B5C">
                <w:rPr>
                  <w:rStyle w:val="Hyperlink"/>
                </w:rPr>
                <w:t xml:space="preserve">ancellation of </w:t>
              </w:r>
              <w:r w:rsidR="00C53609" w:rsidRPr="006F3B5C">
                <w:rPr>
                  <w:rStyle w:val="Hyperlink"/>
                </w:rPr>
                <w:t>r</w:t>
              </w:r>
              <w:r w:rsidR="00FF3BA4" w:rsidRPr="006F3B5C">
                <w:rPr>
                  <w:rStyle w:val="Hyperlink"/>
                </w:rPr>
                <w:t xml:space="preserve">eview </w:t>
              </w:r>
              <w:r w:rsidR="00C53609" w:rsidRPr="006F3B5C">
                <w:rPr>
                  <w:rStyle w:val="Hyperlink"/>
                </w:rPr>
                <w:t>e</w:t>
              </w:r>
              <w:r w:rsidR="00FF3BA4" w:rsidRPr="006F3B5C">
                <w:rPr>
                  <w:rStyle w:val="Hyperlink"/>
                </w:rPr>
                <w:t>xamination</w:t>
              </w:r>
            </w:hyperlink>
            <w:r w:rsidR="008914A2" w:rsidRPr="006F3B5C">
              <w:t>, and</w:t>
            </w:r>
          </w:p>
          <w:p w14:paraId="65E40D0A" w14:textId="244DD1E5" w:rsidR="00FF3BA4" w:rsidRPr="006F3B5C" w:rsidRDefault="00DD59CE" w:rsidP="00FF3BA4">
            <w:pPr>
              <w:pStyle w:val="BulletText1"/>
            </w:pPr>
            <w:hyperlink w:anchor="_n.__Regaining" w:history="1">
              <w:r w:rsidR="008914A2" w:rsidRPr="006F3B5C">
                <w:rPr>
                  <w:rStyle w:val="Hyperlink"/>
                </w:rPr>
                <w:t>r</w:t>
              </w:r>
              <w:r w:rsidR="00FF3BA4" w:rsidRPr="006F3B5C">
                <w:rPr>
                  <w:rStyle w:val="Hyperlink"/>
                </w:rPr>
                <w:t xml:space="preserve">egaining </w:t>
              </w:r>
              <w:r w:rsidR="008914A2" w:rsidRPr="006F3B5C">
                <w:rPr>
                  <w:rStyle w:val="Hyperlink"/>
                </w:rPr>
                <w:t>e</w:t>
              </w:r>
              <w:r w:rsidR="00FF3BA4" w:rsidRPr="006F3B5C">
                <w:rPr>
                  <w:rStyle w:val="Hyperlink"/>
                </w:rPr>
                <w:t>ntitlement to DEA</w:t>
              </w:r>
            </w:hyperlink>
          </w:p>
        </w:tc>
      </w:tr>
    </w:tbl>
    <w:p w14:paraId="65E40D0C" w14:textId="77777777" w:rsidR="00E7406A" w:rsidRPr="006F3B5C"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0D0F" w14:textId="77777777" w:rsidTr="0087122C">
        <w:trPr>
          <w:cantSplit/>
        </w:trPr>
        <w:tc>
          <w:tcPr>
            <w:tcW w:w="1728" w:type="dxa"/>
            <w:shd w:val="clear" w:color="auto" w:fill="auto"/>
          </w:tcPr>
          <w:p w14:paraId="65E40D0D" w14:textId="77777777" w:rsidR="00E7406A" w:rsidRPr="006F3B5C" w:rsidRDefault="00E7406A">
            <w:pPr>
              <w:pStyle w:val="Heading5"/>
            </w:pPr>
            <w:r w:rsidRPr="006F3B5C">
              <w:t>Change Date</w:t>
            </w:r>
          </w:p>
        </w:tc>
        <w:tc>
          <w:tcPr>
            <w:tcW w:w="7740" w:type="dxa"/>
            <w:shd w:val="clear" w:color="auto" w:fill="auto"/>
          </w:tcPr>
          <w:p w14:paraId="65E40D0E" w14:textId="226EE5B8" w:rsidR="00E7406A" w:rsidRPr="006F3B5C" w:rsidRDefault="00DD59CE" w:rsidP="0087122C">
            <w:pPr>
              <w:pStyle w:val="BlockText"/>
            </w:pPr>
            <w:r w:rsidRPr="006F3B5C">
              <w:t>January 20, 2014</w:t>
            </w:r>
          </w:p>
        </w:tc>
      </w:tr>
    </w:tbl>
    <w:p w14:paraId="43682C36" w14:textId="485C09B6" w:rsidR="008D01CE" w:rsidRPr="006F3B5C" w:rsidRDefault="00D76FF0" w:rsidP="004A5AD0">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8D01CE" w:rsidRPr="006F3B5C" w14:paraId="00F47F6D" w14:textId="77777777" w:rsidTr="008D01CE">
        <w:tc>
          <w:tcPr>
            <w:tcW w:w="1728" w:type="dxa"/>
            <w:shd w:val="clear" w:color="auto" w:fill="auto"/>
          </w:tcPr>
          <w:p w14:paraId="57078D5B" w14:textId="5E07F7DA" w:rsidR="008D01CE" w:rsidRPr="006F3B5C" w:rsidRDefault="00FF3BA4" w:rsidP="00FF3BA4">
            <w:pPr>
              <w:pStyle w:val="Heading5"/>
            </w:pPr>
            <w:bookmarkStart w:id="0" w:name="_a.__What"/>
            <w:bookmarkEnd w:id="0"/>
            <w:proofErr w:type="gramStart"/>
            <w:r w:rsidRPr="006F3B5C">
              <w:t xml:space="preserve">a.  </w:t>
            </w:r>
            <w:r w:rsidR="008D01CE" w:rsidRPr="006F3B5C">
              <w:t>What</w:t>
            </w:r>
            <w:proofErr w:type="gramEnd"/>
            <w:r w:rsidR="008D01CE" w:rsidRPr="006F3B5C">
              <w:t xml:space="preserve"> D</w:t>
            </w:r>
            <w:r w:rsidRPr="006F3B5C">
              <w:t>EA</w:t>
            </w:r>
            <w:r w:rsidR="008D01CE" w:rsidRPr="006F3B5C">
              <w:t xml:space="preserve"> </w:t>
            </w:r>
            <w:r w:rsidR="00B129B1" w:rsidRPr="006F3B5C">
              <w:t>i</w:t>
            </w:r>
            <w:r w:rsidRPr="006F3B5C">
              <w:t>s</w:t>
            </w:r>
          </w:p>
        </w:tc>
        <w:tc>
          <w:tcPr>
            <w:tcW w:w="7740" w:type="dxa"/>
            <w:shd w:val="clear" w:color="auto" w:fill="auto"/>
          </w:tcPr>
          <w:p w14:paraId="1DB2D873" w14:textId="138AD82C" w:rsidR="008D01CE" w:rsidRPr="006F3B5C" w:rsidRDefault="001E66A9" w:rsidP="008D01CE">
            <w:pPr>
              <w:pStyle w:val="BlockText"/>
            </w:pPr>
            <w:r w:rsidRPr="006F3B5C">
              <w:t>The</w:t>
            </w:r>
            <w:r w:rsidR="008D01CE" w:rsidRPr="006F3B5C">
              <w:t xml:space="preserve"> 38 U.S.C. Chapter 35</w:t>
            </w:r>
            <w:r w:rsidRPr="006F3B5C">
              <w:t xml:space="preserve"> program</w:t>
            </w:r>
            <w:r w:rsidR="00A50476" w:rsidRPr="006F3B5C">
              <w:t xml:space="preserve"> </w:t>
            </w:r>
            <w:r w:rsidR="008D01CE" w:rsidRPr="006F3B5C">
              <w:t>called</w:t>
            </w:r>
            <w:r w:rsidR="005D1475" w:rsidRPr="006F3B5C">
              <w:t>,</w:t>
            </w:r>
            <w:r w:rsidR="008D01CE" w:rsidRPr="006F3B5C">
              <w:t xml:space="preserve"> Dependents Educational Assistance (DEA)</w:t>
            </w:r>
            <w:r w:rsidR="005D1475" w:rsidRPr="006F3B5C">
              <w:t>,</w:t>
            </w:r>
            <w:r w:rsidR="008D01CE" w:rsidRPr="006F3B5C">
              <w:t xml:space="preserve"> is education or special restorative training for eligible </w:t>
            </w:r>
            <w:r w:rsidR="003721D3" w:rsidRPr="006F3B5C">
              <w:t>dependents</w:t>
            </w:r>
            <w:r w:rsidR="008D01CE" w:rsidRPr="006F3B5C">
              <w:t xml:space="preserve"> or survivors of certain</w:t>
            </w:r>
            <w:r w:rsidRPr="006F3B5C">
              <w:t xml:space="preserve"> </w:t>
            </w:r>
            <w:r w:rsidR="008D01CE" w:rsidRPr="006F3B5C">
              <w:t xml:space="preserve">Veterans and service members.  </w:t>
            </w:r>
          </w:p>
          <w:p w14:paraId="712681ED" w14:textId="77777777" w:rsidR="008D01CE" w:rsidRPr="006F3B5C" w:rsidRDefault="008D01CE" w:rsidP="008D01CE">
            <w:pPr>
              <w:pStyle w:val="BlockText"/>
            </w:pPr>
          </w:p>
          <w:p w14:paraId="57C6CEB3" w14:textId="40ACEBE8" w:rsidR="008D01CE" w:rsidRPr="006F3B5C" w:rsidRDefault="008D01CE" w:rsidP="008D01CE">
            <w:pPr>
              <w:pStyle w:val="BlockText"/>
            </w:pPr>
            <w:r w:rsidRPr="006F3B5C">
              <w:rPr>
                <w:b/>
                <w:i/>
              </w:rPr>
              <w:t>Reference</w:t>
            </w:r>
            <w:r w:rsidRPr="006F3B5C">
              <w:t xml:space="preserve">: For more information on DEA, see </w:t>
            </w:r>
            <w:hyperlink r:id="rId12" w:anchor="36" w:history="1">
              <w:r w:rsidRPr="006F3B5C">
                <w:rPr>
                  <w:rStyle w:val="Hyperlink"/>
                </w:rPr>
                <w:t>38 CFR Part 21</w:t>
              </w:r>
            </w:hyperlink>
            <w:r w:rsidRPr="006F3B5C">
              <w:t xml:space="preserve">, Subpart C. </w:t>
            </w:r>
          </w:p>
        </w:tc>
      </w:tr>
    </w:tbl>
    <w:p w14:paraId="635C9CE5" w14:textId="77777777" w:rsidR="00532CE2" w:rsidRPr="006F3B5C" w:rsidRDefault="00532CE2" w:rsidP="008D01CE">
      <w:pPr>
        <w:pStyle w:val="BlockLine"/>
      </w:pPr>
    </w:p>
    <w:tbl>
      <w:tblPr>
        <w:tblW w:w="0" w:type="auto"/>
        <w:tblLayout w:type="fixed"/>
        <w:tblLook w:val="0000" w:firstRow="0" w:lastRow="0" w:firstColumn="0" w:lastColumn="0" w:noHBand="0" w:noVBand="0"/>
      </w:tblPr>
      <w:tblGrid>
        <w:gridCol w:w="1728"/>
        <w:gridCol w:w="7740"/>
      </w:tblGrid>
      <w:tr w:rsidR="00532CE2" w:rsidRPr="006F3B5C" w14:paraId="430686FB" w14:textId="77777777" w:rsidTr="00532CE2">
        <w:trPr>
          <w:trHeight w:val="1404"/>
        </w:trPr>
        <w:tc>
          <w:tcPr>
            <w:tcW w:w="1728" w:type="dxa"/>
            <w:shd w:val="clear" w:color="auto" w:fill="auto"/>
          </w:tcPr>
          <w:p w14:paraId="6FC429D3" w14:textId="523A02B9" w:rsidR="00532CE2" w:rsidRPr="006F3B5C" w:rsidRDefault="00FF3BA4" w:rsidP="00FF3BA4">
            <w:pPr>
              <w:pStyle w:val="Heading5"/>
            </w:pPr>
            <w:bookmarkStart w:id="1" w:name="_b.__Who"/>
            <w:bookmarkEnd w:id="1"/>
            <w:proofErr w:type="gramStart"/>
            <w:r w:rsidRPr="006F3B5C">
              <w:t xml:space="preserve">b.  </w:t>
            </w:r>
            <w:r w:rsidR="00532CE2" w:rsidRPr="006F3B5C">
              <w:t>Who</w:t>
            </w:r>
            <w:proofErr w:type="gramEnd"/>
            <w:r w:rsidR="00532CE2" w:rsidRPr="006F3B5C">
              <w:t xml:space="preserve"> may be Eligible for </w:t>
            </w:r>
            <w:r w:rsidRPr="006F3B5C">
              <w:t>DEA</w:t>
            </w:r>
            <w:r w:rsidR="00532CE2" w:rsidRPr="006F3B5C">
              <w:t xml:space="preserve"> </w:t>
            </w:r>
          </w:p>
        </w:tc>
        <w:tc>
          <w:tcPr>
            <w:tcW w:w="7740" w:type="dxa"/>
            <w:shd w:val="clear" w:color="auto" w:fill="auto"/>
          </w:tcPr>
          <w:p w14:paraId="63E88430" w14:textId="50B0C629" w:rsidR="00532CE2" w:rsidRPr="006F3B5C" w:rsidRDefault="00532CE2" w:rsidP="00532CE2">
            <w:pPr>
              <w:pStyle w:val="BlockText"/>
            </w:pPr>
            <w:r w:rsidRPr="006F3B5C">
              <w:t>D</w:t>
            </w:r>
            <w:r w:rsidR="005D1475" w:rsidRPr="006F3B5C">
              <w:t xml:space="preserve">EA </w:t>
            </w:r>
            <w:r w:rsidRPr="006F3B5C">
              <w:t xml:space="preserve">may be awarded to </w:t>
            </w:r>
            <w:r w:rsidR="001F3886" w:rsidRPr="006F3B5C">
              <w:t xml:space="preserve">a </w:t>
            </w:r>
            <w:r w:rsidRPr="006F3B5C">
              <w:t xml:space="preserve">Veteran’s </w:t>
            </w:r>
            <w:r w:rsidR="001F3886" w:rsidRPr="006F3B5C">
              <w:t>(</w:t>
            </w:r>
            <w:r w:rsidRPr="006F3B5C">
              <w:t xml:space="preserve">or </w:t>
            </w:r>
            <w:r w:rsidR="001F3886" w:rsidRPr="006F3B5C">
              <w:t>s</w:t>
            </w:r>
            <w:r w:rsidRPr="006F3B5C">
              <w:t>ervice</w:t>
            </w:r>
            <w:r w:rsidR="004263F8" w:rsidRPr="006F3B5C">
              <w:t xml:space="preserve"> </w:t>
            </w:r>
            <w:r w:rsidRPr="006F3B5C">
              <w:t>member’s</w:t>
            </w:r>
            <w:r w:rsidR="001F3886" w:rsidRPr="006F3B5C">
              <w:t>)</w:t>
            </w:r>
          </w:p>
          <w:p w14:paraId="6A24166D" w14:textId="4719A06A" w:rsidR="00532CE2" w:rsidRPr="006F3B5C" w:rsidRDefault="00532CE2" w:rsidP="00532CE2">
            <w:pPr>
              <w:pStyle w:val="BulletText1"/>
            </w:pPr>
            <w:r w:rsidRPr="006F3B5C">
              <w:t>child</w:t>
            </w:r>
          </w:p>
          <w:p w14:paraId="057D5082" w14:textId="3D2BE15E" w:rsidR="00532CE2" w:rsidRPr="006F3B5C" w:rsidRDefault="00532CE2" w:rsidP="00532CE2">
            <w:pPr>
              <w:pStyle w:val="BulletText1"/>
            </w:pPr>
            <w:r w:rsidRPr="006F3B5C">
              <w:t>spouse, or</w:t>
            </w:r>
          </w:p>
          <w:p w14:paraId="53857C83" w14:textId="5771AB57" w:rsidR="00532CE2" w:rsidRPr="006F3B5C" w:rsidRDefault="00532CE2" w:rsidP="00532CE2">
            <w:pPr>
              <w:pStyle w:val="BulletText1"/>
            </w:pPr>
            <w:r w:rsidRPr="006F3B5C">
              <w:t>surviving spouse</w:t>
            </w:r>
          </w:p>
        </w:tc>
      </w:tr>
    </w:tbl>
    <w:p w14:paraId="26B2BC0A" w14:textId="4E191CFB" w:rsidR="00532CE2" w:rsidRPr="006F3B5C" w:rsidRDefault="00532CE2" w:rsidP="00532CE2">
      <w:pPr>
        <w:pStyle w:val="BlockLine"/>
      </w:pPr>
    </w:p>
    <w:tbl>
      <w:tblPr>
        <w:tblW w:w="0" w:type="auto"/>
        <w:tblLayout w:type="fixed"/>
        <w:tblLook w:val="0000" w:firstRow="0" w:lastRow="0" w:firstColumn="0" w:lastColumn="0" w:noHBand="0" w:noVBand="0"/>
      </w:tblPr>
      <w:tblGrid>
        <w:gridCol w:w="1728"/>
        <w:gridCol w:w="7740"/>
      </w:tblGrid>
      <w:tr w:rsidR="00532CE2" w:rsidRPr="006F3B5C" w14:paraId="3AEC14CB" w14:textId="77777777" w:rsidTr="00532CE2">
        <w:tc>
          <w:tcPr>
            <w:tcW w:w="1728" w:type="dxa"/>
            <w:shd w:val="clear" w:color="auto" w:fill="auto"/>
          </w:tcPr>
          <w:p w14:paraId="5D905F9A" w14:textId="012FA319" w:rsidR="00532CE2" w:rsidRPr="006F3B5C" w:rsidRDefault="00FF3BA4" w:rsidP="00C53609">
            <w:pPr>
              <w:pStyle w:val="Heading5"/>
            </w:pPr>
            <w:bookmarkStart w:id="2" w:name="_c.__Definition"/>
            <w:bookmarkEnd w:id="2"/>
            <w:proofErr w:type="gramStart"/>
            <w:r w:rsidRPr="006F3B5C">
              <w:t xml:space="preserve">c.  </w:t>
            </w:r>
            <w:r w:rsidR="00532CE2" w:rsidRPr="006F3B5C">
              <w:t>Definition</w:t>
            </w:r>
            <w:proofErr w:type="gramEnd"/>
            <w:r w:rsidR="00532CE2" w:rsidRPr="006F3B5C">
              <w:t xml:space="preserve"> of Relationships for </w:t>
            </w:r>
            <w:r w:rsidR="00C53609" w:rsidRPr="006F3B5C">
              <w:t>DEA</w:t>
            </w:r>
            <w:r w:rsidR="00532CE2" w:rsidRPr="006F3B5C">
              <w:t xml:space="preserve"> Purposes</w:t>
            </w:r>
          </w:p>
        </w:tc>
        <w:tc>
          <w:tcPr>
            <w:tcW w:w="7740" w:type="dxa"/>
            <w:shd w:val="clear" w:color="auto" w:fill="auto"/>
          </w:tcPr>
          <w:p w14:paraId="685999D1" w14:textId="7ED8E4EB" w:rsidR="00532CE2" w:rsidRPr="006F3B5C" w:rsidRDefault="00532CE2" w:rsidP="00532CE2">
            <w:pPr>
              <w:pStyle w:val="BlockText"/>
            </w:pPr>
            <w:r w:rsidRPr="006F3B5C">
              <w:rPr>
                <w:b/>
                <w:i/>
              </w:rPr>
              <w:t>Child</w:t>
            </w:r>
            <w:r w:rsidRPr="006F3B5C">
              <w:t xml:space="preserve"> means son or daughter who meets the requirements of </w:t>
            </w:r>
            <w:hyperlink r:id="rId13" w:history="1">
              <w:r w:rsidRPr="006F3B5C">
                <w:rPr>
                  <w:rStyle w:val="Hyperlink"/>
                </w:rPr>
                <w:t>38 CFR 3.57</w:t>
              </w:r>
            </w:hyperlink>
            <w:r w:rsidRPr="006F3B5C">
              <w:t xml:space="preserve"> except as to age and marital status.</w:t>
            </w:r>
          </w:p>
          <w:p w14:paraId="489D3A8F" w14:textId="77777777" w:rsidR="00532CE2" w:rsidRPr="006F3B5C" w:rsidRDefault="00532CE2" w:rsidP="00532CE2">
            <w:pPr>
              <w:pStyle w:val="BlockText"/>
            </w:pPr>
          </w:p>
          <w:p w14:paraId="395C5D06" w14:textId="7EEAA75F" w:rsidR="00204F6F" w:rsidRPr="006F3B5C" w:rsidRDefault="00532CE2" w:rsidP="00532CE2">
            <w:pPr>
              <w:pStyle w:val="BlockText"/>
            </w:pPr>
            <w:r w:rsidRPr="006F3B5C">
              <w:rPr>
                <w:b/>
                <w:i/>
              </w:rPr>
              <w:t xml:space="preserve">Spouse </w:t>
            </w:r>
            <w:r w:rsidRPr="006F3B5C">
              <w:t xml:space="preserve">means a person whose marriage meets the requirements of </w:t>
            </w:r>
            <w:hyperlink r:id="rId14" w:history="1">
              <w:r w:rsidRPr="006F3B5C">
                <w:rPr>
                  <w:rStyle w:val="Hyperlink"/>
                </w:rPr>
                <w:t>38 CFR 3.50</w:t>
              </w:r>
            </w:hyperlink>
            <w:r w:rsidR="00AD4CED" w:rsidRPr="006F3B5C">
              <w:t>.</w:t>
            </w:r>
          </w:p>
          <w:p w14:paraId="14AFE1B2" w14:textId="77777777" w:rsidR="00532CE2" w:rsidRPr="006F3B5C" w:rsidRDefault="00532CE2" w:rsidP="00532CE2">
            <w:pPr>
              <w:pStyle w:val="BlockText"/>
            </w:pPr>
          </w:p>
          <w:p w14:paraId="47225C42" w14:textId="2EA54936" w:rsidR="00532CE2" w:rsidRPr="006F3B5C" w:rsidRDefault="00532CE2" w:rsidP="00532CE2">
            <w:pPr>
              <w:pStyle w:val="BlockText"/>
            </w:pPr>
            <w:r w:rsidRPr="006F3B5C">
              <w:rPr>
                <w:b/>
                <w:i/>
              </w:rPr>
              <w:t>Surviving Spouse</w:t>
            </w:r>
            <w:r w:rsidRPr="006F3B5C">
              <w:t xml:space="preserve"> means a person whose marriage meets the requirements of </w:t>
            </w:r>
            <w:hyperlink r:id="rId15" w:history="1">
              <w:r w:rsidRPr="006F3B5C">
                <w:rPr>
                  <w:rStyle w:val="Hyperlink"/>
                </w:rPr>
                <w:t>38 CFR 3.50(b)</w:t>
              </w:r>
            </w:hyperlink>
            <w:r w:rsidRPr="006F3B5C">
              <w:t xml:space="preserve"> or </w:t>
            </w:r>
            <w:hyperlink r:id="rId16" w:history="1">
              <w:r w:rsidRPr="006F3B5C">
                <w:rPr>
                  <w:rStyle w:val="Hyperlink"/>
                </w:rPr>
                <w:t>38 CFR 3.52</w:t>
              </w:r>
            </w:hyperlink>
            <w:r w:rsidRPr="006F3B5C">
              <w:t>.</w:t>
            </w:r>
          </w:p>
          <w:p w14:paraId="43C93B20" w14:textId="77777777" w:rsidR="00532CE2" w:rsidRPr="006F3B5C" w:rsidRDefault="00532CE2" w:rsidP="00532CE2">
            <w:pPr>
              <w:pStyle w:val="BlockText"/>
            </w:pPr>
          </w:p>
          <w:p w14:paraId="5FC0D574" w14:textId="53011DA8" w:rsidR="000875A7" w:rsidRPr="006F3B5C" w:rsidRDefault="0070404C" w:rsidP="000875A7">
            <w:pPr>
              <w:pStyle w:val="BlockText"/>
            </w:pPr>
            <w:r w:rsidRPr="006F3B5C">
              <w:rPr>
                <w:b/>
                <w:i/>
              </w:rPr>
              <w:t>Exception</w:t>
            </w:r>
            <w:r w:rsidRPr="006F3B5C">
              <w:t xml:space="preserve">: </w:t>
            </w:r>
            <w:r w:rsidR="00204F6F" w:rsidRPr="006F3B5C">
              <w:t xml:space="preserve">A change is currently underway to </w:t>
            </w:r>
            <w:hyperlink r:id="rId17" w:history="1">
              <w:r w:rsidR="00204F6F" w:rsidRPr="006F3B5C">
                <w:rPr>
                  <w:rStyle w:val="Hyperlink"/>
                </w:rPr>
                <w:t>38 CFR 3.50</w:t>
              </w:r>
            </w:hyperlink>
            <w:r w:rsidRPr="006F3B5C">
              <w:t xml:space="preserve"> to address legal changes on reco</w:t>
            </w:r>
            <w:r w:rsidR="00AD4CED" w:rsidRPr="006F3B5C">
              <w:t>gnition of same sex marriage.</w:t>
            </w:r>
          </w:p>
          <w:p w14:paraId="6DCDDED9" w14:textId="77777777" w:rsidR="000875A7" w:rsidRPr="006F3B5C" w:rsidRDefault="000875A7" w:rsidP="000875A7">
            <w:pPr>
              <w:pStyle w:val="BlockText"/>
              <w:rPr>
                <w:rStyle w:val="Hyperlink"/>
                <w:color w:val="auto"/>
                <w:u w:val="none"/>
              </w:rPr>
            </w:pPr>
          </w:p>
          <w:p w14:paraId="06B077AE" w14:textId="3EC94892" w:rsidR="000875A7" w:rsidRPr="006F3B5C" w:rsidRDefault="000875A7" w:rsidP="000875A7">
            <w:pPr>
              <w:pStyle w:val="BlockText"/>
            </w:pPr>
            <w:r w:rsidRPr="006F3B5C">
              <w:rPr>
                <w:rStyle w:val="Hyperlink"/>
                <w:b/>
                <w:i/>
                <w:color w:val="auto"/>
                <w:u w:val="none"/>
              </w:rPr>
              <w:t>Reference</w:t>
            </w:r>
            <w:r w:rsidRPr="006F3B5C">
              <w:rPr>
                <w:rStyle w:val="Hyperlink"/>
                <w:color w:val="auto"/>
                <w:u w:val="none"/>
              </w:rPr>
              <w:t xml:space="preserve">:  For more information on claims involving same sex marriage, see </w:t>
            </w:r>
            <w:hyperlink r:id="rId18" w:history="1">
              <w:r w:rsidR="00204F6F" w:rsidRPr="006F3B5C">
                <w:rPr>
                  <w:rStyle w:val="Hyperlink"/>
                </w:rPr>
                <w:t>VBA letter 20-14-08</w:t>
              </w:r>
            </w:hyperlink>
            <w:r w:rsidR="00AD4CED" w:rsidRPr="006F3B5C">
              <w:t>.</w:t>
            </w:r>
          </w:p>
        </w:tc>
      </w:tr>
    </w:tbl>
    <w:p w14:paraId="1CCF3879" w14:textId="77777777" w:rsidR="00427411" w:rsidRPr="006F3B5C" w:rsidRDefault="00427411" w:rsidP="00427411">
      <w:pPr>
        <w:pStyle w:val="BlockLine"/>
      </w:pPr>
    </w:p>
    <w:tbl>
      <w:tblPr>
        <w:tblW w:w="0" w:type="auto"/>
        <w:tblLayout w:type="fixed"/>
        <w:tblLook w:val="0000" w:firstRow="0" w:lastRow="0" w:firstColumn="0" w:lastColumn="0" w:noHBand="0" w:noVBand="0"/>
      </w:tblPr>
      <w:tblGrid>
        <w:gridCol w:w="1728"/>
        <w:gridCol w:w="7740"/>
      </w:tblGrid>
      <w:tr w:rsidR="00E10DA9" w:rsidRPr="006F3B5C" w14:paraId="49557FF0" w14:textId="77777777" w:rsidTr="00AD4CED">
        <w:trPr>
          <w:trHeight w:val="3303"/>
        </w:trPr>
        <w:tc>
          <w:tcPr>
            <w:tcW w:w="1728" w:type="dxa"/>
            <w:shd w:val="clear" w:color="auto" w:fill="auto"/>
          </w:tcPr>
          <w:p w14:paraId="4F4FFFAC" w14:textId="4A65B5DD" w:rsidR="00E10DA9" w:rsidRPr="006F3B5C" w:rsidRDefault="00FF3BA4" w:rsidP="00C53609">
            <w:pPr>
              <w:pStyle w:val="Heading5"/>
            </w:pPr>
            <w:bookmarkStart w:id="3" w:name="_d.__Qualifying"/>
            <w:bookmarkEnd w:id="3"/>
            <w:proofErr w:type="gramStart"/>
            <w:r w:rsidRPr="006F3B5C">
              <w:t xml:space="preserve">d.  </w:t>
            </w:r>
            <w:r w:rsidR="001E66A9" w:rsidRPr="006F3B5C">
              <w:t>Qualifying</w:t>
            </w:r>
            <w:proofErr w:type="gramEnd"/>
            <w:r w:rsidR="001E66A9" w:rsidRPr="006F3B5C">
              <w:t xml:space="preserve"> Veteran for </w:t>
            </w:r>
            <w:r w:rsidR="00C53609" w:rsidRPr="006F3B5C">
              <w:t xml:space="preserve">DEA </w:t>
            </w:r>
            <w:r w:rsidR="001E66A9" w:rsidRPr="006F3B5C">
              <w:t>Purposes</w:t>
            </w:r>
          </w:p>
        </w:tc>
        <w:tc>
          <w:tcPr>
            <w:tcW w:w="7740" w:type="dxa"/>
            <w:shd w:val="clear" w:color="auto" w:fill="auto"/>
          </w:tcPr>
          <w:p w14:paraId="05F03648" w14:textId="4AF1E606" w:rsidR="00E10DA9" w:rsidRPr="006F3B5C" w:rsidRDefault="00E10DA9" w:rsidP="00B23B08">
            <w:pPr>
              <w:pStyle w:val="BlockText"/>
              <w:rPr>
                <w:b/>
                <w:i/>
              </w:rPr>
            </w:pPr>
            <w:r w:rsidRPr="006F3B5C">
              <w:t xml:space="preserve">For there to be basic eligibility based on </w:t>
            </w:r>
            <w:r w:rsidR="00B23B08" w:rsidRPr="006F3B5C">
              <w:t>the service of</w:t>
            </w:r>
            <w:r w:rsidRPr="006F3B5C">
              <w:t xml:space="preserve"> </w:t>
            </w:r>
            <w:r w:rsidR="00B23B08" w:rsidRPr="006F3B5C">
              <w:t xml:space="preserve">a </w:t>
            </w:r>
            <w:r w:rsidRPr="006F3B5C">
              <w:t>Veteran</w:t>
            </w:r>
            <w:r w:rsidR="00B23B08" w:rsidRPr="006F3B5C">
              <w:t xml:space="preserve"> </w:t>
            </w:r>
            <w:r w:rsidR="001E66A9" w:rsidRPr="006F3B5C">
              <w:t xml:space="preserve">there must be </w:t>
            </w:r>
            <w:r w:rsidR="00B23B08" w:rsidRPr="006F3B5C">
              <w:rPr>
                <w:i/>
              </w:rPr>
              <w:t>either</w:t>
            </w:r>
          </w:p>
          <w:p w14:paraId="6B5F1DF4" w14:textId="0C7EC8FA" w:rsidR="00B23B08" w:rsidRPr="006F3B5C" w:rsidRDefault="00331C3F" w:rsidP="00B23B08">
            <w:pPr>
              <w:pStyle w:val="BulletText1"/>
            </w:pPr>
            <w:r w:rsidRPr="006F3B5C">
              <w:t xml:space="preserve">an </w:t>
            </w:r>
            <w:r w:rsidR="00B23B08" w:rsidRPr="006F3B5C">
              <w:t xml:space="preserve">other than </w:t>
            </w:r>
            <w:r w:rsidR="000B4475" w:rsidRPr="006F3B5C">
              <w:t>dis</w:t>
            </w:r>
            <w:r w:rsidR="00B23B08" w:rsidRPr="006F3B5C">
              <w:t xml:space="preserve">honorable discharge, </w:t>
            </w:r>
            <w:r w:rsidR="00B23B08" w:rsidRPr="006F3B5C">
              <w:rPr>
                <w:b/>
              </w:rPr>
              <w:t>OR</w:t>
            </w:r>
          </w:p>
          <w:p w14:paraId="3B0D0384" w14:textId="008F0F73" w:rsidR="00B23B08" w:rsidRPr="006F3B5C" w:rsidRDefault="00B23B08" w:rsidP="00B23B08">
            <w:pPr>
              <w:pStyle w:val="BulletText1"/>
            </w:pPr>
            <w:r w:rsidRPr="006F3B5C">
              <w:t xml:space="preserve">death in service </w:t>
            </w:r>
          </w:p>
          <w:p w14:paraId="450C635D" w14:textId="77777777" w:rsidR="00B23B08" w:rsidRPr="006F3B5C" w:rsidRDefault="00B23B08" w:rsidP="00B23B08">
            <w:pPr>
              <w:pStyle w:val="BlockText"/>
            </w:pPr>
          </w:p>
          <w:p w14:paraId="2486E2D2" w14:textId="0A0D13DA" w:rsidR="00B23B08" w:rsidRPr="006F3B5C" w:rsidRDefault="00B23B08" w:rsidP="00B23B08">
            <w:pPr>
              <w:pStyle w:val="BlockText"/>
            </w:pPr>
            <w:r w:rsidRPr="006F3B5C">
              <w:rPr>
                <w:b/>
              </w:rPr>
              <w:t>In addition</w:t>
            </w:r>
            <w:r w:rsidRPr="006F3B5C">
              <w:t xml:space="preserve"> </w:t>
            </w:r>
            <w:r w:rsidR="00385E0D" w:rsidRPr="006F3B5C">
              <w:t xml:space="preserve">there must be </w:t>
            </w:r>
            <w:r w:rsidR="00385E0D" w:rsidRPr="006F3B5C">
              <w:rPr>
                <w:i/>
              </w:rPr>
              <w:t>any</w:t>
            </w:r>
            <w:r w:rsidR="00385E0D" w:rsidRPr="006F3B5C">
              <w:t xml:space="preserve"> of the following</w:t>
            </w:r>
            <w:r w:rsidRPr="006F3B5C">
              <w:t>:</w:t>
            </w:r>
          </w:p>
          <w:p w14:paraId="65B849F5" w14:textId="385B11BB" w:rsidR="00B23B08" w:rsidRPr="006F3B5C" w:rsidRDefault="00B23B08" w:rsidP="00B23B08">
            <w:pPr>
              <w:pStyle w:val="BulletText1"/>
            </w:pPr>
            <w:r w:rsidRPr="006F3B5C">
              <w:t xml:space="preserve">Permanent and </w:t>
            </w:r>
            <w:r w:rsidR="0070404C" w:rsidRPr="006F3B5C">
              <w:t xml:space="preserve">total </w:t>
            </w:r>
            <w:r w:rsidR="001C19D8" w:rsidRPr="006F3B5C">
              <w:t xml:space="preserve">(P&amp;T) </w:t>
            </w:r>
            <w:r w:rsidRPr="006F3B5C">
              <w:t>service-connected</w:t>
            </w:r>
            <w:r w:rsidR="008914A2" w:rsidRPr="006F3B5C">
              <w:t xml:space="preserve"> (SC)</w:t>
            </w:r>
            <w:r w:rsidRPr="006F3B5C">
              <w:t xml:space="preserve"> disability</w:t>
            </w:r>
          </w:p>
          <w:p w14:paraId="3FA831A4" w14:textId="36C9C71C" w:rsidR="00B23B08" w:rsidRPr="006F3B5C" w:rsidRDefault="00B23B08" w:rsidP="00B23B08">
            <w:pPr>
              <w:pStyle w:val="BulletText1"/>
            </w:pPr>
            <w:r w:rsidRPr="006F3B5C">
              <w:t>P</w:t>
            </w:r>
            <w:r w:rsidR="001C19D8" w:rsidRPr="006F3B5C">
              <w:t>&amp;T</w:t>
            </w:r>
            <w:r w:rsidRPr="006F3B5C">
              <w:t xml:space="preserve"> </w:t>
            </w:r>
            <w:r w:rsidR="008914A2" w:rsidRPr="006F3B5C">
              <w:t>SC</w:t>
            </w:r>
            <w:r w:rsidRPr="006F3B5C">
              <w:t xml:space="preserve"> disability on the date of the Veteran’s death, or</w:t>
            </w:r>
          </w:p>
          <w:p w14:paraId="107AF254" w14:textId="6ED76ED1" w:rsidR="00B23B08" w:rsidRPr="006F3B5C" w:rsidRDefault="00B23B08" w:rsidP="00B23B08">
            <w:pPr>
              <w:pStyle w:val="BulletText1"/>
            </w:pPr>
            <w:r w:rsidRPr="006F3B5C">
              <w:t>Death resulting from a</w:t>
            </w:r>
            <w:r w:rsidR="008914A2" w:rsidRPr="006F3B5C">
              <w:t>n</w:t>
            </w:r>
            <w:r w:rsidRPr="006F3B5C">
              <w:t xml:space="preserve"> </w:t>
            </w:r>
            <w:r w:rsidR="008914A2" w:rsidRPr="006F3B5C">
              <w:t>SC</w:t>
            </w:r>
            <w:r w:rsidRPr="006F3B5C">
              <w:t xml:space="preserve"> disability</w:t>
            </w:r>
          </w:p>
          <w:p w14:paraId="57AF32B7" w14:textId="77777777" w:rsidR="00B23B08" w:rsidRPr="006F3B5C" w:rsidRDefault="00B23B08" w:rsidP="00B23B08">
            <w:pPr>
              <w:pStyle w:val="BlockText"/>
            </w:pPr>
          </w:p>
          <w:p w14:paraId="4B103F34" w14:textId="6F6753B3" w:rsidR="00B23B08" w:rsidRPr="006F3B5C" w:rsidRDefault="00B23B08" w:rsidP="00B23B08">
            <w:pPr>
              <w:pStyle w:val="BlockText"/>
            </w:pPr>
            <w:r w:rsidRPr="006F3B5C">
              <w:rPr>
                <w:b/>
                <w:i/>
              </w:rPr>
              <w:t>Note</w:t>
            </w:r>
            <w:r w:rsidRPr="006F3B5C">
              <w:t xml:space="preserve">:  Disability or death under </w:t>
            </w:r>
            <w:hyperlink r:id="rId19" w:history="1">
              <w:r w:rsidRPr="006F3B5C">
                <w:rPr>
                  <w:rStyle w:val="Hyperlink"/>
                </w:rPr>
                <w:t>38 U.S.C. 1151</w:t>
              </w:r>
            </w:hyperlink>
            <w:r w:rsidRPr="006F3B5C">
              <w:t xml:space="preserve"> </w:t>
            </w:r>
            <w:r w:rsidR="00DE3240" w:rsidRPr="006F3B5C">
              <w:t>does not establish eligibility.</w:t>
            </w:r>
          </w:p>
        </w:tc>
      </w:tr>
    </w:tbl>
    <w:p w14:paraId="667FC29D" w14:textId="4E59EDC1" w:rsidR="00236F57" w:rsidRPr="006F3B5C" w:rsidRDefault="00236F57" w:rsidP="00236F57">
      <w:pPr>
        <w:pStyle w:val="BlockLine"/>
      </w:pPr>
    </w:p>
    <w:tbl>
      <w:tblPr>
        <w:tblW w:w="0" w:type="auto"/>
        <w:tblLayout w:type="fixed"/>
        <w:tblLook w:val="0000" w:firstRow="0" w:lastRow="0" w:firstColumn="0" w:lastColumn="0" w:noHBand="0" w:noVBand="0"/>
      </w:tblPr>
      <w:tblGrid>
        <w:gridCol w:w="1728"/>
        <w:gridCol w:w="7740"/>
      </w:tblGrid>
      <w:tr w:rsidR="00236F57" w:rsidRPr="006F3B5C" w14:paraId="24CF4924" w14:textId="77777777" w:rsidTr="00236F57">
        <w:tc>
          <w:tcPr>
            <w:tcW w:w="1728" w:type="dxa"/>
            <w:shd w:val="clear" w:color="auto" w:fill="auto"/>
          </w:tcPr>
          <w:p w14:paraId="11170082" w14:textId="5D9F9D16" w:rsidR="00236F57" w:rsidRPr="006F3B5C" w:rsidRDefault="00FF3BA4" w:rsidP="00C53609">
            <w:pPr>
              <w:pStyle w:val="Heading5"/>
            </w:pPr>
            <w:bookmarkStart w:id="4" w:name="_e.__Qualifying"/>
            <w:bookmarkEnd w:id="4"/>
            <w:proofErr w:type="gramStart"/>
            <w:r w:rsidRPr="006F3B5C">
              <w:t xml:space="preserve">e.  </w:t>
            </w:r>
            <w:r w:rsidR="00236F57" w:rsidRPr="006F3B5C">
              <w:t>Qualifyin</w:t>
            </w:r>
            <w:r w:rsidRPr="006F3B5C">
              <w:t>g</w:t>
            </w:r>
            <w:proofErr w:type="gramEnd"/>
            <w:r w:rsidRPr="006F3B5C">
              <w:t xml:space="preserve"> Service</w:t>
            </w:r>
            <w:r w:rsidR="00331C3F" w:rsidRPr="006F3B5C">
              <w:t xml:space="preserve"> </w:t>
            </w:r>
            <w:r w:rsidRPr="006F3B5C">
              <w:t xml:space="preserve">member for </w:t>
            </w:r>
            <w:r w:rsidR="00C53609" w:rsidRPr="006F3B5C">
              <w:t>DEA</w:t>
            </w:r>
            <w:r w:rsidRPr="006F3B5C">
              <w:t xml:space="preserve"> P</w:t>
            </w:r>
            <w:r w:rsidR="00236F57" w:rsidRPr="006F3B5C">
              <w:t>urposes</w:t>
            </w:r>
          </w:p>
        </w:tc>
        <w:tc>
          <w:tcPr>
            <w:tcW w:w="7740" w:type="dxa"/>
            <w:shd w:val="clear" w:color="auto" w:fill="auto"/>
          </w:tcPr>
          <w:p w14:paraId="196069DB" w14:textId="5770EDBA" w:rsidR="00236F57" w:rsidRPr="006F3B5C" w:rsidRDefault="00236F57" w:rsidP="00236F57">
            <w:pPr>
              <w:pStyle w:val="BlockText"/>
            </w:pPr>
            <w:r w:rsidRPr="006F3B5C">
              <w:t xml:space="preserve">For there to be basic eligibility based on the service of an active duty member of the Armed Forces there must be </w:t>
            </w:r>
            <w:r w:rsidRPr="006F3B5C">
              <w:rPr>
                <w:i/>
              </w:rPr>
              <w:t>either</w:t>
            </w:r>
            <w:r w:rsidRPr="006F3B5C">
              <w:t xml:space="preserve"> of the qualifying </w:t>
            </w:r>
            <w:r w:rsidR="003721D3" w:rsidRPr="006F3B5C">
              <w:t>factors</w:t>
            </w:r>
            <w:r w:rsidRPr="006F3B5C">
              <w:t xml:space="preserve"> listed below: </w:t>
            </w:r>
          </w:p>
          <w:p w14:paraId="4DC0EE2E" w14:textId="77777777" w:rsidR="00236F57" w:rsidRPr="006F3B5C" w:rsidRDefault="00236F57" w:rsidP="00236F57">
            <w:pPr>
              <w:pStyle w:val="BulletText1"/>
            </w:pPr>
            <w:r w:rsidRPr="006F3B5C">
              <w:t>the service member</w:t>
            </w:r>
          </w:p>
          <w:p w14:paraId="7D7E2E54" w14:textId="68FBA991" w:rsidR="00236F57" w:rsidRPr="006F3B5C" w:rsidRDefault="003A5ADE" w:rsidP="00236F57">
            <w:pPr>
              <w:pStyle w:val="BulletText2"/>
            </w:pPr>
            <w:r w:rsidRPr="006F3B5C">
              <w:t>h</w:t>
            </w:r>
            <w:r w:rsidR="00236F57" w:rsidRPr="006F3B5C">
              <w:t xml:space="preserve">as been determined by </w:t>
            </w:r>
            <w:r w:rsidR="0000622C" w:rsidRPr="006F3B5C">
              <w:t>the Department of Veterans Affairs (</w:t>
            </w:r>
            <w:r w:rsidR="00236F57" w:rsidRPr="006F3B5C">
              <w:t>VA</w:t>
            </w:r>
            <w:r w:rsidR="0000622C" w:rsidRPr="006F3B5C">
              <w:t>)</w:t>
            </w:r>
            <w:r w:rsidR="00236F57" w:rsidRPr="006F3B5C">
              <w:t xml:space="preserve"> to have a total disability permanent in nature incurred or aggravated in the line of duty during active military, naval, or air service; </w:t>
            </w:r>
          </w:p>
          <w:p w14:paraId="6CC441A0" w14:textId="77777777" w:rsidR="00236F57" w:rsidRPr="006F3B5C" w:rsidRDefault="00236F57" w:rsidP="00236F57">
            <w:pPr>
              <w:pStyle w:val="BulletText2"/>
            </w:pPr>
            <w:r w:rsidRPr="006F3B5C">
              <w:t>is hospitalized or receiving outpatient medical care, services, or treatment for such disability;</w:t>
            </w:r>
          </w:p>
          <w:p w14:paraId="401693BB" w14:textId="1490ACE3" w:rsidR="00236F57" w:rsidRPr="006F3B5C" w:rsidRDefault="00236F57" w:rsidP="00236F57">
            <w:pPr>
              <w:pStyle w:val="BulletText2"/>
            </w:pPr>
            <w:r w:rsidRPr="006F3B5C">
              <w:t xml:space="preserve">is likely to be discharged or released from such service for such disability; </w:t>
            </w:r>
            <w:r w:rsidR="003A5ADE" w:rsidRPr="006F3B5C">
              <w:t>and</w:t>
            </w:r>
          </w:p>
          <w:p w14:paraId="2EC63ED9" w14:textId="32EACE2A" w:rsidR="00236F57" w:rsidRPr="006F3B5C" w:rsidRDefault="00236F57" w:rsidP="006D562C">
            <w:pPr>
              <w:pStyle w:val="BulletText2"/>
            </w:pPr>
            <w:r w:rsidRPr="006F3B5C">
              <w:t xml:space="preserve">the pursuit of a course of education </w:t>
            </w:r>
            <w:r w:rsidR="003A5ADE" w:rsidRPr="006F3B5C">
              <w:t>for which benefits under 38 U.S.C. chapter 35 are sought by the</w:t>
            </w:r>
            <w:r w:rsidRPr="006F3B5C">
              <w:t xml:space="preserve"> individual's spouse or child occurred after December 22, 2006</w:t>
            </w:r>
            <w:r w:rsidR="003A5ADE" w:rsidRPr="006F3B5C">
              <w:t xml:space="preserve">, </w:t>
            </w:r>
            <w:r w:rsidR="003A5ADE" w:rsidRPr="006F3B5C">
              <w:rPr>
                <w:b/>
              </w:rPr>
              <w:t>OR</w:t>
            </w:r>
          </w:p>
          <w:p w14:paraId="60180B3E" w14:textId="0E90BB70" w:rsidR="00236F57" w:rsidRPr="006F3B5C" w:rsidRDefault="00B23B08" w:rsidP="00236F57">
            <w:pPr>
              <w:pStyle w:val="BulletText1"/>
            </w:pPr>
            <w:r w:rsidRPr="006F3B5C">
              <w:t xml:space="preserve">The service member </w:t>
            </w:r>
            <w:r w:rsidR="003A5ADE" w:rsidRPr="006F3B5C">
              <w:t>currently has one of</w:t>
            </w:r>
            <w:r w:rsidRPr="006F3B5C">
              <w:t xml:space="preserve"> </w:t>
            </w:r>
            <w:r w:rsidR="003A5ADE" w:rsidRPr="006F3B5C">
              <w:t xml:space="preserve">the </w:t>
            </w:r>
            <w:r w:rsidRPr="006F3B5C">
              <w:t>following</w:t>
            </w:r>
            <w:r w:rsidR="003A5ADE" w:rsidRPr="006F3B5C">
              <w:t xml:space="preserve"> statuses</w:t>
            </w:r>
            <w:r w:rsidRPr="006F3B5C">
              <w:t xml:space="preserve"> for a period of more than </w:t>
            </w:r>
            <w:r w:rsidR="00236F57" w:rsidRPr="006F3B5C">
              <w:t>90 days</w:t>
            </w:r>
            <w:r w:rsidRPr="006F3B5C">
              <w:t>:</w:t>
            </w:r>
            <w:r w:rsidR="00236F57" w:rsidRPr="006F3B5C">
              <w:t xml:space="preserve"> </w:t>
            </w:r>
          </w:p>
          <w:p w14:paraId="25EA5C86" w14:textId="77777777" w:rsidR="00236F57" w:rsidRPr="006F3B5C" w:rsidRDefault="00236F57" w:rsidP="00236F57">
            <w:pPr>
              <w:pStyle w:val="BulletText2"/>
            </w:pPr>
            <w:r w:rsidRPr="006F3B5C">
              <w:t xml:space="preserve">missing in action, </w:t>
            </w:r>
          </w:p>
          <w:p w14:paraId="471D4037" w14:textId="0B0AE89F" w:rsidR="00236F57" w:rsidRPr="006F3B5C" w:rsidRDefault="00236F57" w:rsidP="00236F57">
            <w:pPr>
              <w:pStyle w:val="BulletText2"/>
            </w:pPr>
            <w:r w:rsidRPr="006F3B5C">
              <w:t xml:space="preserve">captured in line of duty by a hostile force, </w:t>
            </w:r>
            <w:r w:rsidR="003A5ADE" w:rsidRPr="006F3B5C">
              <w:t>or</w:t>
            </w:r>
            <w:r w:rsidRPr="006F3B5C">
              <w:t xml:space="preserve"> </w:t>
            </w:r>
          </w:p>
          <w:p w14:paraId="3A7B3C91" w14:textId="3AC2E43E" w:rsidR="00236F57" w:rsidRPr="006F3B5C" w:rsidRDefault="00236F57" w:rsidP="00CE45DB">
            <w:pPr>
              <w:pStyle w:val="BulletText2"/>
            </w:pPr>
            <w:proofErr w:type="gramStart"/>
            <w:r w:rsidRPr="006F3B5C">
              <w:t>forcibly</w:t>
            </w:r>
            <w:proofErr w:type="gramEnd"/>
            <w:r w:rsidRPr="006F3B5C">
              <w:t xml:space="preserve"> detained or interned in line of duty by a foreign Government or power.</w:t>
            </w:r>
          </w:p>
        </w:tc>
      </w:tr>
    </w:tbl>
    <w:p w14:paraId="65E40D51" w14:textId="541A3579" w:rsidR="00E7406A" w:rsidRPr="006F3B5C"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0D57" w14:textId="77777777" w:rsidTr="0087122C">
        <w:trPr>
          <w:cantSplit/>
        </w:trPr>
        <w:tc>
          <w:tcPr>
            <w:tcW w:w="1728" w:type="dxa"/>
            <w:shd w:val="clear" w:color="auto" w:fill="auto"/>
          </w:tcPr>
          <w:p w14:paraId="65E40D52" w14:textId="45BE29C5" w:rsidR="00E7406A" w:rsidRPr="006F3B5C" w:rsidRDefault="00E7406A" w:rsidP="00DE3240">
            <w:pPr>
              <w:pStyle w:val="Heading5"/>
            </w:pPr>
            <w:bookmarkStart w:id="5" w:name="_f.__Definition:"/>
            <w:bookmarkEnd w:id="5"/>
            <w:proofErr w:type="gramStart"/>
            <w:r w:rsidRPr="006F3B5C">
              <w:lastRenderedPageBreak/>
              <w:t xml:space="preserve">f. </w:t>
            </w:r>
            <w:r w:rsidR="00DE3240" w:rsidRPr="006F3B5C">
              <w:t xml:space="preserve"> Definition</w:t>
            </w:r>
            <w:proofErr w:type="gramEnd"/>
            <w:r w:rsidR="00DE3240" w:rsidRPr="006F3B5C">
              <w:t>:  Total Disability</w:t>
            </w:r>
          </w:p>
        </w:tc>
        <w:tc>
          <w:tcPr>
            <w:tcW w:w="7740" w:type="dxa"/>
            <w:shd w:val="clear" w:color="auto" w:fill="auto"/>
          </w:tcPr>
          <w:p w14:paraId="65E40D53" w14:textId="326BCCE8" w:rsidR="00E7406A" w:rsidRPr="006F3B5C" w:rsidRDefault="00DE3240" w:rsidP="0087122C">
            <w:pPr>
              <w:pStyle w:val="BlockText"/>
            </w:pPr>
            <w:r w:rsidRPr="006F3B5C">
              <w:rPr>
                <w:b/>
                <w:i/>
              </w:rPr>
              <w:t>T</w:t>
            </w:r>
            <w:r w:rsidR="00E7406A" w:rsidRPr="006F3B5C">
              <w:rPr>
                <w:b/>
                <w:i/>
              </w:rPr>
              <w:t>otal disability</w:t>
            </w:r>
            <w:r w:rsidRPr="006F3B5C">
              <w:t xml:space="preserve"> </w:t>
            </w:r>
            <w:r w:rsidR="00F45377" w:rsidRPr="006F3B5C">
              <w:t xml:space="preserve">for purposes of DEA </w:t>
            </w:r>
            <w:r w:rsidRPr="006F3B5C">
              <w:t xml:space="preserve">means </w:t>
            </w:r>
          </w:p>
          <w:p w14:paraId="1005D9CB" w14:textId="76F0DA4F" w:rsidR="00DE3240" w:rsidRPr="006F3B5C" w:rsidRDefault="00DE3240" w:rsidP="00DE3240">
            <w:pPr>
              <w:pStyle w:val="BulletText1"/>
            </w:pPr>
            <w:r w:rsidRPr="006F3B5C">
              <w:t>Schedular or extraschedular evaluations of 100</w:t>
            </w:r>
            <w:r w:rsidR="00A756D6" w:rsidRPr="006F3B5C">
              <w:t xml:space="preserve"> percent</w:t>
            </w:r>
            <w:r w:rsidRPr="006F3B5C">
              <w:t xml:space="preserve"> under</w:t>
            </w:r>
            <w:r w:rsidR="00F45377" w:rsidRPr="006F3B5C">
              <w:t>,</w:t>
            </w:r>
            <w:r w:rsidRPr="006F3B5C">
              <w:t xml:space="preserve"> or by analogy to</w:t>
            </w:r>
            <w:r w:rsidR="00F45377" w:rsidRPr="006F3B5C">
              <w:t>,</w:t>
            </w:r>
            <w:r w:rsidRPr="006F3B5C">
              <w:t xml:space="preserve"> any diagnostic code in </w:t>
            </w:r>
            <w:r w:rsidR="00331C3F" w:rsidRPr="006F3B5C">
              <w:t xml:space="preserve">38 CFR </w:t>
            </w:r>
            <w:r w:rsidRPr="006F3B5C">
              <w:t xml:space="preserve">Part 4.  </w:t>
            </w:r>
          </w:p>
          <w:p w14:paraId="25F8BA38" w14:textId="2A5EF4B0" w:rsidR="00A756D6" w:rsidRPr="006F3B5C" w:rsidRDefault="00A756D6" w:rsidP="00DE3240">
            <w:pPr>
              <w:pStyle w:val="BulletText1"/>
            </w:pPr>
            <w:r w:rsidRPr="006F3B5C">
              <w:t>A combined evaluation of 100 percent.</w:t>
            </w:r>
          </w:p>
          <w:p w14:paraId="48AA659C" w14:textId="79B572AB" w:rsidR="00E7406A" w:rsidRPr="006F3B5C" w:rsidRDefault="00DE3240" w:rsidP="00CE45DB">
            <w:pPr>
              <w:pStyle w:val="BulletText1"/>
            </w:pPr>
            <w:r w:rsidRPr="006F3B5C">
              <w:t>A total evaluation on the basis of individual unemployability</w:t>
            </w:r>
            <w:r w:rsidR="008914A2" w:rsidRPr="006F3B5C">
              <w:t xml:space="preserve"> (IU)</w:t>
            </w:r>
            <w:r w:rsidRPr="006F3B5C">
              <w:t xml:space="preserve">. </w:t>
            </w:r>
          </w:p>
          <w:p w14:paraId="0E598597" w14:textId="77777777" w:rsidR="00DE3240" w:rsidRPr="006F3B5C" w:rsidRDefault="00DE3240" w:rsidP="00DE3240">
            <w:pPr>
              <w:pStyle w:val="BlockText"/>
            </w:pPr>
          </w:p>
          <w:p w14:paraId="65E40D56" w14:textId="1B66B704" w:rsidR="00DE3240" w:rsidRPr="006F3B5C" w:rsidRDefault="00DE3240" w:rsidP="00DE3240">
            <w:pPr>
              <w:pStyle w:val="BulletText1"/>
              <w:numPr>
                <w:ilvl w:val="0"/>
                <w:numId w:val="0"/>
              </w:numPr>
              <w:ind w:left="173" w:hanging="173"/>
            </w:pPr>
            <w:r w:rsidRPr="006F3B5C">
              <w:rPr>
                <w:b/>
                <w:i/>
              </w:rPr>
              <w:t>Reference</w:t>
            </w:r>
            <w:r w:rsidRPr="006F3B5C">
              <w:t xml:space="preserve">:  For more information on a total disability evaluation for the loss of paired organs or extremities under </w:t>
            </w:r>
            <w:hyperlink r:id="rId20" w:history="1">
              <w:r w:rsidRPr="006F3B5C">
                <w:rPr>
                  <w:rStyle w:val="Hyperlink"/>
                </w:rPr>
                <w:t>38 U.S.C. 1160</w:t>
              </w:r>
            </w:hyperlink>
            <w:r w:rsidRPr="006F3B5C">
              <w:t xml:space="preserve">, see </w:t>
            </w:r>
            <w:hyperlink r:id="rId21" w:anchor="bmk" w:history="1">
              <w:r w:rsidRPr="006F3B5C">
                <w:rPr>
                  <w:rStyle w:val="Hyperlink"/>
                  <w:i/>
                </w:rPr>
                <w:t>Kimberlin v. Brown</w:t>
              </w:r>
            </w:hyperlink>
            <w:r w:rsidRPr="006F3B5C">
              <w:t>, 5 Vet. App. 174 (1993).</w:t>
            </w:r>
          </w:p>
        </w:tc>
      </w:tr>
    </w:tbl>
    <w:p w14:paraId="65E40D58" w14:textId="477654B4" w:rsidR="00E7406A" w:rsidRPr="006F3B5C" w:rsidRDefault="00D76FF0">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DE3240" w:rsidRPr="006F3B5C" w14:paraId="12865BA4" w14:textId="77777777" w:rsidTr="00DE3240">
        <w:tc>
          <w:tcPr>
            <w:tcW w:w="1728" w:type="dxa"/>
            <w:shd w:val="clear" w:color="auto" w:fill="auto"/>
          </w:tcPr>
          <w:p w14:paraId="3CBB3271" w14:textId="4C45F135" w:rsidR="00DE3240" w:rsidRPr="006F3B5C" w:rsidRDefault="00FF3BA4" w:rsidP="00DE3240">
            <w:pPr>
              <w:pStyle w:val="Heading5"/>
            </w:pPr>
            <w:bookmarkStart w:id="6" w:name="_g.__Definition:"/>
            <w:bookmarkEnd w:id="6"/>
            <w:proofErr w:type="gramStart"/>
            <w:r w:rsidRPr="006F3B5C">
              <w:t xml:space="preserve">g.  </w:t>
            </w:r>
            <w:r w:rsidR="00A756D6" w:rsidRPr="006F3B5C">
              <w:t>Definition</w:t>
            </w:r>
            <w:proofErr w:type="gramEnd"/>
            <w:r w:rsidR="00A756D6" w:rsidRPr="006F3B5C">
              <w:t>: Perman</w:t>
            </w:r>
            <w:r w:rsidRPr="006F3B5C">
              <w:t>e</w:t>
            </w:r>
            <w:r w:rsidR="00A756D6" w:rsidRPr="006F3B5C">
              <w:t>nt Disability</w:t>
            </w:r>
          </w:p>
        </w:tc>
        <w:tc>
          <w:tcPr>
            <w:tcW w:w="7740" w:type="dxa"/>
            <w:shd w:val="clear" w:color="auto" w:fill="auto"/>
          </w:tcPr>
          <w:p w14:paraId="748AF92E" w14:textId="39B61E76" w:rsidR="00DE3240" w:rsidRPr="006F3B5C" w:rsidRDefault="00A756D6" w:rsidP="00385E0D">
            <w:pPr>
              <w:pStyle w:val="BlockText"/>
            </w:pPr>
            <w:r w:rsidRPr="006F3B5C">
              <w:rPr>
                <w:b/>
                <w:i/>
              </w:rPr>
              <w:t>Permanent disability</w:t>
            </w:r>
            <w:r w:rsidRPr="006F3B5C">
              <w:t xml:space="preserve"> </w:t>
            </w:r>
            <w:r w:rsidR="00385E0D" w:rsidRPr="006F3B5C">
              <w:t>means</w:t>
            </w:r>
            <w:r w:rsidRPr="006F3B5C">
              <w:t xml:space="preserve"> disabling manifestations reasonably certain to continue throughout the lifetime of the </w:t>
            </w:r>
            <w:r w:rsidR="00385E0D" w:rsidRPr="006F3B5C">
              <w:t>individual</w:t>
            </w:r>
            <w:r w:rsidRPr="006F3B5C">
              <w:t xml:space="preserve">.  </w:t>
            </w:r>
          </w:p>
        </w:tc>
      </w:tr>
    </w:tbl>
    <w:p w14:paraId="0E4536B9" w14:textId="18E90CCB" w:rsidR="00DE3240" w:rsidRPr="006F3B5C" w:rsidRDefault="003A5ADE" w:rsidP="00DE3240">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DE3240" w:rsidRPr="006F3B5C" w14:paraId="529D0BA1" w14:textId="77777777" w:rsidTr="00DE3240">
        <w:tc>
          <w:tcPr>
            <w:tcW w:w="1728" w:type="dxa"/>
            <w:shd w:val="clear" w:color="auto" w:fill="auto"/>
          </w:tcPr>
          <w:p w14:paraId="3762101E" w14:textId="3E5F9B39" w:rsidR="00DE3240" w:rsidRPr="006F3B5C" w:rsidRDefault="00FF3BA4" w:rsidP="00C53609">
            <w:pPr>
              <w:pStyle w:val="Heading5"/>
            </w:pPr>
            <w:bookmarkStart w:id="7" w:name="_h.__Temporary"/>
            <w:bookmarkEnd w:id="7"/>
            <w:proofErr w:type="gramStart"/>
            <w:r w:rsidRPr="006F3B5C">
              <w:t xml:space="preserve">h.  </w:t>
            </w:r>
            <w:r w:rsidR="009A376B" w:rsidRPr="006F3B5C">
              <w:t>Temporary</w:t>
            </w:r>
            <w:proofErr w:type="gramEnd"/>
            <w:r w:rsidR="009A376B" w:rsidRPr="006F3B5C">
              <w:t xml:space="preserve"> Total Ratings </w:t>
            </w:r>
            <w:r w:rsidR="00EB1C33" w:rsidRPr="006F3B5C">
              <w:t xml:space="preserve">and </w:t>
            </w:r>
            <w:r w:rsidR="00C53609" w:rsidRPr="006F3B5C">
              <w:t>DEA</w:t>
            </w:r>
          </w:p>
        </w:tc>
        <w:tc>
          <w:tcPr>
            <w:tcW w:w="7740" w:type="dxa"/>
            <w:shd w:val="clear" w:color="auto" w:fill="auto"/>
          </w:tcPr>
          <w:p w14:paraId="0420661B" w14:textId="3D964DD4" w:rsidR="00DE3240" w:rsidRPr="006F3B5C" w:rsidRDefault="00A756D6" w:rsidP="00DE3240">
            <w:pPr>
              <w:pStyle w:val="BlockText"/>
            </w:pPr>
            <w:r w:rsidRPr="006F3B5C">
              <w:t xml:space="preserve">The mere existence of a total disability evaluation is not sufficient.  There must be </w:t>
            </w:r>
            <w:r w:rsidR="008914A2" w:rsidRPr="006F3B5C">
              <w:t xml:space="preserve">a </w:t>
            </w:r>
            <w:r w:rsidR="001C19D8" w:rsidRPr="006F3B5C">
              <w:t>P&amp;T</w:t>
            </w:r>
            <w:r w:rsidRPr="006F3B5C">
              <w:t xml:space="preserve"> disability.  </w:t>
            </w:r>
            <w:r w:rsidR="00385E0D" w:rsidRPr="006F3B5C">
              <w:t xml:space="preserve">Total </w:t>
            </w:r>
            <w:r w:rsidR="00DE3240" w:rsidRPr="006F3B5C">
              <w:t>evaluations assigned under the following provisions are temporary:</w:t>
            </w:r>
          </w:p>
          <w:p w14:paraId="71C9BA4C" w14:textId="366555A6" w:rsidR="00DE3240" w:rsidRPr="006F3B5C" w:rsidRDefault="00DE3240" w:rsidP="00A756D6">
            <w:pPr>
              <w:pStyle w:val="BulletText1"/>
            </w:pPr>
            <w:r w:rsidRPr="006F3B5C">
              <w:t>Prestabilization (</w:t>
            </w:r>
            <w:hyperlink r:id="rId22" w:history="1">
              <w:r w:rsidRPr="006F3B5C">
                <w:rPr>
                  <w:rStyle w:val="Hyperlink"/>
                </w:rPr>
                <w:t>38 CFR 4.28</w:t>
              </w:r>
            </w:hyperlink>
            <w:r w:rsidRPr="006F3B5C">
              <w:t>)</w:t>
            </w:r>
          </w:p>
          <w:p w14:paraId="4F4EA2EE" w14:textId="68939DD7" w:rsidR="00A756D6" w:rsidRPr="006F3B5C" w:rsidRDefault="00DE3240" w:rsidP="00A756D6">
            <w:pPr>
              <w:pStyle w:val="BulletText1"/>
            </w:pPr>
            <w:r w:rsidRPr="006F3B5C">
              <w:t>Extended VA hospitalization (</w:t>
            </w:r>
            <w:hyperlink r:id="rId23" w:history="1">
              <w:r w:rsidRPr="006F3B5C">
                <w:rPr>
                  <w:rStyle w:val="Hyperlink"/>
                </w:rPr>
                <w:t>38 CFR 4.29</w:t>
              </w:r>
            </w:hyperlink>
            <w:r w:rsidRPr="006F3B5C">
              <w:t xml:space="preserve">) </w:t>
            </w:r>
          </w:p>
          <w:p w14:paraId="17687559" w14:textId="021B2776" w:rsidR="00A756D6" w:rsidRPr="006F3B5C" w:rsidRDefault="00A756D6" w:rsidP="00A756D6">
            <w:pPr>
              <w:pStyle w:val="BulletText1"/>
            </w:pPr>
            <w:r w:rsidRPr="006F3B5C">
              <w:t>Convalescence (</w:t>
            </w:r>
            <w:hyperlink r:id="rId24" w:history="1">
              <w:r w:rsidR="00DE3240" w:rsidRPr="006F3B5C">
                <w:rPr>
                  <w:rStyle w:val="Hyperlink"/>
                </w:rPr>
                <w:t>38 CFR 4.30</w:t>
              </w:r>
            </w:hyperlink>
            <w:r w:rsidRPr="006F3B5C">
              <w:t>)</w:t>
            </w:r>
          </w:p>
          <w:p w14:paraId="42CDD6FF" w14:textId="3D1AD2D2" w:rsidR="00A756D6" w:rsidRPr="006F3B5C" w:rsidRDefault="00A756D6" w:rsidP="00A756D6">
            <w:pPr>
              <w:pStyle w:val="BulletText1"/>
            </w:pPr>
            <w:r w:rsidRPr="006F3B5C">
              <w:t>Any diagnostic code</w:t>
            </w:r>
            <w:r w:rsidR="008914A2" w:rsidRPr="006F3B5C">
              <w:t xml:space="preserve"> (DC)</w:t>
            </w:r>
            <w:r w:rsidRPr="006F3B5C">
              <w:t xml:space="preserve"> that provides for a limited period of total disability for convalescence such as joint replacements or cardiac procedures. </w:t>
            </w:r>
          </w:p>
          <w:p w14:paraId="414EBDE7" w14:textId="04D81F30" w:rsidR="00DE3240" w:rsidRPr="006F3B5C" w:rsidRDefault="00DE3240" w:rsidP="009A376B">
            <w:pPr>
              <w:pStyle w:val="BlockText"/>
            </w:pPr>
          </w:p>
          <w:p w14:paraId="5AC9A3A1" w14:textId="77777777" w:rsidR="00EB1C33" w:rsidRPr="006F3B5C" w:rsidRDefault="009A376B" w:rsidP="003D5CC8">
            <w:pPr>
              <w:pStyle w:val="BlockText"/>
            </w:pPr>
            <w:r w:rsidRPr="006F3B5C">
              <w:rPr>
                <w:b/>
                <w:i/>
              </w:rPr>
              <w:t>Exception</w:t>
            </w:r>
            <w:r w:rsidR="00EB1C33" w:rsidRPr="006F3B5C">
              <w:rPr>
                <w:b/>
                <w:i/>
              </w:rPr>
              <w:t>s</w:t>
            </w:r>
            <w:r w:rsidRPr="006F3B5C">
              <w:t xml:space="preserve">:  </w:t>
            </w:r>
          </w:p>
          <w:p w14:paraId="38D64DEA" w14:textId="7C09E1B2" w:rsidR="00EB1C33" w:rsidRPr="006F3B5C" w:rsidRDefault="009A376B" w:rsidP="00EB1C33">
            <w:pPr>
              <w:pStyle w:val="BulletText1"/>
            </w:pPr>
            <w:r w:rsidRPr="006F3B5C">
              <w:t xml:space="preserve">Veterans who are considered permanently and totally disabled prior to the assignment of a 100 percent evaluation under a DC with a limited duration and future examination will be considered permanently disabled during the total evaluation. </w:t>
            </w:r>
            <w:r w:rsidR="003D5CC8" w:rsidRPr="006F3B5C">
              <w:t xml:space="preserve"> The status of permanency is reconsidered following completion of the examination.  </w:t>
            </w:r>
            <w:r w:rsidRPr="006F3B5C">
              <w:rPr>
                <w:b/>
                <w:i/>
              </w:rPr>
              <w:t>Example</w:t>
            </w:r>
            <w:r w:rsidRPr="006F3B5C">
              <w:t xml:space="preserve">:  A Veteran who is considered permanently and totally disabled because of a heart disorder based on metabolic equivalents (METs) undergoes cardiac transplantation surgery.  The Veteran would continue to be considered permanently and totally disabled for the duration of the one-year convalescent period under </w:t>
            </w:r>
            <w:hyperlink r:id="rId25" w:history="1">
              <w:r w:rsidRPr="006F3B5C">
                <w:rPr>
                  <w:rStyle w:val="Hyperlink"/>
                </w:rPr>
                <w:t>DC 7019</w:t>
              </w:r>
            </w:hyperlink>
            <w:r w:rsidRPr="006F3B5C">
              <w:t xml:space="preserve">.  </w:t>
            </w:r>
          </w:p>
          <w:p w14:paraId="4811169B" w14:textId="50971143" w:rsidR="00385E0D" w:rsidRPr="006F3B5C" w:rsidRDefault="00385E0D" w:rsidP="00385E0D">
            <w:pPr>
              <w:pStyle w:val="BulletText1"/>
            </w:pPr>
            <w:r w:rsidRPr="006F3B5C">
              <w:t xml:space="preserve">A temporary total evaluation on the date of death will establish </w:t>
            </w:r>
            <w:r w:rsidR="008914A2" w:rsidRPr="006F3B5C">
              <w:t xml:space="preserve">a </w:t>
            </w:r>
            <w:r w:rsidRPr="006F3B5C">
              <w:t xml:space="preserve">P&amp;T disability.  Total disability did persist from the date assigned until the end of the person’s life.  </w:t>
            </w:r>
          </w:p>
        </w:tc>
      </w:tr>
    </w:tbl>
    <w:p w14:paraId="6B4079E9" w14:textId="77777777" w:rsidR="00385E0D" w:rsidRPr="006F3B5C" w:rsidRDefault="00385E0D" w:rsidP="00385E0D">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0D60" w14:textId="77777777" w:rsidTr="0087122C">
        <w:trPr>
          <w:cantSplit/>
        </w:trPr>
        <w:tc>
          <w:tcPr>
            <w:tcW w:w="1728" w:type="dxa"/>
            <w:shd w:val="clear" w:color="auto" w:fill="auto"/>
          </w:tcPr>
          <w:p w14:paraId="65E40D59" w14:textId="5942CDE5" w:rsidR="00E7406A" w:rsidRPr="006F3B5C" w:rsidRDefault="00FF3BA4" w:rsidP="00C53609">
            <w:pPr>
              <w:pStyle w:val="Heading5"/>
            </w:pPr>
            <w:bookmarkStart w:id="8" w:name="_i.__When"/>
            <w:bookmarkEnd w:id="8"/>
            <w:proofErr w:type="gramStart"/>
            <w:r w:rsidRPr="006F3B5C">
              <w:lastRenderedPageBreak/>
              <w:t xml:space="preserve">i.  </w:t>
            </w:r>
            <w:r w:rsidR="00C53609" w:rsidRPr="006F3B5C">
              <w:t>W</w:t>
            </w:r>
            <w:r w:rsidRPr="006F3B5C">
              <w:t>hen</w:t>
            </w:r>
            <w:proofErr w:type="gramEnd"/>
            <w:r w:rsidRPr="006F3B5C">
              <w:t xml:space="preserve"> </w:t>
            </w:r>
            <w:r w:rsidR="008914A2" w:rsidRPr="006F3B5C">
              <w:t xml:space="preserve">a </w:t>
            </w:r>
            <w:r w:rsidR="001C19D8" w:rsidRPr="006F3B5C">
              <w:t xml:space="preserve">P&amp;T </w:t>
            </w:r>
            <w:r w:rsidR="00C53609" w:rsidRPr="006F3B5C">
              <w:t>Disability E</w:t>
            </w:r>
            <w:r w:rsidR="00CB72B8" w:rsidRPr="006F3B5C">
              <w:t>xists</w:t>
            </w:r>
          </w:p>
        </w:tc>
        <w:tc>
          <w:tcPr>
            <w:tcW w:w="7740" w:type="dxa"/>
            <w:shd w:val="clear" w:color="auto" w:fill="auto"/>
          </w:tcPr>
          <w:p w14:paraId="65E40D5A" w14:textId="4E7E2AF5" w:rsidR="00E7406A" w:rsidRPr="006F3B5C" w:rsidRDefault="00C53609" w:rsidP="0087122C">
            <w:pPr>
              <w:pStyle w:val="BlockText"/>
            </w:pPr>
            <w:r w:rsidRPr="006F3B5C">
              <w:t>In the following fact patterns</w:t>
            </w:r>
            <w:r w:rsidR="00393FFA" w:rsidRPr="006F3B5C">
              <w:t xml:space="preserve"> </w:t>
            </w:r>
            <w:r w:rsidR="008914A2" w:rsidRPr="006F3B5C">
              <w:t xml:space="preserve">a </w:t>
            </w:r>
            <w:r w:rsidR="001C19D8" w:rsidRPr="006F3B5C">
              <w:t xml:space="preserve">P&amp;T </w:t>
            </w:r>
            <w:r w:rsidR="00CB72B8" w:rsidRPr="006F3B5C">
              <w:t>disability</w:t>
            </w:r>
            <w:r w:rsidRPr="006F3B5C">
              <w:t xml:space="preserve"> exists</w:t>
            </w:r>
          </w:p>
          <w:p w14:paraId="65E40D5B" w14:textId="77777777" w:rsidR="00E7406A" w:rsidRPr="006F3B5C" w:rsidRDefault="00E7406A" w:rsidP="0087122C">
            <w:pPr>
              <w:pStyle w:val="BlockText"/>
            </w:pPr>
          </w:p>
          <w:p w14:paraId="1F478DA9" w14:textId="2FB1DC7D" w:rsidR="00CB72B8" w:rsidRPr="006F3B5C" w:rsidRDefault="00CB72B8" w:rsidP="00CB72B8">
            <w:pPr>
              <w:pStyle w:val="BulletText1"/>
            </w:pPr>
            <w:r w:rsidRPr="006F3B5C">
              <w:t xml:space="preserve">Evidence </w:t>
            </w:r>
            <w:r w:rsidR="002445B6" w:rsidRPr="006F3B5C">
              <w:t xml:space="preserve">at the time of rating </w:t>
            </w:r>
            <w:r w:rsidR="0034689A" w:rsidRPr="006F3B5C">
              <w:t xml:space="preserve">affirmatively </w:t>
            </w:r>
            <w:r w:rsidRPr="006F3B5C">
              <w:t xml:space="preserve">shows that the total disability will continue for the remainder of the </w:t>
            </w:r>
            <w:r w:rsidR="00EB1C33" w:rsidRPr="006F3B5C">
              <w:t xml:space="preserve">person’s </w:t>
            </w:r>
            <w:r w:rsidRPr="006F3B5C">
              <w:t>life</w:t>
            </w:r>
          </w:p>
          <w:p w14:paraId="14312B6F" w14:textId="493AE232" w:rsidR="00CB72B8" w:rsidRPr="006F3B5C" w:rsidRDefault="002445B6" w:rsidP="00CE45DB">
            <w:pPr>
              <w:pStyle w:val="BulletText1"/>
            </w:pPr>
            <w:r w:rsidRPr="006F3B5C">
              <w:t xml:space="preserve">Evidence at the time of rating does not specifically support that the </w:t>
            </w:r>
            <w:r w:rsidR="00393FFA" w:rsidRPr="006F3B5C">
              <w:t xml:space="preserve">total </w:t>
            </w:r>
            <w:r w:rsidRPr="006F3B5C">
              <w:t xml:space="preserve">disability will continue for the remainder of the </w:t>
            </w:r>
            <w:r w:rsidR="00EB1C33" w:rsidRPr="006F3B5C">
              <w:t>person’s</w:t>
            </w:r>
            <w:r w:rsidRPr="006F3B5C">
              <w:t xml:space="preserve"> life but does not show that the condition is likely to improve pursuant to </w:t>
            </w:r>
            <w:hyperlink r:id="rId26" w:history="1">
              <w:r w:rsidRPr="006F3B5C">
                <w:rPr>
                  <w:rStyle w:val="Hyperlink"/>
                </w:rPr>
                <w:t>38 CFR 3.327(b)(2)</w:t>
              </w:r>
            </w:hyperlink>
            <w:r w:rsidRPr="006F3B5C">
              <w:t xml:space="preserve">.  </w:t>
            </w:r>
            <w:r w:rsidR="00CB72B8" w:rsidRPr="006F3B5C">
              <w:t>In such cases</w:t>
            </w:r>
            <w:r w:rsidR="00385E0D" w:rsidRPr="006F3B5C">
              <w:t xml:space="preserve"> a future exam control is inappropriate so </w:t>
            </w:r>
            <w:r w:rsidR="00CB72B8" w:rsidRPr="006F3B5C">
              <w:t>the total disability rating is stati</w:t>
            </w:r>
            <w:r w:rsidR="00EB1C33" w:rsidRPr="006F3B5C">
              <w:t>c; in the absence of reevaluation total disability is likely to continue for the remainder of the person’s life</w:t>
            </w:r>
            <w:r w:rsidR="00CB72B8" w:rsidRPr="006F3B5C">
              <w:t>.</w:t>
            </w:r>
          </w:p>
          <w:p w14:paraId="7F648E51" w14:textId="73A6178C" w:rsidR="00CB72B8" w:rsidRPr="006F3B5C" w:rsidRDefault="00CB72B8">
            <w:pPr>
              <w:pStyle w:val="BulletText1"/>
            </w:pPr>
            <w:r w:rsidRPr="006F3B5C">
              <w:t xml:space="preserve">At or before the time of maturation of a future exam diary </w:t>
            </w:r>
            <w:r w:rsidR="00385E0D" w:rsidRPr="006F3B5C">
              <w:t>pertinent to the continuation of</w:t>
            </w:r>
            <w:r w:rsidRPr="006F3B5C">
              <w:t xml:space="preserve"> total disability</w:t>
            </w:r>
            <w:r w:rsidR="00385E0D" w:rsidRPr="006F3B5C">
              <w:t>,</w:t>
            </w:r>
            <w:r w:rsidRPr="006F3B5C">
              <w:t xml:space="preserve"> the future examination</w:t>
            </w:r>
            <w:r w:rsidR="002445B6" w:rsidRPr="006F3B5C">
              <w:t xml:space="preserve"> control</w:t>
            </w:r>
            <w:r w:rsidRPr="006F3B5C">
              <w:t xml:space="preserve"> is canceled because</w:t>
            </w:r>
          </w:p>
          <w:p w14:paraId="4DBDC994" w14:textId="546C3B90" w:rsidR="00CB72B8" w:rsidRPr="006F3B5C" w:rsidRDefault="00CB72B8" w:rsidP="00CB72B8">
            <w:pPr>
              <w:pStyle w:val="BulletText2"/>
            </w:pPr>
            <w:r w:rsidRPr="006F3B5C">
              <w:t xml:space="preserve">the future exam </w:t>
            </w:r>
            <w:r w:rsidR="002445B6" w:rsidRPr="006F3B5C">
              <w:t xml:space="preserve">control </w:t>
            </w:r>
            <w:r w:rsidRPr="006F3B5C">
              <w:t xml:space="preserve">was </w:t>
            </w:r>
            <w:r w:rsidR="00385E0D" w:rsidRPr="006F3B5C">
              <w:t xml:space="preserve">erroneous under </w:t>
            </w:r>
            <w:hyperlink r:id="rId27" w:history="1">
              <w:r w:rsidR="00385E0D" w:rsidRPr="006F3B5C">
                <w:rPr>
                  <w:rStyle w:val="Hyperlink"/>
                </w:rPr>
                <w:t>38 CFR 3.327(b)(2)</w:t>
              </w:r>
            </w:hyperlink>
            <w:r w:rsidRPr="006F3B5C">
              <w:t>, or</w:t>
            </w:r>
          </w:p>
          <w:p w14:paraId="735E7ADB" w14:textId="39CF9A62" w:rsidR="00CB72B8" w:rsidRPr="006F3B5C" w:rsidRDefault="00CB72B8" w:rsidP="00CB72B8">
            <w:pPr>
              <w:pStyle w:val="BulletText2"/>
            </w:pPr>
            <w:proofErr w:type="gramStart"/>
            <w:r w:rsidRPr="006F3B5C">
              <w:t>evidence</w:t>
            </w:r>
            <w:proofErr w:type="gramEnd"/>
            <w:r w:rsidRPr="006F3B5C">
              <w:t xml:space="preserve"> is received that changes the prior assessment that </w:t>
            </w:r>
            <w:r w:rsidR="002445B6" w:rsidRPr="006F3B5C">
              <w:t xml:space="preserve">the condition was likely to </w:t>
            </w:r>
            <w:r w:rsidRPr="006F3B5C">
              <w:t>improve</w:t>
            </w:r>
            <w:r w:rsidR="002445B6" w:rsidRPr="006F3B5C">
              <w:t>.</w:t>
            </w:r>
            <w:r w:rsidRPr="006F3B5C">
              <w:t xml:space="preserve"> </w:t>
            </w:r>
          </w:p>
          <w:p w14:paraId="65E40D5D" w14:textId="47D7873B" w:rsidR="00E7406A" w:rsidRPr="006F3B5C" w:rsidRDefault="00EB1C33">
            <w:pPr>
              <w:pStyle w:val="BulletText1"/>
              <w:rPr>
                <w:rStyle w:val="Hyperlink"/>
                <w:color w:val="000000"/>
                <w:u w:val="none"/>
              </w:rPr>
            </w:pPr>
            <w:r w:rsidRPr="006F3B5C">
              <w:t>Total disability</w:t>
            </w:r>
            <w:r w:rsidR="00F45377" w:rsidRPr="006F3B5C">
              <w:t xml:space="preserve"> has been in effect</w:t>
            </w:r>
            <w:r w:rsidR="00E7406A" w:rsidRPr="006F3B5C">
              <w:t xml:space="preserve"> for 20 years per </w:t>
            </w:r>
            <w:hyperlink r:id="rId28" w:history="1">
              <w:r w:rsidR="000711AA" w:rsidRPr="006F3B5C">
                <w:rPr>
                  <w:rStyle w:val="Hyperlink"/>
                </w:rPr>
                <w:t xml:space="preserve">38 </w:t>
              </w:r>
              <w:r w:rsidR="002A33EA" w:rsidRPr="006F3B5C">
                <w:rPr>
                  <w:rStyle w:val="Hyperlink"/>
                </w:rPr>
                <w:t>CFR</w:t>
              </w:r>
              <w:r w:rsidR="000711AA" w:rsidRPr="006F3B5C">
                <w:rPr>
                  <w:rStyle w:val="Hyperlink"/>
                </w:rPr>
                <w:t xml:space="preserve"> 3</w:t>
              </w:r>
              <w:r w:rsidR="00E7406A" w:rsidRPr="006F3B5C">
                <w:rPr>
                  <w:rStyle w:val="Hyperlink"/>
                </w:rPr>
                <w:t>.951</w:t>
              </w:r>
            </w:hyperlink>
            <w:r w:rsidR="00E7406A" w:rsidRPr="006F3B5C">
              <w:t>.</w:t>
            </w:r>
            <w:r w:rsidR="00F863A8" w:rsidRPr="006F3B5C">
              <w:t xml:space="preserve">  In such cases the </w:t>
            </w:r>
            <w:r w:rsidRPr="006F3B5C">
              <w:t xml:space="preserve">total </w:t>
            </w:r>
            <w:r w:rsidR="00F863A8" w:rsidRPr="006F3B5C">
              <w:t>disability is protected and is therefore i</w:t>
            </w:r>
            <w:r w:rsidRPr="006F3B5C">
              <w:t xml:space="preserve">s static and will </w:t>
            </w:r>
            <w:r w:rsidR="00F863A8" w:rsidRPr="006F3B5C">
              <w:t xml:space="preserve">continue for the remainder of the person’s life.  </w:t>
            </w:r>
          </w:p>
          <w:p w14:paraId="186F6A4F" w14:textId="51D8997A" w:rsidR="002445B6" w:rsidRPr="006F3B5C" w:rsidRDefault="002445B6">
            <w:pPr>
              <w:pStyle w:val="BulletText1"/>
            </w:pPr>
            <w:r w:rsidRPr="006F3B5C">
              <w:t xml:space="preserve">A </w:t>
            </w:r>
            <w:r w:rsidR="00C53609" w:rsidRPr="006F3B5C">
              <w:t xml:space="preserve">qualifying individual </w:t>
            </w:r>
            <w:r w:rsidRPr="006F3B5C">
              <w:t>with total disability dies</w:t>
            </w:r>
            <w:r w:rsidR="00EB1C33" w:rsidRPr="006F3B5C">
              <w:t xml:space="preserve">. </w:t>
            </w:r>
            <w:r w:rsidRPr="006F3B5C">
              <w:t xml:space="preserve">In such cases the total disability </w:t>
            </w:r>
            <w:r w:rsidR="00C53609" w:rsidRPr="006F3B5C">
              <w:t>is permanent because it persisted un</w:t>
            </w:r>
            <w:r w:rsidRPr="006F3B5C">
              <w:t>til the end of the person’s life.</w:t>
            </w:r>
          </w:p>
          <w:p w14:paraId="65E40D5E" w14:textId="77777777" w:rsidR="00E7406A" w:rsidRPr="006F3B5C" w:rsidRDefault="00E7406A" w:rsidP="0087122C">
            <w:pPr>
              <w:pStyle w:val="BlockText"/>
            </w:pPr>
          </w:p>
          <w:p w14:paraId="65E40D5F" w14:textId="77777777" w:rsidR="00F50B86" w:rsidRPr="006F3B5C" w:rsidRDefault="00F50B86" w:rsidP="0087122C">
            <w:pPr>
              <w:pStyle w:val="BlockText"/>
            </w:pPr>
            <w:r w:rsidRPr="006F3B5C">
              <w:rPr>
                <w:b/>
                <w:bCs/>
                <w:i/>
                <w:iCs/>
              </w:rPr>
              <w:t>Note</w:t>
            </w:r>
            <w:r w:rsidRPr="006F3B5C">
              <w:t xml:space="preserve">:  For historical purposes, it should be noted that cases in which there is a 100 percent rating under the 1925 rating schedule per </w:t>
            </w:r>
            <w:hyperlink r:id="rId29" w:history="1">
              <w:r w:rsidRPr="006F3B5C">
                <w:rPr>
                  <w:rStyle w:val="Hyperlink"/>
                </w:rPr>
                <w:t xml:space="preserve">38 </w:t>
              </w:r>
              <w:r w:rsidR="002A33EA" w:rsidRPr="006F3B5C">
                <w:rPr>
                  <w:rStyle w:val="Hyperlink"/>
                </w:rPr>
                <w:t>CFR</w:t>
              </w:r>
              <w:r w:rsidRPr="006F3B5C">
                <w:rPr>
                  <w:rStyle w:val="Hyperlink"/>
                </w:rPr>
                <w:t xml:space="preserve"> 3.952</w:t>
              </w:r>
            </w:hyperlink>
            <w:r w:rsidRPr="006F3B5C">
              <w:t xml:space="preserve"> also meet the criteria of a “total disability, permanent in nature,” for DEA.</w:t>
            </w:r>
          </w:p>
        </w:tc>
      </w:tr>
    </w:tbl>
    <w:p w14:paraId="0DB79444" w14:textId="56BFA4BB" w:rsidR="00A84C8E" w:rsidRPr="006F3B5C" w:rsidRDefault="00A84C8E" w:rsidP="00A84C8E">
      <w:pPr>
        <w:pStyle w:val="BlockLine"/>
      </w:pPr>
    </w:p>
    <w:tbl>
      <w:tblPr>
        <w:tblW w:w="0" w:type="auto"/>
        <w:tblLayout w:type="fixed"/>
        <w:tblLook w:val="0000" w:firstRow="0" w:lastRow="0" w:firstColumn="0" w:lastColumn="0" w:noHBand="0" w:noVBand="0"/>
      </w:tblPr>
      <w:tblGrid>
        <w:gridCol w:w="1728"/>
        <w:gridCol w:w="7740"/>
      </w:tblGrid>
      <w:tr w:rsidR="00A84C8E" w:rsidRPr="006F3B5C" w14:paraId="491319D8" w14:textId="77777777" w:rsidTr="00A84C8E">
        <w:tc>
          <w:tcPr>
            <w:tcW w:w="1728" w:type="dxa"/>
            <w:shd w:val="clear" w:color="auto" w:fill="auto"/>
          </w:tcPr>
          <w:p w14:paraId="4B506B48" w14:textId="7E7F7FB8" w:rsidR="00A84C8E" w:rsidRPr="006F3B5C" w:rsidRDefault="00FF3BA4" w:rsidP="00A84C8E">
            <w:pPr>
              <w:pStyle w:val="Heading5"/>
            </w:pPr>
            <w:bookmarkStart w:id="9" w:name="_j.__Responsibility"/>
            <w:bookmarkEnd w:id="9"/>
            <w:proofErr w:type="gramStart"/>
            <w:r w:rsidRPr="006F3B5C">
              <w:t xml:space="preserve">j.  </w:t>
            </w:r>
            <w:r w:rsidR="00A84C8E" w:rsidRPr="006F3B5C">
              <w:t>Responsibility</w:t>
            </w:r>
            <w:proofErr w:type="gramEnd"/>
            <w:r w:rsidR="00A84C8E" w:rsidRPr="006F3B5C">
              <w:t xml:space="preserve"> for Decision Making</w:t>
            </w:r>
          </w:p>
        </w:tc>
        <w:tc>
          <w:tcPr>
            <w:tcW w:w="7740" w:type="dxa"/>
            <w:shd w:val="clear" w:color="auto" w:fill="auto"/>
          </w:tcPr>
          <w:p w14:paraId="0B7846C3" w14:textId="49FB4D27" w:rsidR="00A84C8E" w:rsidRPr="006F3B5C" w:rsidRDefault="00A84C8E" w:rsidP="00A84C8E">
            <w:pPr>
              <w:pStyle w:val="BlockText"/>
            </w:pPr>
            <w:r w:rsidRPr="006F3B5C">
              <w:t>The DEA program is administered by Education Service</w:t>
            </w:r>
            <w:r w:rsidR="00B63F79" w:rsidRPr="006F3B5C">
              <w:t xml:space="preserve"> which </w:t>
            </w:r>
            <w:r w:rsidRPr="006F3B5C">
              <w:t xml:space="preserve">makes the ultimate determination on entitlement and payment </w:t>
            </w:r>
            <w:proofErr w:type="gramStart"/>
            <w:r w:rsidRPr="006F3B5C">
              <w:t>of  benefits</w:t>
            </w:r>
            <w:proofErr w:type="gramEnd"/>
            <w:r w:rsidRPr="006F3B5C">
              <w:t xml:space="preserve">.  </w:t>
            </w:r>
          </w:p>
          <w:p w14:paraId="1A32BD4B" w14:textId="77777777" w:rsidR="00A84C8E" w:rsidRPr="006F3B5C" w:rsidRDefault="00A84C8E" w:rsidP="00A84C8E">
            <w:pPr>
              <w:pStyle w:val="BlockText"/>
            </w:pPr>
          </w:p>
          <w:p w14:paraId="0B2A9C43" w14:textId="5A7D0C3F" w:rsidR="00A84C8E" w:rsidRPr="006F3B5C" w:rsidRDefault="00A84C8E" w:rsidP="00A84C8E">
            <w:pPr>
              <w:pStyle w:val="BlockText"/>
            </w:pPr>
            <w:r w:rsidRPr="006F3B5C">
              <w:t xml:space="preserve">The RO makes the </w:t>
            </w:r>
            <w:r w:rsidRPr="006F3B5C">
              <w:rPr>
                <w:b/>
                <w:i/>
              </w:rPr>
              <w:t>initial rating decision</w:t>
            </w:r>
            <w:r w:rsidRPr="006F3B5C">
              <w:t xml:space="preserve"> as defined by 38 CFR 21.302</w:t>
            </w:r>
            <w:r w:rsidR="0089632C" w:rsidRPr="006F3B5C">
              <w:t>(q)</w:t>
            </w:r>
            <w:r w:rsidRPr="006F3B5C">
              <w:t xml:space="preserve"> </w:t>
            </w:r>
            <w:r w:rsidR="0089632C" w:rsidRPr="006F3B5C">
              <w:t>establishing the basic eligibility factors such as service connection</w:t>
            </w:r>
            <w:r w:rsidR="00F675D6" w:rsidRPr="006F3B5C">
              <w:t xml:space="preserve"> </w:t>
            </w:r>
            <w:r w:rsidR="0089632C" w:rsidRPr="006F3B5C">
              <w:t xml:space="preserve">for the cause of death or </w:t>
            </w:r>
            <w:r w:rsidR="008914A2" w:rsidRPr="006F3B5C">
              <w:t>a</w:t>
            </w:r>
            <w:r w:rsidR="003A214B" w:rsidRPr="006F3B5C">
              <w:t>n</w:t>
            </w:r>
            <w:r w:rsidR="008914A2" w:rsidRPr="006F3B5C">
              <w:t xml:space="preserve"> </w:t>
            </w:r>
            <w:r w:rsidR="0089632C" w:rsidRPr="006F3B5C">
              <w:t>SC P&amp;T disability.</w:t>
            </w:r>
          </w:p>
          <w:p w14:paraId="78080903" w14:textId="77777777" w:rsidR="00A84C8E" w:rsidRPr="006F3B5C" w:rsidRDefault="00A84C8E" w:rsidP="00A84C8E">
            <w:pPr>
              <w:pStyle w:val="BlockText"/>
            </w:pPr>
          </w:p>
          <w:p w14:paraId="6730755B" w14:textId="052D3DE8" w:rsidR="00A84C8E" w:rsidRPr="006F3B5C" w:rsidRDefault="0089632C" w:rsidP="00B63F79">
            <w:pPr>
              <w:pStyle w:val="BlockText"/>
            </w:pPr>
            <w:r w:rsidRPr="006F3B5C">
              <w:t xml:space="preserve">The RO does not actually determine the effective date </w:t>
            </w:r>
            <w:proofErr w:type="gramStart"/>
            <w:r w:rsidRPr="006F3B5C">
              <w:t xml:space="preserve">of </w:t>
            </w:r>
            <w:r w:rsidR="004C2465" w:rsidRPr="006F3B5C">
              <w:t xml:space="preserve"> </w:t>
            </w:r>
            <w:r w:rsidR="00B63F79" w:rsidRPr="006F3B5C">
              <w:t>the</w:t>
            </w:r>
            <w:proofErr w:type="gramEnd"/>
            <w:r w:rsidR="00B63F79" w:rsidRPr="006F3B5C">
              <w:t xml:space="preserve"> </w:t>
            </w:r>
            <w:r w:rsidR="004C2465" w:rsidRPr="006F3B5C">
              <w:t xml:space="preserve">DEA </w:t>
            </w:r>
            <w:r w:rsidR="00B63F79" w:rsidRPr="006F3B5C">
              <w:t>benefit</w:t>
            </w:r>
            <w:r w:rsidR="004C2465" w:rsidRPr="006F3B5C">
              <w:t xml:space="preserve">.  </w:t>
            </w:r>
            <w:r w:rsidRPr="006F3B5C">
              <w:t>I</w:t>
            </w:r>
            <w:r w:rsidR="00B63F79" w:rsidRPr="006F3B5C">
              <w:t>t make</w:t>
            </w:r>
            <w:r w:rsidR="008914A2" w:rsidRPr="006F3B5C">
              <w:t>s</w:t>
            </w:r>
            <w:r w:rsidR="00B63F79" w:rsidRPr="006F3B5C">
              <w:t xml:space="preserve"> a determination on the date of commencement of </w:t>
            </w:r>
            <w:r w:rsidR="008914A2" w:rsidRPr="006F3B5C">
              <w:t xml:space="preserve">a </w:t>
            </w:r>
            <w:r w:rsidR="00B63F79" w:rsidRPr="006F3B5C">
              <w:t xml:space="preserve">P&amp;T disability.  38 CFR 21.3021(r) </w:t>
            </w:r>
            <w:r w:rsidR="00A84C8E" w:rsidRPr="006F3B5C">
              <w:t xml:space="preserve">defines </w:t>
            </w:r>
            <w:r w:rsidR="00A84C8E" w:rsidRPr="006F3B5C">
              <w:rPr>
                <w:b/>
                <w:i/>
              </w:rPr>
              <w:t>effective date of the P&amp;T rating</w:t>
            </w:r>
            <w:r w:rsidR="00A84C8E" w:rsidRPr="006F3B5C">
              <w:t xml:space="preserve"> as the date from which VA considers that P&amp;T disability commenced for the purpose of VA benefits as determined in the </w:t>
            </w:r>
            <w:r w:rsidRPr="006F3B5C">
              <w:t xml:space="preserve">initial rating decision. </w:t>
            </w:r>
          </w:p>
        </w:tc>
      </w:tr>
    </w:tbl>
    <w:p w14:paraId="466B8368" w14:textId="77777777" w:rsidR="0044027D" w:rsidRPr="006F3B5C" w:rsidRDefault="0044027D" w:rsidP="0044027D">
      <w:pPr>
        <w:pStyle w:val="BlockLine"/>
      </w:pPr>
    </w:p>
    <w:tbl>
      <w:tblPr>
        <w:tblW w:w="0" w:type="auto"/>
        <w:tblLayout w:type="fixed"/>
        <w:tblLook w:val="0000" w:firstRow="0" w:lastRow="0" w:firstColumn="0" w:lastColumn="0" w:noHBand="0" w:noVBand="0"/>
      </w:tblPr>
      <w:tblGrid>
        <w:gridCol w:w="1728"/>
        <w:gridCol w:w="7740"/>
      </w:tblGrid>
      <w:tr w:rsidR="00393FFA" w:rsidRPr="006F3B5C" w14:paraId="5D8EB765" w14:textId="77777777" w:rsidTr="0044027D">
        <w:trPr>
          <w:trHeight w:val="459"/>
        </w:trPr>
        <w:tc>
          <w:tcPr>
            <w:tcW w:w="1728" w:type="dxa"/>
            <w:shd w:val="clear" w:color="auto" w:fill="auto"/>
          </w:tcPr>
          <w:p w14:paraId="27C008E2" w14:textId="64D61053" w:rsidR="00393FFA" w:rsidRPr="006F3B5C" w:rsidRDefault="00FF3BA4" w:rsidP="00FF3BA4">
            <w:pPr>
              <w:pStyle w:val="Heading5"/>
            </w:pPr>
            <w:bookmarkStart w:id="10" w:name="_k.__When"/>
            <w:bookmarkEnd w:id="10"/>
            <w:proofErr w:type="gramStart"/>
            <w:r w:rsidRPr="006F3B5C">
              <w:t xml:space="preserve">k.  </w:t>
            </w:r>
            <w:r w:rsidR="000B4475" w:rsidRPr="006F3B5C">
              <w:t>When</w:t>
            </w:r>
            <w:proofErr w:type="gramEnd"/>
            <w:r w:rsidR="000B4475" w:rsidRPr="006F3B5C">
              <w:t xml:space="preserve"> DEA is a </w:t>
            </w:r>
            <w:r w:rsidRPr="006F3B5C">
              <w:t>R</w:t>
            </w:r>
            <w:r w:rsidR="000B4475" w:rsidRPr="006F3B5C">
              <w:t xml:space="preserve">ating </w:t>
            </w:r>
            <w:r w:rsidRPr="006F3B5C">
              <w:t>I</w:t>
            </w:r>
            <w:r w:rsidR="000B4475" w:rsidRPr="006F3B5C">
              <w:t>ssue</w:t>
            </w:r>
          </w:p>
        </w:tc>
        <w:tc>
          <w:tcPr>
            <w:tcW w:w="7740" w:type="dxa"/>
            <w:shd w:val="clear" w:color="auto" w:fill="auto"/>
          </w:tcPr>
          <w:p w14:paraId="5D942242" w14:textId="4734B931" w:rsidR="000B4475" w:rsidRPr="006F3B5C" w:rsidRDefault="00B63F79" w:rsidP="000B4475">
            <w:pPr>
              <w:pStyle w:val="BlockText"/>
            </w:pPr>
            <w:r w:rsidRPr="006F3B5C">
              <w:t>B</w:t>
            </w:r>
            <w:r w:rsidR="000B4475" w:rsidRPr="006F3B5C">
              <w:t xml:space="preserve">asic eligibility to DEA </w:t>
            </w:r>
            <w:r w:rsidRPr="006F3B5C">
              <w:t>is a rating issue when</w:t>
            </w:r>
            <w:r w:rsidR="0063486D" w:rsidRPr="006F3B5C">
              <w:t xml:space="preserve"> one of the following criteria is met: </w:t>
            </w:r>
          </w:p>
          <w:p w14:paraId="08434BEE" w14:textId="671ADDDF" w:rsidR="0063486D" w:rsidRPr="006F3B5C" w:rsidRDefault="0063486D" w:rsidP="0028481C">
            <w:pPr>
              <w:pStyle w:val="BulletText1"/>
            </w:pPr>
            <w:r w:rsidRPr="006F3B5C">
              <w:t>T</w:t>
            </w:r>
            <w:r w:rsidR="006B1449" w:rsidRPr="006F3B5C">
              <w:t xml:space="preserve">here is a claim </w:t>
            </w:r>
            <w:r w:rsidR="007747F2" w:rsidRPr="006F3B5C">
              <w:t xml:space="preserve">for </w:t>
            </w:r>
            <w:r w:rsidR="0028481C" w:rsidRPr="006F3B5C">
              <w:t>DEA</w:t>
            </w:r>
            <w:r w:rsidRPr="006F3B5C">
              <w:t xml:space="preserve">/ </w:t>
            </w:r>
            <w:r w:rsidR="00F675D6" w:rsidRPr="006F3B5C">
              <w:t>Chapter 35</w:t>
            </w:r>
            <w:r w:rsidRPr="006F3B5C">
              <w:t xml:space="preserve"> benefits.</w:t>
            </w:r>
          </w:p>
          <w:p w14:paraId="1C3E9A62" w14:textId="68A87D1C" w:rsidR="0028481C" w:rsidRPr="006F3B5C" w:rsidRDefault="0063486D" w:rsidP="0028481C">
            <w:pPr>
              <w:pStyle w:val="BulletText1"/>
            </w:pPr>
            <w:r w:rsidRPr="006F3B5C">
              <w:t>A beneficiary requests</w:t>
            </w:r>
            <w:r w:rsidR="006B1449" w:rsidRPr="006F3B5C">
              <w:t xml:space="preserve"> </w:t>
            </w:r>
            <w:r w:rsidR="00F675D6" w:rsidRPr="006F3B5C">
              <w:t xml:space="preserve">a determination </w:t>
            </w:r>
            <w:r w:rsidRPr="006F3B5C">
              <w:t>on</w:t>
            </w:r>
            <w:r w:rsidR="008914A2" w:rsidRPr="006F3B5C">
              <w:t xml:space="preserve"> </w:t>
            </w:r>
            <w:r w:rsidR="006B1449" w:rsidRPr="006F3B5C">
              <w:t>P&amp;T disability</w:t>
            </w:r>
            <w:r w:rsidRPr="006F3B5C">
              <w:t>.</w:t>
            </w:r>
          </w:p>
          <w:p w14:paraId="36524380" w14:textId="630067D8" w:rsidR="004C2465" w:rsidRPr="006F3B5C" w:rsidRDefault="0063486D" w:rsidP="0028481C">
            <w:pPr>
              <w:pStyle w:val="BulletText1"/>
            </w:pPr>
            <w:r w:rsidRPr="006F3B5C">
              <w:t>A</w:t>
            </w:r>
            <w:r w:rsidR="008914A2" w:rsidRPr="006F3B5C">
              <w:t>n</w:t>
            </w:r>
            <w:r w:rsidR="00F675D6" w:rsidRPr="006F3B5C">
              <w:t xml:space="preserve"> SC </w:t>
            </w:r>
            <w:r w:rsidR="004C2465" w:rsidRPr="006F3B5C">
              <w:t>total disability</w:t>
            </w:r>
            <w:r w:rsidRPr="006F3B5C">
              <w:t xml:space="preserve"> (schedular or total disability due to IU)</w:t>
            </w:r>
            <w:r w:rsidR="004C2465" w:rsidRPr="006F3B5C">
              <w:t xml:space="preserve"> is granted or confirmed/continued and permanency is also established</w:t>
            </w:r>
            <w:r w:rsidR="007747F2" w:rsidRPr="006F3B5C">
              <w:t xml:space="preserve"> (to include by the determination that a future examination is not warranted).  </w:t>
            </w:r>
          </w:p>
          <w:p w14:paraId="51108F71" w14:textId="643559E2" w:rsidR="004C2465" w:rsidRPr="006F3B5C" w:rsidRDefault="0063486D" w:rsidP="0028481C">
            <w:pPr>
              <w:pStyle w:val="BulletText1"/>
            </w:pPr>
            <w:r w:rsidRPr="006F3B5C">
              <w:lastRenderedPageBreak/>
              <w:t>A</w:t>
            </w:r>
            <w:r w:rsidR="007747F2" w:rsidRPr="006F3B5C">
              <w:t xml:space="preserve"> </w:t>
            </w:r>
            <w:proofErr w:type="gramStart"/>
            <w:r w:rsidR="007747F2" w:rsidRPr="006F3B5C">
              <w:t>previously-set</w:t>
            </w:r>
            <w:proofErr w:type="gramEnd"/>
            <w:r w:rsidR="007747F2" w:rsidRPr="006F3B5C">
              <w:t xml:space="preserve"> f</w:t>
            </w:r>
            <w:r w:rsidR="004C2465" w:rsidRPr="006F3B5C">
              <w:t>uture exam control is canceled</w:t>
            </w:r>
            <w:r w:rsidR="007747F2" w:rsidRPr="006F3B5C">
              <w:t>/discontinued</w:t>
            </w:r>
            <w:r w:rsidR="004C2465" w:rsidRPr="006F3B5C">
              <w:t xml:space="preserve"> wh</w:t>
            </w:r>
            <w:r w:rsidR="007747F2" w:rsidRPr="006F3B5C">
              <w:t>ile</w:t>
            </w:r>
            <w:r w:rsidR="004C2465" w:rsidRPr="006F3B5C">
              <w:t xml:space="preserve"> there is total disability</w:t>
            </w:r>
            <w:r w:rsidRPr="006F3B5C">
              <w:t>.</w:t>
            </w:r>
          </w:p>
          <w:p w14:paraId="0946E32F" w14:textId="7E17701F" w:rsidR="000B4475" w:rsidRPr="006F3B5C" w:rsidRDefault="0063486D" w:rsidP="000B4475">
            <w:pPr>
              <w:pStyle w:val="BulletText1"/>
            </w:pPr>
            <w:r w:rsidRPr="006F3B5C">
              <w:t>S</w:t>
            </w:r>
            <w:r w:rsidR="008914A2" w:rsidRPr="006F3B5C">
              <w:t>ervice connection</w:t>
            </w:r>
            <w:r w:rsidR="00CE45DB" w:rsidRPr="006F3B5C">
              <w:t xml:space="preserve"> </w:t>
            </w:r>
            <w:r w:rsidR="00393FFA" w:rsidRPr="006F3B5C">
              <w:t xml:space="preserve">for the cause of death </w:t>
            </w:r>
            <w:r w:rsidR="000B4475" w:rsidRPr="006F3B5C">
              <w:t>is granted</w:t>
            </w:r>
            <w:r w:rsidRPr="006F3B5C">
              <w:t>.</w:t>
            </w:r>
          </w:p>
          <w:p w14:paraId="31D1334C" w14:textId="3DA85AE3" w:rsidR="00F863A8" w:rsidRPr="006F3B5C" w:rsidRDefault="0063486D" w:rsidP="000B4475">
            <w:pPr>
              <w:pStyle w:val="BulletText1"/>
            </w:pPr>
            <w:r w:rsidRPr="006F3B5C">
              <w:t>I</w:t>
            </w:r>
            <w:r w:rsidR="00F863A8" w:rsidRPr="006F3B5C">
              <w:t>n connection with a</w:t>
            </w:r>
            <w:r w:rsidR="007747F2" w:rsidRPr="006F3B5C">
              <w:t xml:space="preserve"> claim for death benefits, the V</w:t>
            </w:r>
            <w:r w:rsidR="00F863A8" w:rsidRPr="006F3B5C">
              <w:t xml:space="preserve">eteran was rated 100 percent disabled due to SC disabilities or entitled to </w:t>
            </w:r>
            <w:r w:rsidR="008914A2" w:rsidRPr="006F3B5C">
              <w:t>IU</w:t>
            </w:r>
            <w:r w:rsidR="00F863A8" w:rsidRPr="006F3B5C">
              <w:t xml:space="preserve"> on the date of death. </w:t>
            </w:r>
          </w:p>
          <w:p w14:paraId="4D6CBEF5" w14:textId="18E40027" w:rsidR="00171581" w:rsidRPr="006F3B5C" w:rsidRDefault="00171581" w:rsidP="00171581">
            <w:pPr>
              <w:pStyle w:val="BulletText1"/>
              <w:numPr>
                <w:ilvl w:val="0"/>
                <w:numId w:val="0"/>
              </w:numPr>
            </w:pPr>
          </w:p>
          <w:p w14:paraId="481605DD" w14:textId="77777777" w:rsidR="006B1449" w:rsidRPr="006F3B5C" w:rsidRDefault="006D1920" w:rsidP="00171581">
            <w:pPr>
              <w:pStyle w:val="BulletText1"/>
              <w:numPr>
                <w:ilvl w:val="0"/>
                <w:numId w:val="0"/>
              </w:numPr>
            </w:pPr>
            <w:r w:rsidRPr="006F3B5C">
              <w:rPr>
                <w:b/>
                <w:i/>
              </w:rPr>
              <w:t>Exception</w:t>
            </w:r>
            <w:r w:rsidR="006B1449" w:rsidRPr="006F3B5C">
              <w:rPr>
                <w:b/>
                <w:i/>
              </w:rPr>
              <w:t>s</w:t>
            </w:r>
            <w:r w:rsidR="00171581" w:rsidRPr="006F3B5C">
              <w:t xml:space="preserve">:  </w:t>
            </w:r>
          </w:p>
          <w:p w14:paraId="04C92AC5" w14:textId="3E137749" w:rsidR="00F812F9" w:rsidRPr="006F3B5C" w:rsidRDefault="00171581" w:rsidP="006B1449">
            <w:pPr>
              <w:pStyle w:val="BulletText1"/>
            </w:pPr>
            <w:r w:rsidRPr="006F3B5C">
              <w:t>Do not consider basic eligibility</w:t>
            </w:r>
            <w:r w:rsidR="006B1449" w:rsidRPr="006F3B5C">
              <w:t xml:space="preserve"> to DEA when that matter has been previously established</w:t>
            </w:r>
            <w:r w:rsidR="006D1920" w:rsidRPr="006F3B5C">
              <w:t xml:space="preserve">. </w:t>
            </w:r>
            <w:r w:rsidR="007F23EF" w:rsidRPr="006F3B5C">
              <w:t xml:space="preserve"> </w:t>
            </w:r>
            <w:r w:rsidR="007747F2" w:rsidRPr="006F3B5C">
              <w:t xml:space="preserve">However, </w:t>
            </w:r>
            <w:r w:rsidR="0034689A" w:rsidRPr="006F3B5C">
              <w:t>address DEA in connection with a death claim even though DEA was granted on another basis during the Veteran’s lifetime.</w:t>
            </w:r>
          </w:p>
          <w:p w14:paraId="61EBF52D" w14:textId="6D65D4DA" w:rsidR="006B1449" w:rsidRPr="006F3B5C" w:rsidRDefault="005826D2" w:rsidP="006B1449">
            <w:pPr>
              <w:pStyle w:val="BulletText1"/>
            </w:pPr>
            <w:r w:rsidRPr="006F3B5C">
              <w:t xml:space="preserve">Consider entitlement to DEA without a rating decision when </w:t>
            </w:r>
            <w:r w:rsidR="008914A2" w:rsidRPr="006F3B5C">
              <w:t>service connection</w:t>
            </w:r>
            <w:r w:rsidRPr="006F3B5C">
              <w:t xml:space="preserve"> is granted for the cause of death without a rating decision.  </w:t>
            </w:r>
          </w:p>
          <w:p w14:paraId="1195867A" w14:textId="210EB086" w:rsidR="00CC4AAC" w:rsidRPr="006F3B5C" w:rsidRDefault="007747F2" w:rsidP="00CC4AAC">
            <w:pPr>
              <w:pStyle w:val="BulletText1"/>
            </w:pPr>
            <w:r w:rsidRPr="006F3B5C">
              <w:t>W</w:t>
            </w:r>
            <w:r w:rsidR="00CC4AAC" w:rsidRPr="006F3B5C">
              <w:t>hen a</w:t>
            </w:r>
            <w:r w:rsidR="008914A2" w:rsidRPr="006F3B5C">
              <w:t>n</w:t>
            </w:r>
            <w:r w:rsidR="00CC4AAC" w:rsidRPr="006F3B5C">
              <w:t xml:space="preserve"> SC total disability is granted or confirmed/continued </w:t>
            </w:r>
            <w:r w:rsidRPr="006F3B5C">
              <w:t xml:space="preserve">you must consider </w:t>
            </w:r>
            <w:r w:rsidR="000B0155" w:rsidRPr="006F3B5C">
              <w:t>w</w:t>
            </w:r>
            <w:r w:rsidRPr="006F3B5C">
              <w:t xml:space="preserve">hether there is basic entitlement to DEA.  </w:t>
            </w:r>
            <w:r w:rsidR="000B0155" w:rsidRPr="006F3B5C">
              <w:t>However if permanency is not proven</w:t>
            </w:r>
            <w:r w:rsidR="008914A2" w:rsidRPr="006F3B5C">
              <w:t>,</w:t>
            </w:r>
            <w:r w:rsidR="000B0155" w:rsidRPr="006F3B5C">
              <w:t xml:space="preserve"> do not </w:t>
            </w:r>
            <w:r w:rsidRPr="006F3B5C">
              <w:t xml:space="preserve">create a separate issue and </w:t>
            </w:r>
            <w:r w:rsidR="000B0155" w:rsidRPr="006F3B5C">
              <w:t xml:space="preserve">make a decision that there is no basic eligibility.  </w:t>
            </w:r>
            <w:r w:rsidR="004E6C99" w:rsidRPr="006F3B5C">
              <w:t xml:space="preserve">To show consideration, discuss in the evaluation issue </w:t>
            </w:r>
            <w:r w:rsidR="003453F1" w:rsidRPr="006F3B5C">
              <w:t xml:space="preserve">that </w:t>
            </w:r>
            <w:r w:rsidR="004E6C99" w:rsidRPr="006F3B5C">
              <w:t>permanency was not established</w:t>
            </w:r>
            <w:r w:rsidR="000B0155" w:rsidRPr="006F3B5C">
              <w:t xml:space="preserve"> or that improvement was indicated</w:t>
            </w:r>
            <w:r w:rsidR="004E6C99" w:rsidRPr="006F3B5C">
              <w:t xml:space="preserve">. </w:t>
            </w:r>
            <w:r w:rsidR="000B0155" w:rsidRPr="006F3B5C">
              <w:t xml:space="preserve"> </w:t>
            </w:r>
          </w:p>
          <w:p w14:paraId="7DE68951" w14:textId="18586F80" w:rsidR="00171581" w:rsidRPr="006F3B5C" w:rsidRDefault="00171581" w:rsidP="006D1920">
            <w:pPr>
              <w:pStyle w:val="BulletText1"/>
              <w:numPr>
                <w:ilvl w:val="0"/>
                <w:numId w:val="0"/>
              </w:numPr>
              <w:ind w:left="173" w:hanging="173"/>
            </w:pPr>
          </w:p>
          <w:p w14:paraId="619DC136" w14:textId="77777777" w:rsidR="00F675D6" w:rsidRPr="006F3B5C" w:rsidRDefault="00171581" w:rsidP="00704B02">
            <w:pPr>
              <w:pStyle w:val="BulletText1"/>
              <w:numPr>
                <w:ilvl w:val="0"/>
                <w:numId w:val="0"/>
              </w:numPr>
            </w:pPr>
            <w:r w:rsidRPr="006F3B5C">
              <w:rPr>
                <w:b/>
                <w:i/>
              </w:rPr>
              <w:t>Note</w:t>
            </w:r>
            <w:r w:rsidR="00F675D6" w:rsidRPr="006F3B5C">
              <w:rPr>
                <w:b/>
                <w:i/>
              </w:rPr>
              <w:t>s</w:t>
            </w:r>
            <w:r w:rsidRPr="006F3B5C">
              <w:t xml:space="preserve">:  </w:t>
            </w:r>
          </w:p>
          <w:p w14:paraId="6E822A19" w14:textId="13D89AF5" w:rsidR="00FE3AF3" w:rsidRPr="006F3B5C" w:rsidRDefault="006D1920" w:rsidP="00F675D6">
            <w:pPr>
              <w:pStyle w:val="BulletText1"/>
            </w:pPr>
            <w:r w:rsidRPr="006F3B5C">
              <w:t>Not assigning a future exam control on a total disability</w:t>
            </w:r>
            <w:r w:rsidR="004E6C99" w:rsidRPr="006F3B5C">
              <w:t>,</w:t>
            </w:r>
            <w:r w:rsidR="00CC4AAC" w:rsidRPr="006F3B5C">
              <w:t xml:space="preserve"> or canceling a future examination when there is total disability</w:t>
            </w:r>
            <w:r w:rsidR="004E6C99" w:rsidRPr="006F3B5C">
              <w:t>,</w:t>
            </w:r>
            <w:r w:rsidRPr="006F3B5C">
              <w:t xml:space="preserve"> implies that improvement </w:t>
            </w:r>
            <w:r w:rsidR="00CC4AAC" w:rsidRPr="006F3B5C">
              <w:t xml:space="preserve">is </w:t>
            </w:r>
            <w:r w:rsidRPr="006F3B5C">
              <w:t xml:space="preserve">not indicated and that the disability is static. </w:t>
            </w:r>
            <w:r w:rsidR="004E6C99" w:rsidRPr="006F3B5C">
              <w:t xml:space="preserve"> </w:t>
            </w:r>
          </w:p>
          <w:p w14:paraId="0D219CF2" w14:textId="6AC02895" w:rsidR="00F675D6" w:rsidRPr="006F3B5C" w:rsidRDefault="00F675D6" w:rsidP="004E6C99">
            <w:pPr>
              <w:pStyle w:val="BulletText1"/>
            </w:pPr>
            <w:r w:rsidRPr="006F3B5C">
              <w:t xml:space="preserve">A rating decision </w:t>
            </w:r>
            <w:r w:rsidRPr="006F3B5C">
              <w:rPr>
                <w:i/>
                <w:iCs/>
              </w:rPr>
              <w:t>must</w:t>
            </w:r>
            <w:r w:rsidRPr="006F3B5C">
              <w:t xml:space="preserve"> be prepared whenever permanency is established, whether the permanency is based on new evidence and/or on cancellation of a future examination</w:t>
            </w:r>
            <w:r w:rsidR="004E6C99" w:rsidRPr="006F3B5C">
              <w:t xml:space="preserve"> regardless of </w:t>
            </w:r>
            <w:r w:rsidR="007F23EF" w:rsidRPr="006F3B5C">
              <w:t xml:space="preserve">whether or not </w:t>
            </w:r>
            <w:r w:rsidR="004E6C99" w:rsidRPr="006F3B5C">
              <w:t xml:space="preserve">there appear to be any potentially eligible </w:t>
            </w:r>
            <w:r w:rsidRPr="006F3B5C">
              <w:t>dependents.</w:t>
            </w:r>
          </w:p>
        </w:tc>
      </w:tr>
    </w:tbl>
    <w:p w14:paraId="4DC58EEF" w14:textId="77777777" w:rsidR="00393FFA" w:rsidRPr="006F3B5C" w:rsidRDefault="00393FFA" w:rsidP="00393FFA">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0D79" w14:textId="77777777" w:rsidTr="0087122C">
        <w:trPr>
          <w:cantSplit/>
        </w:trPr>
        <w:tc>
          <w:tcPr>
            <w:tcW w:w="1728" w:type="dxa"/>
            <w:shd w:val="clear" w:color="auto" w:fill="auto"/>
          </w:tcPr>
          <w:p w14:paraId="65E40D71" w14:textId="24677DEF" w:rsidR="00E7406A" w:rsidRPr="006F3B5C" w:rsidRDefault="00FF3BA4" w:rsidP="001C19D8">
            <w:pPr>
              <w:pStyle w:val="Heading5"/>
            </w:pPr>
            <w:bookmarkStart w:id="11" w:name="_l.__Date"/>
            <w:bookmarkEnd w:id="11"/>
            <w:proofErr w:type="gramStart"/>
            <w:r w:rsidRPr="006F3B5C">
              <w:t>l</w:t>
            </w:r>
            <w:r w:rsidR="00E7406A" w:rsidRPr="006F3B5C">
              <w:t xml:space="preserve">.  </w:t>
            </w:r>
            <w:r w:rsidR="00FA2E05" w:rsidRPr="006F3B5C">
              <w:t>Date</w:t>
            </w:r>
            <w:proofErr w:type="gramEnd"/>
            <w:r w:rsidR="00FA2E05" w:rsidRPr="006F3B5C">
              <w:t xml:space="preserve"> of</w:t>
            </w:r>
            <w:r w:rsidR="006D1920" w:rsidRPr="006F3B5C">
              <w:t xml:space="preserve"> </w:t>
            </w:r>
            <w:r w:rsidR="001C19D8" w:rsidRPr="006F3B5C">
              <w:t xml:space="preserve">P&amp;T </w:t>
            </w:r>
            <w:r w:rsidR="006D1920" w:rsidRPr="006F3B5C">
              <w:t>Disability</w:t>
            </w:r>
            <w:r w:rsidR="004C2465" w:rsidRPr="006F3B5C">
              <w:t xml:space="preserve"> – Claim or Subordinate Issue</w:t>
            </w:r>
            <w:r w:rsidR="006D1920" w:rsidRPr="006F3B5C">
              <w:t>.</w:t>
            </w:r>
          </w:p>
        </w:tc>
        <w:tc>
          <w:tcPr>
            <w:tcW w:w="7740" w:type="dxa"/>
            <w:shd w:val="clear" w:color="auto" w:fill="auto"/>
          </w:tcPr>
          <w:p w14:paraId="7E141129" w14:textId="76A39FE2" w:rsidR="00704B02" w:rsidRPr="006F3B5C" w:rsidRDefault="00704B02" w:rsidP="00871638">
            <w:pPr>
              <w:pStyle w:val="BlockText"/>
            </w:pPr>
            <w:r w:rsidRPr="006F3B5C">
              <w:t>B</w:t>
            </w:r>
            <w:r w:rsidR="00871638" w:rsidRPr="006F3B5C">
              <w:t>asic eligibility based on</w:t>
            </w:r>
            <w:r w:rsidR="003453F1" w:rsidRPr="006F3B5C">
              <w:t xml:space="preserve"> a</w:t>
            </w:r>
            <w:r w:rsidR="00871638" w:rsidRPr="006F3B5C">
              <w:t xml:space="preserve"> </w:t>
            </w:r>
            <w:r w:rsidR="003453F1" w:rsidRPr="006F3B5C">
              <w:t>P&amp;T</w:t>
            </w:r>
            <w:r w:rsidR="00871638" w:rsidRPr="006F3B5C">
              <w:t xml:space="preserve"> SC disability</w:t>
            </w:r>
            <w:r w:rsidR="007B3C30" w:rsidRPr="006F3B5C">
              <w:t xml:space="preserve"> is only</w:t>
            </w:r>
            <w:r w:rsidR="00871638" w:rsidRPr="006F3B5C">
              <w:t xml:space="preserve"> established </w:t>
            </w:r>
            <w:r w:rsidR="007B3C30" w:rsidRPr="006F3B5C">
              <w:t>when</w:t>
            </w:r>
            <w:r w:rsidR="00871638" w:rsidRPr="006F3B5C">
              <w:t xml:space="preserve"> </w:t>
            </w:r>
            <w:r w:rsidR="007B3C30" w:rsidRPr="006F3B5C">
              <w:t xml:space="preserve">all </w:t>
            </w:r>
            <w:r w:rsidR="00F675D6" w:rsidRPr="006F3B5C">
              <w:t>criteria are met (</w:t>
            </w:r>
            <w:r w:rsidR="003A214B" w:rsidRPr="006F3B5C">
              <w:t>service connection</w:t>
            </w:r>
            <w:r w:rsidR="00871638" w:rsidRPr="006F3B5C">
              <w:t>, total disability</w:t>
            </w:r>
            <w:r w:rsidR="003453F1" w:rsidRPr="006F3B5C">
              <w:t>,</w:t>
            </w:r>
            <w:r w:rsidR="00871638" w:rsidRPr="006F3B5C">
              <w:t xml:space="preserve"> and permanence)</w:t>
            </w:r>
            <w:r w:rsidRPr="006F3B5C">
              <w:t>.</w:t>
            </w:r>
          </w:p>
          <w:p w14:paraId="4372D60B" w14:textId="77777777" w:rsidR="00704B02" w:rsidRPr="006F3B5C" w:rsidRDefault="00704B02" w:rsidP="00871638">
            <w:pPr>
              <w:pStyle w:val="BlockText"/>
            </w:pPr>
          </w:p>
          <w:p w14:paraId="1A9EF7AF" w14:textId="0AA50869" w:rsidR="007B3C30" w:rsidRPr="006F3B5C" w:rsidRDefault="00704B02" w:rsidP="00871638">
            <w:pPr>
              <w:pStyle w:val="BlockText"/>
              <w:rPr>
                <w:b/>
                <w:i/>
              </w:rPr>
            </w:pPr>
            <w:r w:rsidRPr="006F3B5C">
              <w:t>Therefore</w:t>
            </w:r>
            <w:r w:rsidR="00871638" w:rsidRPr="006F3B5C">
              <w:t xml:space="preserve"> </w:t>
            </w:r>
            <w:r w:rsidRPr="006F3B5C">
              <w:t xml:space="preserve">when DEA basic eligibility is </w:t>
            </w:r>
            <w:r w:rsidR="00000F9B" w:rsidRPr="006F3B5C">
              <w:t>established</w:t>
            </w:r>
            <w:r w:rsidR="00C342E3" w:rsidRPr="006F3B5C">
              <w:t xml:space="preserve"> </w:t>
            </w:r>
            <w:r w:rsidRPr="006F3B5C">
              <w:t xml:space="preserve">the date of permanent and total disability </w:t>
            </w:r>
            <w:r w:rsidR="00871638" w:rsidRPr="006F3B5C">
              <w:t xml:space="preserve">is the </w:t>
            </w:r>
            <w:r w:rsidR="003805B3" w:rsidRPr="006F3B5C">
              <w:rPr>
                <w:b/>
                <w:i/>
              </w:rPr>
              <w:t xml:space="preserve">later of </w:t>
            </w:r>
          </w:p>
          <w:p w14:paraId="61565B96" w14:textId="04CE0B2F" w:rsidR="007B3C30" w:rsidRPr="006F3B5C" w:rsidRDefault="003805B3" w:rsidP="007B3C30">
            <w:pPr>
              <w:pStyle w:val="BulletText1"/>
            </w:pPr>
            <w:r w:rsidRPr="006F3B5C">
              <w:rPr>
                <w:b/>
                <w:i/>
              </w:rPr>
              <w:t>the date of claim</w:t>
            </w:r>
            <w:r w:rsidR="00F675D6" w:rsidRPr="006F3B5C">
              <w:t xml:space="preserve">, </w:t>
            </w:r>
            <w:r w:rsidR="00871638" w:rsidRPr="006F3B5C">
              <w:t>or</w:t>
            </w:r>
          </w:p>
          <w:p w14:paraId="2CF2B2CD" w14:textId="24E9E2E5" w:rsidR="00871638" w:rsidRPr="006F3B5C" w:rsidRDefault="007B3C30" w:rsidP="007B3C30">
            <w:pPr>
              <w:pStyle w:val="BulletText1"/>
              <w:rPr>
                <w:b/>
                <w:i/>
              </w:rPr>
            </w:pPr>
            <w:r w:rsidRPr="006F3B5C">
              <w:rPr>
                <w:b/>
                <w:i/>
              </w:rPr>
              <w:t xml:space="preserve">the date that the final </w:t>
            </w:r>
            <w:r w:rsidR="00871638" w:rsidRPr="006F3B5C">
              <w:rPr>
                <w:b/>
                <w:i/>
              </w:rPr>
              <w:t>criteri</w:t>
            </w:r>
            <w:r w:rsidRPr="006F3B5C">
              <w:rPr>
                <w:b/>
                <w:i/>
              </w:rPr>
              <w:t>on is</w:t>
            </w:r>
            <w:r w:rsidR="00871638" w:rsidRPr="006F3B5C">
              <w:rPr>
                <w:b/>
                <w:i/>
              </w:rPr>
              <w:t xml:space="preserve"> </w:t>
            </w:r>
            <w:r w:rsidRPr="006F3B5C">
              <w:rPr>
                <w:b/>
                <w:i/>
              </w:rPr>
              <w:t>factually established</w:t>
            </w:r>
            <w:r w:rsidR="00871638" w:rsidRPr="006F3B5C">
              <w:rPr>
                <w:b/>
                <w:i/>
              </w:rPr>
              <w:t xml:space="preserve">  </w:t>
            </w:r>
          </w:p>
          <w:p w14:paraId="65E40D73" w14:textId="77777777" w:rsidR="00E7406A" w:rsidRPr="006F3B5C" w:rsidRDefault="00E7406A" w:rsidP="0087122C">
            <w:pPr>
              <w:pStyle w:val="BlockText"/>
            </w:pPr>
          </w:p>
          <w:p w14:paraId="65E40D78" w14:textId="70685B44" w:rsidR="00AB32A7" w:rsidRPr="006F3B5C" w:rsidRDefault="007B3C30" w:rsidP="00AB32A7">
            <w:pPr>
              <w:pStyle w:val="BlockText"/>
            </w:pPr>
            <w:r w:rsidRPr="006F3B5C">
              <w:rPr>
                <w:b/>
                <w:i/>
              </w:rPr>
              <w:t>Note</w:t>
            </w:r>
            <w:r w:rsidRPr="006F3B5C">
              <w:t xml:space="preserve">:  </w:t>
            </w:r>
            <w:r w:rsidR="00871638" w:rsidRPr="006F3B5C">
              <w:t>Impute exam or other findings dated after the date of claim back to the date of claim unless there is spec</w:t>
            </w:r>
            <w:r w:rsidRPr="006F3B5C">
              <w:t>ific evidence</w:t>
            </w:r>
            <w:r w:rsidR="005B713D" w:rsidRPr="006F3B5C">
              <w:t xml:space="preserve"> there was a change to </w:t>
            </w:r>
            <w:r w:rsidR="00871638" w:rsidRPr="006F3B5C">
              <w:t xml:space="preserve">total disability or </w:t>
            </w:r>
            <w:r w:rsidR="005B713D" w:rsidRPr="006F3B5C">
              <w:t xml:space="preserve">to </w:t>
            </w:r>
            <w:r w:rsidR="00871638" w:rsidRPr="006F3B5C">
              <w:t>permanen</w:t>
            </w:r>
            <w:r w:rsidR="005B713D" w:rsidRPr="006F3B5C">
              <w:t>t disability</w:t>
            </w:r>
            <w:r w:rsidR="00871638" w:rsidRPr="006F3B5C">
              <w:t xml:space="preserve"> between the date of claim and the date of the evidence.  </w:t>
            </w:r>
            <w:r w:rsidRPr="006F3B5C">
              <w:t xml:space="preserve">For example, a VA examination finding that contains an opinion on permanence would be attributed to the date of claim unless there was prior evidence dated on or after the date of claim indicating that the total disability was likely to improve, in which case the date of permanence would be the date of exam.  </w:t>
            </w:r>
          </w:p>
        </w:tc>
      </w:tr>
    </w:tbl>
    <w:p w14:paraId="32E55333" w14:textId="6F2BFDC2" w:rsidR="00694EA7" w:rsidRPr="006F3B5C" w:rsidRDefault="00694EA7"/>
    <w:p w14:paraId="698F87C7" w14:textId="77777777" w:rsidR="00694EA7" w:rsidRPr="006F3B5C" w:rsidRDefault="00694EA7" w:rsidP="00694EA7">
      <w:pPr>
        <w:pStyle w:val="BlockLine"/>
      </w:pPr>
    </w:p>
    <w:tbl>
      <w:tblPr>
        <w:tblW w:w="0" w:type="auto"/>
        <w:tblLayout w:type="fixed"/>
        <w:tblLook w:val="0000" w:firstRow="0" w:lastRow="0" w:firstColumn="0" w:lastColumn="0" w:noHBand="0" w:noVBand="0"/>
      </w:tblPr>
      <w:tblGrid>
        <w:gridCol w:w="1728"/>
        <w:gridCol w:w="7740"/>
      </w:tblGrid>
      <w:tr w:rsidR="004C2465" w:rsidRPr="006F3B5C" w14:paraId="7178A0B0" w14:textId="77777777" w:rsidTr="004C2465">
        <w:tc>
          <w:tcPr>
            <w:tcW w:w="1728" w:type="dxa"/>
            <w:shd w:val="clear" w:color="auto" w:fill="auto"/>
          </w:tcPr>
          <w:p w14:paraId="0336F69B" w14:textId="2236214E" w:rsidR="004C2465" w:rsidRPr="006F3B5C" w:rsidRDefault="00FF3BA4" w:rsidP="004C2465">
            <w:pPr>
              <w:pStyle w:val="Heading5"/>
            </w:pPr>
            <w:bookmarkStart w:id="12" w:name="_m._Date_of"/>
            <w:bookmarkEnd w:id="12"/>
            <w:proofErr w:type="gramStart"/>
            <w:r w:rsidRPr="006F3B5C">
              <w:t>m</w:t>
            </w:r>
            <w:r w:rsidR="004C2465" w:rsidRPr="006F3B5C">
              <w:t xml:space="preserve">. </w:t>
            </w:r>
            <w:r w:rsidR="003453F1" w:rsidRPr="006F3B5C">
              <w:t xml:space="preserve"> </w:t>
            </w:r>
            <w:r w:rsidR="004C2465" w:rsidRPr="006F3B5C">
              <w:t>Date</w:t>
            </w:r>
            <w:proofErr w:type="gramEnd"/>
            <w:r w:rsidR="004C2465" w:rsidRPr="006F3B5C">
              <w:t xml:space="preserve"> of P&amp;T Disability, Cancellation of Review Examination</w:t>
            </w:r>
          </w:p>
        </w:tc>
        <w:tc>
          <w:tcPr>
            <w:tcW w:w="7740" w:type="dxa"/>
            <w:shd w:val="clear" w:color="auto" w:fill="auto"/>
          </w:tcPr>
          <w:p w14:paraId="3C508EF2" w14:textId="421781AA" w:rsidR="00E41022" w:rsidRPr="006F3B5C" w:rsidRDefault="00E41022" w:rsidP="008D304B">
            <w:pPr>
              <w:pStyle w:val="BlockText"/>
            </w:pPr>
            <w:r w:rsidRPr="006F3B5C">
              <w:t>Use the following table to determine the date of P&amp;T disability w</w:t>
            </w:r>
            <w:r w:rsidR="004C2465" w:rsidRPr="006F3B5C">
              <w:t xml:space="preserve">here </w:t>
            </w:r>
          </w:p>
          <w:p w14:paraId="2723CF3B" w14:textId="4872D0D8" w:rsidR="00E41022" w:rsidRPr="006F3B5C" w:rsidRDefault="004C2465" w:rsidP="00E41022">
            <w:pPr>
              <w:pStyle w:val="BulletText1"/>
            </w:pPr>
            <w:r w:rsidRPr="006F3B5C">
              <w:t>there is total disability but not permanence because a</w:t>
            </w:r>
            <w:r w:rsidR="00694EA7" w:rsidRPr="006F3B5C">
              <w:t xml:space="preserve"> future/</w:t>
            </w:r>
            <w:r w:rsidRPr="006F3B5C">
              <w:t xml:space="preserve">review examination control </w:t>
            </w:r>
            <w:r w:rsidR="001C32F3" w:rsidRPr="006F3B5C">
              <w:t>was</w:t>
            </w:r>
            <w:r w:rsidRPr="006F3B5C">
              <w:t xml:space="preserve"> established, and</w:t>
            </w:r>
          </w:p>
          <w:p w14:paraId="4C9F5CBB" w14:textId="3B86074D" w:rsidR="00E41022" w:rsidRPr="006F3B5C" w:rsidRDefault="004C2465" w:rsidP="00E41022">
            <w:pPr>
              <w:pStyle w:val="BulletText1"/>
            </w:pPr>
            <w:r w:rsidRPr="006F3B5C">
              <w:t xml:space="preserve">a DEA determination is </w:t>
            </w:r>
            <w:r w:rsidR="00455B73" w:rsidRPr="006F3B5C">
              <w:t xml:space="preserve">subsequently </w:t>
            </w:r>
            <w:r w:rsidR="00E41022" w:rsidRPr="006F3B5C">
              <w:t>necessitated</w:t>
            </w:r>
            <w:r w:rsidRPr="006F3B5C">
              <w:t xml:space="preserve"> by</w:t>
            </w:r>
            <w:r w:rsidR="00E41022" w:rsidRPr="006F3B5C">
              <w:t xml:space="preserve"> one of the following actions:</w:t>
            </w:r>
            <w:r w:rsidR="00694EA7" w:rsidRPr="006F3B5C">
              <w:t xml:space="preserve"> </w:t>
            </w:r>
          </w:p>
          <w:p w14:paraId="7DCCC0BD" w14:textId="785E2276" w:rsidR="00E41022" w:rsidRPr="006F3B5C" w:rsidRDefault="004C2465" w:rsidP="00E41022">
            <w:pPr>
              <w:pStyle w:val="BulletText2"/>
            </w:pPr>
            <w:r w:rsidRPr="006F3B5C">
              <w:t>c</w:t>
            </w:r>
            <w:r w:rsidR="001C32F3" w:rsidRPr="006F3B5C">
              <w:t xml:space="preserve">ancellation of the </w:t>
            </w:r>
            <w:r w:rsidR="00E41022" w:rsidRPr="006F3B5C">
              <w:t xml:space="preserve">future exam </w:t>
            </w:r>
            <w:r w:rsidR="001C32F3" w:rsidRPr="006F3B5C">
              <w:t>control</w:t>
            </w:r>
            <w:r w:rsidR="00694EA7" w:rsidRPr="006F3B5C">
              <w:t xml:space="preserve"> </w:t>
            </w:r>
            <w:r w:rsidR="000B6B7D" w:rsidRPr="006F3B5C">
              <w:t xml:space="preserve">prior to maturation, </w:t>
            </w:r>
            <w:r w:rsidR="00694EA7" w:rsidRPr="006F3B5C">
              <w:t xml:space="preserve">or </w:t>
            </w:r>
          </w:p>
          <w:p w14:paraId="6E9F5479" w14:textId="57E69A29" w:rsidR="004C2465" w:rsidRPr="006F3B5C" w:rsidRDefault="00E41022" w:rsidP="00E41022">
            <w:pPr>
              <w:pStyle w:val="BulletText2"/>
            </w:pPr>
            <w:proofErr w:type="gramStart"/>
            <w:r w:rsidRPr="006F3B5C">
              <w:t>determination</w:t>
            </w:r>
            <w:proofErr w:type="gramEnd"/>
            <w:r w:rsidRPr="006F3B5C">
              <w:t xml:space="preserve"> that a review examination should not be scheduled at the time the future exam control matures.  </w:t>
            </w:r>
          </w:p>
        </w:tc>
      </w:tr>
    </w:tbl>
    <w:p w14:paraId="3EEC5111" w14:textId="77777777" w:rsidR="008D304B" w:rsidRPr="006F3B5C" w:rsidRDefault="008D304B" w:rsidP="008D304B"/>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8D304B" w:rsidRPr="006F3B5C" w14:paraId="5D5BB54C" w14:textId="77777777" w:rsidTr="008D304B">
        <w:tc>
          <w:tcPr>
            <w:tcW w:w="2500" w:type="pct"/>
            <w:shd w:val="clear" w:color="auto" w:fill="auto"/>
          </w:tcPr>
          <w:p w14:paraId="2238CE44" w14:textId="46374BB6" w:rsidR="008D304B" w:rsidRPr="006F3B5C" w:rsidRDefault="008D304B" w:rsidP="008D304B">
            <w:pPr>
              <w:pStyle w:val="TableHeaderText"/>
              <w:jc w:val="left"/>
            </w:pPr>
            <w:r w:rsidRPr="006F3B5C">
              <w:t>When the action is based on ...</w:t>
            </w:r>
          </w:p>
        </w:tc>
        <w:tc>
          <w:tcPr>
            <w:tcW w:w="2500" w:type="pct"/>
            <w:shd w:val="clear" w:color="auto" w:fill="auto"/>
          </w:tcPr>
          <w:p w14:paraId="784DD7C6" w14:textId="28A65E27" w:rsidR="008D304B" w:rsidRPr="006F3B5C" w:rsidRDefault="008D304B" w:rsidP="008D304B">
            <w:pPr>
              <w:pStyle w:val="TableHeaderText"/>
              <w:jc w:val="left"/>
            </w:pPr>
            <w:r w:rsidRPr="006F3B5C">
              <w:t>Then ...</w:t>
            </w:r>
          </w:p>
        </w:tc>
      </w:tr>
      <w:tr w:rsidR="008D304B" w:rsidRPr="006F3B5C" w14:paraId="72E488E5" w14:textId="77777777" w:rsidTr="008D304B">
        <w:tc>
          <w:tcPr>
            <w:tcW w:w="2500" w:type="pct"/>
            <w:shd w:val="clear" w:color="auto" w:fill="auto"/>
          </w:tcPr>
          <w:p w14:paraId="18E54CA7" w14:textId="77777777" w:rsidR="008D304B" w:rsidRPr="006F3B5C" w:rsidRDefault="008D304B" w:rsidP="008D304B">
            <w:pPr>
              <w:pStyle w:val="TableText"/>
            </w:pPr>
            <w:r w:rsidRPr="006F3B5C">
              <w:t xml:space="preserve">a determination that the exam control was initially set up in </w:t>
            </w:r>
            <w:r w:rsidRPr="006F3B5C">
              <w:rPr>
                <w:i/>
              </w:rPr>
              <w:t>error</w:t>
            </w:r>
            <w:r w:rsidRPr="006F3B5C">
              <w:t xml:space="preserve"> </w:t>
            </w:r>
          </w:p>
          <w:p w14:paraId="1CBDE1A3" w14:textId="77777777" w:rsidR="008D304B" w:rsidRPr="006F3B5C" w:rsidRDefault="008D304B" w:rsidP="008D304B">
            <w:pPr>
              <w:pStyle w:val="TableText"/>
            </w:pPr>
          </w:p>
          <w:p w14:paraId="7B5C26CA" w14:textId="12435640" w:rsidR="008D304B" w:rsidRPr="006F3B5C" w:rsidRDefault="008D304B" w:rsidP="008D304B">
            <w:pPr>
              <w:pStyle w:val="TableText"/>
            </w:pPr>
            <w:r w:rsidRPr="006F3B5C">
              <w:rPr>
                <w:b/>
                <w:i/>
              </w:rPr>
              <w:t>Example</w:t>
            </w:r>
            <w:r w:rsidRPr="006F3B5C">
              <w:t xml:space="preserve">: In violation of </w:t>
            </w:r>
            <w:hyperlink r:id="rId30" w:history="1">
              <w:r w:rsidRPr="006F3B5C">
                <w:rPr>
                  <w:rStyle w:val="Hyperlink"/>
                </w:rPr>
                <w:t>38 CFR 3.327(b</w:t>
              </w:r>
              <w:proofErr w:type="gramStart"/>
              <w:r w:rsidRPr="006F3B5C">
                <w:rPr>
                  <w:rStyle w:val="Hyperlink"/>
                </w:rPr>
                <w:t>)(</w:t>
              </w:r>
              <w:proofErr w:type="gramEnd"/>
              <w:r w:rsidRPr="006F3B5C">
                <w:rPr>
                  <w:rStyle w:val="Hyperlink"/>
                </w:rPr>
                <w:t>2)</w:t>
              </w:r>
            </w:hyperlink>
            <w:r w:rsidRPr="006F3B5C">
              <w:t xml:space="preserve"> a future exam control is set for a condition like ALS that can only be rated at 100 percent and is, by its nature, permanent. </w:t>
            </w:r>
          </w:p>
          <w:p w14:paraId="224713E1" w14:textId="770CCC1B" w:rsidR="008D304B" w:rsidRPr="006F3B5C" w:rsidRDefault="008D304B" w:rsidP="008D304B">
            <w:pPr>
              <w:pStyle w:val="TableText"/>
            </w:pPr>
          </w:p>
        </w:tc>
        <w:tc>
          <w:tcPr>
            <w:tcW w:w="2500" w:type="pct"/>
            <w:shd w:val="clear" w:color="auto" w:fill="auto"/>
          </w:tcPr>
          <w:p w14:paraId="4B3ECD6B" w14:textId="6677787C" w:rsidR="008D304B" w:rsidRPr="006F3B5C" w:rsidRDefault="008D304B" w:rsidP="008D304B">
            <w:pPr>
              <w:pStyle w:val="BlockText"/>
            </w:pPr>
            <w:proofErr w:type="gramStart"/>
            <w:r w:rsidRPr="006F3B5C">
              <w:t>set</w:t>
            </w:r>
            <w:proofErr w:type="gramEnd"/>
            <w:r w:rsidRPr="006F3B5C">
              <w:t xml:space="preserve"> the date of P&amp;T disability </w:t>
            </w:r>
            <w:r w:rsidRPr="006F3B5C">
              <w:rPr>
                <w:b/>
                <w:i/>
              </w:rPr>
              <w:t>as if the future exam control was never established</w:t>
            </w:r>
            <w:r w:rsidRPr="006F3B5C">
              <w:t>.</w:t>
            </w:r>
          </w:p>
          <w:p w14:paraId="4CA31C37" w14:textId="77777777" w:rsidR="008D304B" w:rsidRPr="006F3B5C" w:rsidRDefault="008D304B" w:rsidP="008D304B">
            <w:pPr>
              <w:pStyle w:val="TableText"/>
            </w:pPr>
          </w:p>
          <w:p w14:paraId="1BD26E77" w14:textId="287E4851" w:rsidR="000B6B7D" w:rsidRPr="006F3B5C" w:rsidRDefault="000B6B7D" w:rsidP="008D304B">
            <w:pPr>
              <w:pStyle w:val="TableText"/>
            </w:pPr>
            <w:r w:rsidRPr="006F3B5C">
              <w:rPr>
                <w:b/>
                <w:i/>
              </w:rPr>
              <w:t>Explanation</w:t>
            </w:r>
            <w:r w:rsidRPr="006F3B5C">
              <w:t xml:space="preserve">:  If the exam control was erroneous the condition was static at the time of the prior rating.  </w:t>
            </w:r>
          </w:p>
        </w:tc>
      </w:tr>
      <w:tr w:rsidR="008D304B" w:rsidRPr="006F3B5C" w14:paraId="435AB8B6" w14:textId="77777777" w:rsidTr="008D304B">
        <w:tc>
          <w:tcPr>
            <w:tcW w:w="2500" w:type="pct"/>
            <w:shd w:val="clear" w:color="auto" w:fill="auto"/>
          </w:tcPr>
          <w:p w14:paraId="7A7DA273" w14:textId="01CDA8BB" w:rsidR="008D304B" w:rsidRPr="006F3B5C" w:rsidRDefault="008D304B" w:rsidP="008D304B">
            <w:pPr>
              <w:pStyle w:val="TableText"/>
            </w:pPr>
            <w:r w:rsidRPr="006F3B5C">
              <w:t xml:space="preserve">a difference in judgment rather than a specific error in the initial future exam control </w:t>
            </w:r>
          </w:p>
          <w:p w14:paraId="3C6D7885" w14:textId="77777777" w:rsidR="008D304B" w:rsidRPr="006F3B5C" w:rsidRDefault="008D304B" w:rsidP="008D304B">
            <w:pPr>
              <w:pStyle w:val="TableText"/>
            </w:pPr>
          </w:p>
          <w:p w14:paraId="54C0968B" w14:textId="2425C40E" w:rsidR="008D304B" w:rsidRPr="006F3B5C" w:rsidRDefault="008D304B" w:rsidP="008D304B">
            <w:pPr>
              <w:pStyle w:val="TableText"/>
            </w:pPr>
            <w:r w:rsidRPr="006F3B5C">
              <w:rPr>
                <w:b/>
                <w:i/>
              </w:rPr>
              <w:t>Example</w:t>
            </w:r>
            <w:r w:rsidRPr="006F3B5C">
              <w:t xml:space="preserve">: a </w:t>
            </w:r>
            <w:r w:rsidR="009000A5" w:rsidRPr="006F3B5C">
              <w:t>Rating Veterans Service Representative (</w:t>
            </w:r>
            <w:r w:rsidRPr="006F3B5C">
              <w:t>RVSR</w:t>
            </w:r>
            <w:r w:rsidR="009000A5" w:rsidRPr="006F3B5C">
              <w:t>)</w:t>
            </w:r>
            <w:r w:rsidRPr="006F3B5C">
              <w:t xml:space="preserve"> reviewing </w:t>
            </w:r>
            <w:r w:rsidR="009000A5" w:rsidRPr="006F3B5C">
              <w:t xml:space="preserve">an </w:t>
            </w:r>
            <w:r w:rsidRPr="006F3B5C">
              <w:t xml:space="preserve">810-series work items determines that </w:t>
            </w:r>
            <w:r w:rsidR="00CA33BB" w:rsidRPr="006F3B5C">
              <w:t xml:space="preserve">a </w:t>
            </w:r>
            <w:r w:rsidR="000B6B7D" w:rsidRPr="006F3B5C">
              <w:t xml:space="preserve">review </w:t>
            </w:r>
            <w:r w:rsidRPr="006F3B5C">
              <w:t xml:space="preserve">exam should not be scheduled </w:t>
            </w:r>
            <w:r w:rsidR="000B6B7D" w:rsidRPr="006F3B5C">
              <w:t xml:space="preserve">as planned </w:t>
            </w:r>
            <w:r w:rsidRPr="006F3B5C">
              <w:t xml:space="preserve">because the conclusion of likely future improvement </w:t>
            </w:r>
            <w:r w:rsidR="000B6B7D" w:rsidRPr="006F3B5C">
              <w:t xml:space="preserve">used to set the </w:t>
            </w:r>
            <w:r w:rsidRPr="006F3B5C">
              <w:t xml:space="preserve">future exam control was not well justified by the facts. </w:t>
            </w:r>
          </w:p>
          <w:p w14:paraId="4464A5D6" w14:textId="07FF8B5B" w:rsidR="008D304B" w:rsidRPr="006F3B5C" w:rsidRDefault="008D304B" w:rsidP="008D304B">
            <w:pPr>
              <w:pStyle w:val="TableText"/>
            </w:pPr>
          </w:p>
        </w:tc>
        <w:tc>
          <w:tcPr>
            <w:tcW w:w="2500" w:type="pct"/>
            <w:shd w:val="clear" w:color="auto" w:fill="auto"/>
          </w:tcPr>
          <w:p w14:paraId="583BF230" w14:textId="28F074E2" w:rsidR="008D304B" w:rsidRPr="006F3B5C" w:rsidRDefault="006839DB" w:rsidP="008D304B">
            <w:pPr>
              <w:pStyle w:val="TableText"/>
            </w:pPr>
            <w:proofErr w:type="gramStart"/>
            <w:r w:rsidRPr="006F3B5C">
              <w:t>for</w:t>
            </w:r>
            <w:proofErr w:type="gramEnd"/>
            <w:r w:rsidRPr="006F3B5C">
              <w:t xml:space="preserve"> the date of P&amp;T disability </w:t>
            </w:r>
            <w:r w:rsidR="008D304B" w:rsidRPr="006F3B5C">
              <w:t xml:space="preserve">use the </w:t>
            </w:r>
            <w:r w:rsidR="008D304B" w:rsidRPr="006F3B5C">
              <w:rPr>
                <w:b/>
                <w:i/>
              </w:rPr>
              <w:t>date of review</w:t>
            </w:r>
            <w:r w:rsidR="008D304B" w:rsidRPr="006F3B5C">
              <w:t xml:space="preserve">/ </w:t>
            </w:r>
            <w:r w:rsidR="008D304B" w:rsidRPr="006F3B5C">
              <w:rPr>
                <w:b/>
                <w:i/>
              </w:rPr>
              <w:t>date of cancellation</w:t>
            </w:r>
            <w:r w:rsidR="008D304B" w:rsidRPr="006F3B5C">
              <w:t>.</w:t>
            </w:r>
          </w:p>
          <w:p w14:paraId="0EE9ED0D" w14:textId="77777777" w:rsidR="000B6B7D" w:rsidRPr="006F3B5C" w:rsidRDefault="000B6B7D" w:rsidP="008D304B">
            <w:pPr>
              <w:pStyle w:val="TableText"/>
            </w:pPr>
          </w:p>
          <w:p w14:paraId="643AEB1E" w14:textId="20B2E102" w:rsidR="000B6B7D" w:rsidRPr="006F3B5C" w:rsidRDefault="000B6B7D" w:rsidP="000B6B7D">
            <w:pPr>
              <w:pStyle w:val="TableText"/>
            </w:pPr>
            <w:r w:rsidRPr="006F3B5C">
              <w:rPr>
                <w:b/>
                <w:i/>
              </w:rPr>
              <w:t>Explanation</w:t>
            </w:r>
            <w:r w:rsidRPr="006F3B5C">
              <w:t xml:space="preserve">:  This is essentially a new determination of permanency on the date of review caused by reexamination of the facts.  </w:t>
            </w:r>
          </w:p>
        </w:tc>
      </w:tr>
      <w:tr w:rsidR="008D304B" w:rsidRPr="006F3B5C" w14:paraId="7E258CED" w14:textId="77777777" w:rsidTr="008D304B">
        <w:tc>
          <w:tcPr>
            <w:tcW w:w="2500" w:type="pct"/>
            <w:shd w:val="clear" w:color="auto" w:fill="auto"/>
          </w:tcPr>
          <w:p w14:paraId="0A6CFDA8" w14:textId="67DAECF0" w:rsidR="008D304B" w:rsidRPr="006F3B5C" w:rsidRDefault="008D304B" w:rsidP="008D304B">
            <w:pPr>
              <w:pStyle w:val="TableText"/>
            </w:pPr>
            <w:r w:rsidRPr="006F3B5C">
              <w:t>new evidence that changes the prior assessment that the total disability is likely to improve</w:t>
            </w:r>
          </w:p>
        </w:tc>
        <w:tc>
          <w:tcPr>
            <w:tcW w:w="2500" w:type="pct"/>
            <w:shd w:val="clear" w:color="auto" w:fill="auto"/>
          </w:tcPr>
          <w:p w14:paraId="0278E147" w14:textId="1AECA872" w:rsidR="008D304B" w:rsidRPr="006F3B5C" w:rsidRDefault="006839DB" w:rsidP="008D304B">
            <w:pPr>
              <w:pStyle w:val="TableText"/>
            </w:pPr>
            <w:proofErr w:type="gramStart"/>
            <w:r w:rsidRPr="006F3B5C">
              <w:t>for</w:t>
            </w:r>
            <w:proofErr w:type="gramEnd"/>
            <w:r w:rsidRPr="006F3B5C">
              <w:t xml:space="preserve"> the date of P&amp;T disability, generally</w:t>
            </w:r>
            <w:r w:rsidR="000B6B7D" w:rsidRPr="006F3B5C">
              <w:t xml:space="preserve"> u</w:t>
            </w:r>
            <w:r w:rsidR="008D304B" w:rsidRPr="006F3B5C">
              <w:t xml:space="preserve">se </w:t>
            </w:r>
            <w:r w:rsidR="008D304B" w:rsidRPr="006F3B5C">
              <w:rPr>
                <w:b/>
                <w:i/>
              </w:rPr>
              <w:t xml:space="preserve"> </w:t>
            </w:r>
            <w:r w:rsidR="008D304B" w:rsidRPr="006F3B5C">
              <w:t xml:space="preserve">the </w:t>
            </w:r>
            <w:r w:rsidR="008D304B" w:rsidRPr="006F3B5C">
              <w:rPr>
                <w:b/>
                <w:i/>
              </w:rPr>
              <w:t>date that the new evidence is received</w:t>
            </w:r>
            <w:r w:rsidR="008D304B" w:rsidRPr="006F3B5C">
              <w:t xml:space="preserve">.  </w:t>
            </w:r>
          </w:p>
          <w:p w14:paraId="72671A56" w14:textId="77777777" w:rsidR="008D304B" w:rsidRPr="006F3B5C" w:rsidRDefault="008D304B" w:rsidP="008D304B">
            <w:pPr>
              <w:pStyle w:val="TableText"/>
            </w:pPr>
          </w:p>
          <w:p w14:paraId="124BB9DA" w14:textId="50AAA55A" w:rsidR="008D304B" w:rsidRPr="006F3B5C" w:rsidRDefault="000B6B7D" w:rsidP="004B331E">
            <w:pPr>
              <w:pStyle w:val="TableText"/>
            </w:pPr>
            <w:r w:rsidRPr="006F3B5C">
              <w:rPr>
                <w:b/>
                <w:i/>
              </w:rPr>
              <w:t>Exception</w:t>
            </w:r>
            <w:r w:rsidR="008D304B" w:rsidRPr="006F3B5C">
              <w:t>:  Where the new evidence consists of a VA record</w:t>
            </w:r>
            <w:r w:rsidR="00CD1001" w:rsidRPr="006F3B5C">
              <w:t xml:space="preserve"> generated after </w:t>
            </w:r>
            <w:r w:rsidR="008D304B" w:rsidRPr="006F3B5C">
              <w:t>the date of the rating where the future exam control was set, use the date of the record.  The RO is deemed to have constructive notice of VA records.</w:t>
            </w:r>
          </w:p>
        </w:tc>
      </w:tr>
    </w:tbl>
    <w:p w14:paraId="65E40D8A" w14:textId="453571AD" w:rsidR="00E7406A" w:rsidRPr="006F3B5C" w:rsidRDefault="00E7406A" w:rsidP="00393FFA">
      <w:pPr>
        <w:pStyle w:val="BlockLine"/>
      </w:pPr>
    </w:p>
    <w:tbl>
      <w:tblPr>
        <w:tblW w:w="0" w:type="auto"/>
        <w:tblLayout w:type="fixed"/>
        <w:tblLook w:val="0000" w:firstRow="0" w:lastRow="0" w:firstColumn="0" w:lastColumn="0" w:noHBand="0" w:noVBand="0"/>
      </w:tblPr>
      <w:tblGrid>
        <w:gridCol w:w="1728"/>
        <w:gridCol w:w="7740"/>
      </w:tblGrid>
      <w:tr w:rsidR="00393FFA" w:rsidRPr="006F3B5C" w14:paraId="0806A922" w14:textId="77777777" w:rsidTr="00393FFA">
        <w:tc>
          <w:tcPr>
            <w:tcW w:w="1728" w:type="dxa"/>
            <w:shd w:val="clear" w:color="auto" w:fill="auto"/>
          </w:tcPr>
          <w:p w14:paraId="46B83DA2" w14:textId="0CA38DEB" w:rsidR="00393FFA" w:rsidRPr="006F3B5C" w:rsidRDefault="00FF3BA4" w:rsidP="00393FFA">
            <w:pPr>
              <w:pStyle w:val="Heading5"/>
            </w:pPr>
            <w:bookmarkStart w:id="13" w:name="_n.__Regaining"/>
            <w:bookmarkEnd w:id="13"/>
            <w:proofErr w:type="gramStart"/>
            <w:r w:rsidRPr="006F3B5C">
              <w:t xml:space="preserve">n.  </w:t>
            </w:r>
            <w:r w:rsidR="00393FFA" w:rsidRPr="006F3B5C">
              <w:t>Regaining</w:t>
            </w:r>
            <w:proofErr w:type="gramEnd"/>
            <w:r w:rsidR="00393FFA" w:rsidRPr="006F3B5C">
              <w:t xml:space="preserve"> Entitlement to DEA</w:t>
            </w:r>
          </w:p>
        </w:tc>
        <w:tc>
          <w:tcPr>
            <w:tcW w:w="7740" w:type="dxa"/>
            <w:shd w:val="clear" w:color="auto" w:fill="auto"/>
          </w:tcPr>
          <w:p w14:paraId="620F5B76" w14:textId="77777777" w:rsidR="00393FFA" w:rsidRPr="006F3B5C" w:rsidRDefault="00393FFA" w:rsidP="00393FFA">
            <w:pPr>
              <w:pStyle w:val="BlockText"/>
            </w:pPr>
            <w:r w:rsidRPr="006F3B5C">
              <w:t xml:space="preserve">Under the provisions of </w:t>
            </w:r>
            <w:hyperlink r:id="rId31" w:history="1">
              <w:r w:rsidRPr="006F3B5C">
                <w:rPr>
                  <w:rStyle w:val="Hyperlink"/>
                </w:rPr>
                <w:t>38 U.S.C. 1311(e)</w:t>
              </w:r>
            </w:hyperlink>
            <w:r w:rsidRPr="006F3B5C">
              <w:t xml:space="preserve">, a surviving spouse who is ineligible for Dependency and Indemnity Compensation (DIC) because he/she has remarried or is living with someone and holding himself/herself out openly as a spouse, may regain eligibility for DIC upon the termination of such relationships.  </w:t>
            </w:r>
          </w:p>
          <w:p w14:paraId="0234A74C" w14:textId="77777777" w:rsidR="00393FFA" w:rsidRPr="006F3B5C" w:rsidRDefault="00393FFA" w:rsidP="00393FFA">
            <w:pPr>
              <w:pStyle w:val="BlockText"/>
            </w:pPr>
          </w:p>
          <w:p w14:paraId="3902B187" w14:textId="77777777" w:rsidR="00393FFA" w:rsidRPr="006F3B5C" w:rsidRDefault="00DD59CE" w:rsidP="00393FFA">
            <w:pPr>
              <w:pStyle w:val="BlockText"/>
            </w:pPr>
            <w:hyperlink r:id="rId32" w:history="1">
              <w:r w:rsidR="00393FFA" w:rsidRPr="006F3B5C">
                <w:rPr>
                  <w:rStyle w:val="Hyperlink"/>
                </w:rPr>
                <w:t>VAOPGCPREC 13-98</w:t>
              </w:r>
            </w:hyperlink>
            <w:r w:rsidR="00393FFA" w:rsidRPr="006F3B5C">
              <w:t xml:space="preserve"> held that eligibility for DIC regained under these provisions did not entitle the surviving spouse to Civilian Health and Medical </w:t>
            </w:r>
            <w:r w:rsidR="00393FFA" w:rsidRPr="006F3B5C">
              <w:lastRenderedPageBreak/>
              <w:t xml:space="preserve">Program (CHAMPVA) benefits, DEA, or loan guaranty benefits.  However, </w:t>
            </w:r>
            <w:r w:rsidR="00393FFA" w:rsidRPr="006F3B5C">
              <w:rPr>
                <w:i/>
              </w:rPr>
              <w:t>Public Law (PL) 106-117</w:t>
            </w:r>
            <w:r w:rsidR="00393FFA" w:rsidRPr="006F3B5C">
              <w:t xml:space="preserve">, effective November 30, 1999, explicitly restored eligibility for these ancillary benefits.  </w:t>
            </w:r>
          </w:p>
          <w:p w14:paraId="37615440" w14:textId="77777777" w:rsidR="00393FFA" w:rsidRPr="006F3B5C" w:rsidRDefault="00393FFA" w:rsidP="00393FFA">
            <w:pPr>
              <w:pStyle w:val="BlockText"/>
            </w:pPr>
          </w:p>
          <w:p w14:paraId="2BE9DB51" w14:textId="77777777" w:rsidR="00393FFA" w:rsidRPr="006F3B5C" w:rsidRDefault="00393FFA" w:rsidP="00393FFA">
            <w:pPr>
              <w:pStyle w:val="BlockText"/>
            </w:pPr>
            <w:r w:rsidRPr="006F3B5C">
              <w:rPr>
                <w:b/>
                <w:bCs/>
                <w:i/>
                <w:iCs/>
              </w:rPr>
              <w:t>Note</w:t>
            </w:r>
            <w:r w:rsidRPr="006F3B5C">
              <w:t>:  These benefits are not payable for the period from October 1, 1998, to November 30, 1999.</w:t>
            </w:r>
          </w:p>
          <w:p w14:paraId="458F7184" w14:textId="77777777" w:rsidR="00393FFA" w:rsidRPr="006F3B5C" w:rsidRDefault="00393FFA" w:rsidP="00393FFA">
            <w:pPr>
              <w:pStyle w:val="BlockText"/>
            </w:pPr>
          </w:p>
          <w:p w14:paraId="2B02AC8C" w14:textId="77777777" w:rsidR="00393FFA" w:rsidRPr="006F3B5C" w:rsidRDefault="00393FFA" w:rsidP="00393FFA">
            <w:pPr>
              <w:pStyle w:val="BlockText"/>
            </w:pPr>
            <w:r w:rsidRPr="006F3B5C">
              <w:rPr>
                <w:b/>
                <w:bCs/>
                <w:i/>
                <w:iCs/>
              </w:rPr>
              <w:t>Reference</w:t>
            </w:r>
            <w:r w:rsidRPr="006F3B5C">
              <w:t>:  For more information on regaining entitlement to DEA, see</w:t>
            </w:r>
          </w:p>
          <w:p w14:paraId="252142A6" w14:textId="20A2374D" w:rsidR="00393FFA" w:rsidRPr="006F3B5C" w:rsidRDefault="00DD59CE" w:rsidP="00393FFA">
            <w:pPr>
              <w:pStyle w:val="BlockText"/>
            </w:pPr>
            <w:hyperlink r:id="rId33" w:history="1">
              <w:r w:rsidR="00393FFA" w:rsidRPr="006F3B5C">
                <w:rPr>
                  <w:rStyle w:val="Hyperlink"/>
                </w:rPr>
                <w:t>M21-1MR, Part III, Subpart iii, 5.F</w:t>
              </w:r>
            </w:hyperlink>
            <w:r w:rsidR="00393FFA" w:rsidRPr="006F3B5C">
              <w:t>.</w:t>
            </w:r>
          </w:p>
        </w:tc>
      </w:tr>
    </w:tbl>
    <w:p w14:paraId="2E56D38A" w14:textId="77777777" w:rsidR="00393FFA" w:rsidRPr="006F3B5C" w:rsidRDefault="00393FFA" w:rsidP="00393FFA">
      <w:pPr>
        <w:pStyle w:val="BlockLine"/>
      </w:pPr>
    </w:p>
    <w:p w14:paraId="65E40D8B" w14:textId="77777777" w:rsidR="00E7406A" w:rsidRPr="006F3B5C" w:rsidRDefault="00E7406A">
      <w:pPr>
        <w:pStyle w:val="Heading4"/>
      </w:pPr>
      <w:r w:rsidRPr="006F3B5C">
        <w:br w:type="page"/>
      </w:r>
      <w:r w:rsidRPr="006F3B5C">
        <w:lastRenderedPageBreak/>
        <w:t>2.  Dental Treatment</w:t>
      </w:r>
      <w:r w:rsidR="00D14C4D" w:rsidRPr="006F3B5C">
        <w:t>-</w:t>
      </w:r>
      <w:r w:rsidR="00F54D6D" w:rsidRPr="006F3B5C">
        <w:t>Purposes Ratings</w:t>
      </w:r>
    </w:p>
    <w:p w14:paraId="65E40D8C" w14:textId="77777777" w:rsidR="00E7406A" w:rsidRPr="006F3B5C" w:rsidRDefault="00E7406A">
      <w:pPr>
        <w:pStyle w:val="BlockLine"/>
      </w:pPr>
      <w:r w:rsidRPr="006F3B5C">
        <w:fldChar w:fldCharType="begin"/>
      </w:r>
      <w:r w:rsidRPr="006F3B5C">
        <w:instrText xml:space="preserve"> PRIVATE INFOTYPE="OTHER"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0DA3" w14:textId="77777777" w:rsidTr="0087122C">
        <w:trPr>
          <w:cantSplit/>
        </w:trPr>
        <w:tc>
          <w:tcPr>
            <w:tcW w:w="1728" w:type="dxa"/>
            <w:shd w:val="clear" w:color="auto" w:fill="auto"/>
          </w:tcPr>
          <w:p w14:paraId="65E40D8D" w14:textId="77777777" w:rsidR="00E7406A" w:rsidRPr="006F3B5C" w:rsidRDefault="00E7406A">
            <w:pPr>
              <w:pStyle w:val="Heading5"/>
            </w:pPr>
            <w:r w:rsidRPr="006F3B5C">
              <w:t>Introduction</w:t>
            </w:r>
          </w:p>
        </w:tc>
        <w:tc>
          <w:tcPr>
            <w:tcW w:w="7740" w:type="dxa"/>
            <w:shd w:val="clear" w:color="auto" w:fill="auto"/>
          </w:tcPr>
          <w:p w14:paraId="65E40D8E" w14:textId="77777777" w:rsidR="00E7406A" w:rsidRPr="006F3B5C" w:rsidRDefault="00E7406A" w:rsidP="0087122C">
            <w:pPr>
              <w:pStyle w:val="BlockText"/>
            </w:pPr>
            <w:r w:rsidRPr="006F3B5C">
              <w:t>This topic c</w:t>
            </w:r>
            <w:r w:rsidR="00F54D6D" w:rsidRPr="006F3B5C">
              <w:t xml:space="preserve">ontains general information on </w:t>
            </w:r>
            <w:r w:rsidRPr="006F3B5C">
              <w:t>dental treatment</w:t>
            </w:r>
            <w:r w:rsidR="00F54D6D" w:rsidRPr="006F3B5C">
              <w:t xml:space="preserve"> purposes ratings</w:t>
            </w:r>
            <w:r w:rsidRPr="006F3B5C">
              <w:t xml:space="preserve">, including </w:t>
            </w:r>
          </w:p>
          <w:p w14:paraId="65E40D8F" w14:textId="77777777" w:rsidR="00E7406A" w:rsidRPr="006F3B5C" w:rsidRDefault="00E7406A" w:rsidP="0087122C">
            <w:pPr>
              <w:pStyle w:val="BlockText"/>
            </w:pPr>
          </w:p>
          <w:p w14:paraId="65E40D90" w14:textId="48565C29" w:rsidR="00035B6B" w:rsidRPr="006F3B5C" w:rsidRDefault="00DD59CE">
            <w:pPr>
              <w:pStyle w:val="BulletText1"/>
            </w:pPr>
            <w:hyperlink w:anchor="_a._Interpreting_Claims" w:history="1">
              <w:r w:rsidR="00035B6B" w:rsidRPr="006F3B5C">
                <w:rPr>
                  <w:rStyle w:val="Hyperlink"/>
                </w:rPr>
                <w:t>interpreting claims raising dental issues</w:t>
              </w:r>
            </w:hyperlink>
          </w:p>
          <w:p w14:paraId="65E40D92" w14:textId="4EFA85D2" w:rsidR="00D505D5" w:rsidRPr="006F3B5C" w:rsidRDefault="00DD59CE">
            <w:pPr>
              <w:pStyle w:val="BulletText1"/>
            </w:pPr>
            <w:hyperlink w:anchor="_b._Outpatient_Dental" w:history="1">
              <w:r w:rsidR="00874DEC" w:rsidRPr="006F3B5C">
                <w:rPr>
                  <w:rStyle w:val="Hyperlink"/>
                </w:rPr>
                <w:t xml:space="preserve">outpatient dental treatment classifications </w:t>
              </w:r>
            </w:hyperlink>
            <w:r w:rsidR="00874DEC" w:rsidRPr="006F3B5C">
              <w:t xml:space="preserve"> </w:t>
            </w:r>
          </w:p>
          <w:p w14:paraId="65E40D93" w14:textId="559BFFEF" w:rsidR="00E7406A" w:rsidRPr="006F3B5C" w:rsidRDefault="00DD59CE">
            <w:pPr>
              <w:pStyle w:val="BulletText1"/>
            </w:pPr>
            <w:hyperlink w:anchor="_c.__VHA" w:history="1">
              <w:r w:rsidR="00874DEC" w:rsidRPr="006F3B5C">
                <w:rPr>
                  <w:rStyle w:val="Hyperlink"/>
                </w:rPr>
                <w:t>V</w:t>
              </w:r>
              <w:r w:rsidR="00A36058" w:rsidRPr="006F3B5C">
                <w:rPr>
                  <w:rStyle w:val="Hyperlink"/>
                </w:rPr>
                <w:t>eterans Health Administration (V</w:t>
              </w:r>
              <w:r w:rsidR="00874DEC" w:rsidRPr="006F3B5C">
                <w:rPr>
                  <w:rStyle w:val="Hyperlink"/>
                </w:rPr>
                <w:t>HA</w:t>
              </w:r>
              <w:r w:rsidR="00A36058" w:rsidRPr="006F3B5C">
                <w:rPr>
                  <w:rStyle w:val="Hyperlink"/>
                </w:rPr>
                <w:t>) and Veterans Benefit Administration (VBA) roles in</w:t>
              </w:r>
              <w:r w:rsidR="00874DEC" w:rsidRPr="006F3B5C">
                <w:rPr>
                  <w:rStyle w:val="Hyperlink"/>
                </w:rPr>
                <w:t xml:space="preserve"> dental treatment eligibility determinations</w:t>
              </w:r>
            </w:hyperlink>
          </w:p>
          <w:p w14:paraId="78888B8E" w14:textId="05E777BF" w:rsidR="00245E8A" w:rsidRPr="006F3B5C" w:rsidRDefault="00DD59CE" w:rsidP="00245E8A">
            <w:pPr>
              <w:pStyle w:val="BulletText1"/>
            </w:pPr>
            <w:hyperlink w:anchor="_d._Determinations_VBA" w:history="1">
              <w:r w:rsidR="00245E8A" w:rsidRPr="006F3B5C">
                <w:rPr>
                  <w:rStyle w:val="Hyperlink"/>
                </w:rPr>
                <w:t>determinations VBA makes for dental treatment purposes</w:t>
              </w:r>
            </w:hyperlink>
          </w:p>
          <w:p w14:paraId="65E40D94" w14:textId="59142106" w:rsidR="00874DEC" w:rsidRPr="006F3B5C" w:rsidRDefault="00DD59CE" w:rsidP="00874DEC">
            <w:pPr>
              <w:pStyle w:val="BulletText1"/>
            </w:pPr>
            <w:hyperlink w:anchor="_e._When_to" w:history="1">
              <w:r w:rsidR="00874DEC" w:rsidRPr="006F3B5C">
                <w:rPr>
                  <w:rStyle w:val="Hyperlink"/>
                </w:rPr>
                <w:t>when to prepare a rating for dental treatment purposes</w:t>
              </w:r>
            </w:hyperlink>
          </w:p>
          <w:p w14:paraId="65E40D96" w14:textId="3B93FE18" w:rsidR="00874DEC" w:rsidRPr="006F3B5C" w:rsidRDefault="00DD59CE" w:rsidP="00874DEC">
            <w:pPr>
              <w:pStyle w:val="BulletText1"/>
            </w:pPr>
            <w:hyperlink w:anchor="_f._Service_Trauma" w:history="1">
              <w:r w:rsidR="00F207AB" w:rsidRPr="006F3B5C">
                <w:rPr>
                  <w:rStyle w:val="Hyperlink"/>
                </w:rPr>
                <w:t>service</w:t>
              </w:r>
              <w:r w:rsidR="00874DEC" w:rsidRPr="006F3B5C">
                <w:rPr>
                  <w:rStyle w:val="Hyperlink"/>
                </w:rPr>
                <w:t xml:space="preserve"> trauma for </w:t>
              </w:r>
              <w:r w:rsidR="00D71F55" w:rsidRPr="006F3B5C">
                <w:rPr>
                  <w:rStyle w:val="Hyperlink"/>
                </w:rPr>
                <w:t xml:space="preserve">dental </w:t>
              </w:r>
              <w:r w:rsidR="00874DEC" w:rsidRPr="006F3B5C">
                <w:rPr>
                  <w:rStyle w:val="Hyperlink"/>
                </w:rPr>
                <w:t>treatment purposes</w:t>
              </w:r>
            </w:hyperlink>
          </w:p>
          <w:p w14:paraId="65E40D97" w14:textId="5B73A51D" w:rsidR="00874DEC" w:rsidRPr="006F3B5C" w:rsidRDefault="00810C95" w:rsidP="00874DEC">
            <w:pPr>
              <w:pStyle w:val="BulletText1"/>
              <w:rPr>
                <w:rStyle w:val="Hyperlink"/>
              </w:rPr>
            </w:pPr>
            <w:r w:rsidRPr="006F3B5C">
              <w:fldChar w:fldCharType="begin"/>
            </w:r>
            <w:r w:rsidRPr="006F3B5C">
              <w:instrText xml:space="preserve"> HYPERLINK  \l "_g._Conditions_SC" </w:instrText>
            </w:r>
            <w:r w:rsidRPr="006F3B5C">
              <w:fldChar w:fldCharType="separate"/>
            </w:r>
            <w:r w:rsidR="00DB42BA" w:rsidRPr="006F3B5C">
              <w:rPr>
                <w:rStyle w:val="Hyperlink"/>
              </w:rPr>
              <w:t xml:space="preserve">conditions </w:t>
            </w:r>
            <w:r w:rsidR="00874DEC" w:rsidRPr="006F3B5C">
              <w:rPr>
                <w:rStyle w:val="Hyperlink"/>
              </w:rPr>
              <w:t xml:space="preserve">SC only for </w:t>
            </w:r>
            <w:r w:rsidR="004B65E0" w:rsidRPr="006F3B5C">
              <w:rPr>
                <w:rStyle w:val="Hyperlink"/>
              </w:rPr>
              <w:t xml:space="preserve">dental </w:t>
            </w:r>
            <w:r w:rsidR="00874DEC" w:rsidRPr="006F3B5C">
              <w:rPr>
                <w:rStyle w:val="Hyperlink"/>
              </w:rPr>
              <w:t>treatment purposes</w:t>
            </w:r>
          </w:p>
          <w:p w14:paraId="65E40D98" w14:textId="7A89D5C4" w:rsidR="00874DEC" w:rsidRPr="006F3B5C" w:rsidRDefault="00810C95" w:rsidP="00874DEC">
            <w:pPr>
              <w:pStyle w:val="BulletText1"/>
            </w:pPr>
            <w:r w:rsidRPr="006F3B5C">
              <w:fldChar w:fldCharType="end"/>
            </w:r>
            <w:hyperlink w:anchor="_h._Dental_Conditions" w:history="1">
              <w:r w:rsidR="00874DEC" w:rsidRPr="006F3B5C">
                <w:rPr>
                  <w:rStyle w:val="Hyperlink"/>
                </w:rPr>
                <w:t>dental conditions not considered SC even for treatment purposes</w:t>
              </w:r>
            </w:hyperlink>
          </w:p>
          <w:p w14:paraId="65E40D99" w14:textId="5786D9DF" w:rsidR="00874DEC" w:rsidRPr="006F3B5C" w:rsidRDefault="00DD59CE" w:rsidP="00874DEC">
            <w:pPr>
              <w:pStyle w:val="BulletText1"/>
            </w:pPr>
            <w:hyperlink w:anchor="_i._Separate_Consideration" w:history="1">
              <w:r w:rsidR="004B65E0" w:rsidRPr="006F3B5C">
                <w:rPr>
                  <w:rStyle w:val="Hyperlink"/>
                </w:rPr>
                <w:t>separate consideration of each condition for dental treatment purposes</w:t>
              </w:r>
            </w:hyperlink>
          </w:p>
          <w:p w14:paraId="65E40D9A" w14:textId="1312F5BE" w:rsidR="00874DEC" w:rsidRPr="006F3B5C" w:rsidRDefault="00DD59CE" w:rsidP="00874DEC">
            <w:pPr>
              <w:pStyle w:val="BulletText1"/>
            </w:pPr>
            <w:hyperlink w:anchor="_j._Dental_Conditions" w:history="1">
              <w:r w:rsidR="00926153" w:rsidRPr="006F3B5C">
                <w:rPr>
                  <w:rStyle w:val="Hyperlink"/>
                </w:rPr>
                <w:t xml:space="preserve">dental conditions on </w:t>
              </w:r>
              <w:r w:rsidR="00874DEC" w:rsidRPr="006F3B5C">
                <w:rPr>
                  <w:rStyle w:val="Hyperlink"/>
                </w:rPr>
                <w:t>service</w:t>
              </w:r>
              <w:r w:rsidR="00926153" w:rsidRPr="006F3B5C">
                <w:rPr>
                  <w:rStyle w:val="Hyperlink"/>
                </w:rPr>
                <w:t xml:space="preserve"> entry and aggravation for treatment purposes</w:t>
              </w:r>
            </w:hyperlink>
          </w:p>
          <w:p w14:paraId="65E40D9B" w14:textId="67437CF0" w:rsidR="005254FD" w:rsidRPr="006F3B5C" w:rsidRDefault="00DD59CE" w:rsidP="005254FD">
            <w:pPr>
              <w:pStyle w:val="BulletText1"/>
            </w:pPr>
            <w:hyperlink w:anchor="_k._SC_for" w:history="1">
              <w:r w:rsidR="005254FD" w:rsidRPr="006F3B5C">
                <w:rPr>
                  <w:rStyle w:val="Hyperlink"/>
                </w:rPr>
                <w:t xml:space="preserve">SC for dental treatment </w:t>
              </w:r>
              <w:r w:rsidR="0055224C" w:rsidRPr="006F3B5C">
                <w:rPr>
                  <w:rStyle w:val="Hyperlink"/>
                </w:rPr>
                <w:t>– n</w:t>
              </w:r>
              <w:r w:rsidR="005254FD" w:rsidRPr="006F3B5C">
                <w:rPr>
                  <w:rStyle w:val="Hyperlink"/>
                </w:rPr>
                <w:t>oted at entry and treated during service</w:t>
              </w:r>
            </w:hyperlink>
            <w:r w:rsidR="005254FD" w:rsidRPr="006F3B5C">
              <w:t xml:space="preserve"> </w:t>
            </w:r>
          </w:p>
          <w:p w14:paraId="65E40D9C" w14:textId="1796A59C" w:rsidR="005254FD" w:rsidRPr="006F3B5C" w:rsidRDefault="00DD59CE" w:rsidP="005254FD">
            <w:pPr>
              <w:pStyle w:val="BulletText1"/>
            </w:pPr>
            <w:hyperlink w:anchor="_l._SC_for" w:history="1">
              <w:r w:rsidR="0055224C" w:rsidRPr="006F3B5C">
                <w:rPr>
                  <w:rStyle w:val="Hyperlink"/>
                </w:rPr>
                <w:t>SC for dental treatment – extracted teeth from chronic periodontal disease</w:t>
              </w:r>
            </w:hyperlink>
          </w:p>
          <w:p w14:paraId="65E40D9D" w14:textId="41547147" w:rsidR="00874DEC" w:rsidRPr="006F3B5C" w:rsidRDefault="00DD59CE" w:rsidP="00874DEC">
            <w:pPr>
              <w:pStyle w:val="BulletText1"/>
            </w:pPr>
            <w:hyperlink w:anchor="_m._Handling_Dental" w:history="1">
              <w:r w:rsidR="00874DEC" w:rsidRPr="006F3B5C">
                <w:rPr>
                  <w:rStyle w:val="Hyperlink"/>
                </w:rPr>
                <w:t>dental treatment claims involving multiple periods of service</w:t>
              </w:r>
            </w:hyperlink>
          </w:p>
          <w:p w14:paraId="65E40D9E" w14:textId="25B58DA9" w:rsidR="00874DEC" w:rsidRPr="006F3B5C" w:rsidRDefault="00DD59CE" w:rsidP="00874DEC">
            <w:pPr>
              <w:pStyle w:val="BulletText1"/>
            </w:pPr>
            <w:hyperlink w:anchor="_n._Tooth_Numbering" w:history="1">
              <w:r w:rsidR="00874DEC" w:rsidRPr="006F3B5C">
                <w:rPr>
                  <w:rStyle w:val="Hyperlink"/>
                </w:rPr>
                <w:t>tooth numbering systems</w:t>
              </w:r>
            </w:hyperlink>
          </w:p>
          <w:p w14:paraId="65E40D9F" w14:textId="08CE0777" w:rsidR="00874DEC" w:rsidRPr="006F3B5C" w:rsidRDefault="00DD59CE" w:rsidP="00874DEC">
            <w:pPr>
              <w:pStyle w:val="BulletText1"/>
            </w:pPr>
            <w:hyperlink w:anchor="_o._Use_of" w:history="1">
              <w:r w:rsidR="00874DEC" w:rsidRPr="006F3B5C">
                <w:rPr>
                  <w:rStyle w:val="Hyperlink"/>
                </w:rPr>
                <w:t>use of Navy dental records</w:t>
              </w:r>
            </w:hyperlink>
          </w:p>
          <w:p w14:paraId="65E40DA0" w14:textId="458AE8C6" w:rsidR="00874DEC" w:rsidRPr="006F3B5C" w:rsidRDefault="00DD59CE" w:rsidP="00874DEC">
            <w:pPr>
              <w:pStyle w:val="BulletText1"/>
            </w:pPr>
            <w:hyperlink w:anchor="_p._Use_of" w:history="1">
              <w:r w:rsidR="00874DEC" w:rsidRPr="006F3B5C">
                <w:rPr>
                  <w:rStyle w:val="Hyperlink"/>
                </w:rPr>
                <w:t>use of Army dental records</w:t>
              </w:r>
            </w:hyperlink>
          </w:p>
          <w:p w14:paraId="65E40DA1" w14:textId="3FD932DB" w:rsidR="00874DEC" w:rsidRPr="006F3B5C" w:rsidRDefault="00DD59CE" w:rsidP="00874DEC">
            <w:pPr>
              <w:pStyle w:val="BulletText1"/>
            </w:pPr>
            <w:hyperlink w:anchor="_q._Dental_Examinations" w:history="1">
              <w:proofErr w:type="gramStart"/>
              <w:r w:rsidR="00874DEC" w:rsidRPr="006F3B5C">
                <w:rPr>
                  <w:rStyle w:val="Hyperlink"/>
                </w:rPr>
                <w:t>dental</w:t>
              </w:r>
              <w:proofErr w:type="gramEnd"/>
              <w:r w:rsidR="00874DEC" w:rsidRPr="006F3B5C">
                <w:rPr>
                  <w:rStyle w:val="Hyperlink"/>
                </w:rPr>
                <w:t xml:space="preserve"> examinations in treatment claims</w:t>
              </w:r>
            </w:hyperlink>
            <w:r w:rsidR="00874DEC" w:rsidRPr="006F3B5C">
              <w:t>.</w:t>
            </w:r>
          </w:p>
          <w:p w14:paraId="65E40DA2" w14:textId="77777777" w:rsidR="00874DEC" w:rsidRPr="006F3B5C" w:rsidRDefault="00874DEC" w:rsidP="00874DEC">
            <w:pPr>
              <w:pStyle w:val="BulletText1"/>
              <w:numPr>
                <w:ilvl w:val="0"/>
                <w:numId w:val="0"/>
              </w:numPr>
              <w:ind w:left="173" w:hanging="173"/>
            </w:pPr>
          </w:p>
        </w:tc>
      </w:tr>
    </w:tbl>
    <w:p w14:paraId="65E40DA4" w14:textId="77777777" w:rsidR="00E7406A" w:rsidRPr="006F3B5C"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0DA7" w14:textId="77777777" w:rsidTr="0087122C">
        <w:trPr>
          <w:cantSplit/>
        </w:trPr>
        <w:tc>
          <w:tcPr>
            <w:tcW w:w="1728" w:type="dxa"/>
            <w:shd w:val="clear" w:color="auto" w:fill="auto"/>
          </w:tcPr>
          <w:p w14:paraId="65E40DA5" w14:textId="77777777" w:rsidR="00E7406A" w:rsidRPr="006F3B5C" w:rsidRDefault="00E7406A">
            <w:pPr>
              <w:pStyle w:val="Heading5"/>
            </w:pPr>
            <w:r w:rsidRPr="006F3B5C">
              <w:t>Change Date</w:t>
            </w:r>
          </w:p>
        </w:tc>
        <w:tc>
          <w:tcPr>
            <w:tcW w:w="7740" w:type="dxa"/>
            <w:shd w:val="clear" w:color="auto" w:fill="auto"/>
          </w:tcPr>
          <w:p w14:paraId="65E40DA6" w14:textId="02C4FA83" w:rsidR="00E7406A" w:rsidRPr="006F3B5C" w:rsidRDefault="006F3B5C" w:rsidP="0087122C">
            <w:pPr>
              <w:pStyle w:val="BlockText"/>
            </w:pPr>
            <w:r w:rsidRPr="006F3B5C">
              <w:t>January 20, 2015</w:t>
            </w:r>
          </w:p>
        </w:tc>
      </w:tr>
    </w:tbl>
    <w:p w14:paraId="65E40DAA" w14:textId="77777777" w:rsidR="00E7406A" w:rsidRPr="006F3B5C" w:rsidRDefault="00D76FF0" w:rsidP="00DD6E23">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0D5606" w:rsidRPr="006F3B5C" w14:paraId="65E40DB9" w14:textId="77777777" w:rsidTr="000D5606">
        <w:tc>
          <w:tcPr>
            <w:tcW w:w="1728" w:type="dxa"/>
            <w:shd w:val="clear" w:color="auto" w:fill="auto"/>
          </w:tcPr>
          <w:p w14:paraId="65E40DAB" w14:textId="77777777" w:rsidR="000D5606" w:rsidRPr="006F3B5C" w:rsidRDefault="005737CC" w:rsidP="00DD6E23">
            <w:pPr>
              <w:pStyle w:val="Heading5"/>
            </w:pPr>
            <w:bookmarkStart w:id="14" w:name="_a._Interpreting_Claims"/>
            <w:bookmarkEnd w:id="14"/>
            <w:r w:rsidRPr="006F3B5C">
              <w:t xml:space="preserve">a. </w:t>
            </w:r>
            <w:r w:rsidR="000D5606" w:rsidRPr="006F3B5C">
              <w:t xml:space="preserve">Interpreting </w:t>
            </w:r>
            <w:r w:rsidR="00DD6E23" w:rsidRPr="006F3B5C">
              <w:t>C</w:t>
            </w:r>
            <w:r w:rsidR="000D5606" w:rsidRPr="006F3B5C">
              <w:t xml:space="preserve">laims </w:t>
            </w:r>
            <w:r w:rsidR="00DD6E23" w:rsidRPr="006F3B5C">
              <w:t>Raising D</w:t>
            </w:r>
            <w:r w:rsidR="000D5606" w:rsidRPr="006F3B5C">
              <w:t>ental</w:t>
            </w:r>
            <w:r w:rsidR="00DD6E23" w:rsidRPr="006F3B5C">
              <w:t xml:space="preserve"> I</w:t>
            </w:r>
            <w:r w:rsidR="000D5606" w:rsidRPr="006F3B5C">
              <w:t>ssues</w:t>
            </w:r>
          </w:p>
        </w:tc>
        <w:tc>
          <w:tcPr>
            <w:tcW w:w="7740" w:type="dxa"/>
            <w:shd w:val="clear" w:color="auto" w:fill="auto"/>
          </w:tcPr>
          <w:p w14:paraId="65E40DB8" w14:textId="75F6F2D2" w:rsidR="000D5606" w:rsidRPr="006F3B5C" w:rsidRDefault="005E7F5C" w:rsidP="005E7F5C">
            <w:pPr>
              <w:pStyle w:val="BlockText"/>
            </w:pPr>
            <w:r w:rsidRPr="006F3B5C">
              <w:t>Use the following table to interpret claims raising dental issues.</w:t>
            </w:r>
          </w:p>
        </w:tc>
      </w:tr>
    </w:tbl>
    <w:p w14:paraId="4A7C5B58" w14:textId="77777777" w:rsidR="00555620" w:rsidRPr="006F3B5C" w:rsidRDefault="00555620" w:rsidP="00555620"/>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555620" w:rsidRPr="006F3B5C" w14:paraId="7B4CE8FF" w14:textId="77777777" w:rsidTr="00555620">
        <w:tc>
          <w:tcPr>
            <w:tcW w:w="2500" w:type="pct"/>
            <w:shd w:val="clear" w:color="auto" w:fill="auto"/>
          </w:tcPr>
          <w:p w14:paraId="6E1FC885" w14:textId="348DF6D4" w:rsidR="00555620" w:rsidRPr="006F3B5C" w:rsidRDefault="00555620" w:rsidP="00555620">
            <w:pPr>
              <w:pStyle w:val="TableHeaderText"/>
              <w:jc w:val="left"/>
            </w:pPr>
            <w:r w:rsidRPr="006F3B5C">
              <w:t xml:space="preserve">If </w:t>
            </w:r>
            <w:r w:rsidR="00C36DBD" w:rsidRPr="006F3B5C">
              <w:t>the claim</w:t>
            </w:r>
            <w:r w:rsidRPr="006F3B5C">
              <w:t>...</w:t>
            </w:r>
          </w:p>
        </w:tc>
        <w:tc>
          <w:tcPr>
            <w:tcW w:w="2500" w:type="pct"/>
            <w:shd w:val="clear" w:color="auto" w:fill="auto"/>
          </w:tcPr>
          <w:p w14:paraId="545C7DA4" w14:textId="496BE8E7" w:rsidR="00555620" w:rsidRPr="006F3B5C" w:rsidRDefault="002A2D32" w:rsidP="00555620">
            <w:pPr>
              <w:pStyle w:val="TableHeaderText"/>
              <w:jc w:val="left"/>
            </w:pPr>
            <w:r w:rsidRPr="006F3B5C">
              <w:t xml:space="preserve">Then </w:t>
            </w:r>
            <w:r w:rsidR="00555620" w:rsidRPr="006F3B5C">
              <w:t>...</w:t>
            </w:r>
          </w:p>
        </w:tc>
      </w:tr>
      <w:tr w:rsidR="00555620" w:rsidRPr="006F3B5C" w14:paraId="364FB5FA" w14:textId="77777777" w:rsidTr="00555620">
        <w:tc>
          <w:tcPr>
            <w:tcW w:w="2500" w:type="pct"/>
            <w:shd w:val="clear" w:color="auto" w:fill="auto"/>
          </w:tcPr>
          <w:p w14:paraId="50937878" w14:textId="4543046C" w:rsidR="00555620" w:rsidRPr="006F3B5C" w:rsidRDefault="00727DC3" w:rsidP="00727DC3">
            <w:pPr>
              <w:pStyle w:val="BlockText"/>
            </w:pPr>
            <w:proofErr w:type="gramStart"/>
            <w:r w:rsidRPr="006F3B5C">
              <w:t>seeks</w:t>
            </w:r>
            <w:proofErr w:type="gramEnd"/>
            <w:r w:rsidRPr="006F3B5C">
              <w:t xml:space="preserve"> “service connection” </w:t>
            </w:r>
            <w:r w:rsidR="00080431" w:rsidRPr="006F3B5C">
              <w:t xml:space="preserve">or “compensation” </w:t>
            </w:r>
            <w:r w:rsidRPr="006F3B5C">
              <w:t xml:space="preserve">for a </w:t>
            </w:r>
            <w:r w:rsidRPr="006F3B5C">
              <w:rPr>
                <w:b/>
                <w:i/>
              </w:rPr>
              <w:t>dental disability</w:t>
            </w:r>
            <w:r w:rsidR="00080431" w:rsidRPr="006F3B5C">
              <w:rPr>
                <w:i/>
              </w:rPr>
              <w:t>.</w:t>
            </w:r>
          </w:p>
        </w:tc>
        <w:tc>
          <w:tcPr>
            <w:tcW w:w="2500" w:type="pct"/>
            <w:shd w:val="clear" w:color="auto" w:fill="auto"/>
          </w:tcPr>
          <w:p w14:paraId="758F6168" w14:textId="7E39A87E" w:rsidR="00555620" w:rsidRPr="006F3B5C" w:rsidRDefault="002A2D32" w:rsidP="00555620">
            <w:pPr>
              <w:pStyle w:val="TableText"/>
            </w:pPr>
            <w:proofErr w:type="gramStart"/>
            <w:r w:rsidRPr="006F3B5C">
              <w:t>the</w:t>
            </w:r>
            <w:proofErr w:type="gramEnd"/>
            <w:r w:rsidRPr="006F3B5C">
              <w:t xml:space="preserve"> issue is entitlement to </w:t>
            </w:r>
            <w:r w:rsidR="0000622C" w:rsidRPr="006F3B5C">
              <w:t>service connection</w:t>
            </w:r>
            <w:r w:rsidR="00CE45DB" w:rsidRPr="006F3B5C">
              <w:t xml:space="preserve"> </w:t>
            </w:r>
            <w:r w:rsidRPr="006F3B5C">
              <w:t xml:space="preserve">for compensation purposes for the specified dental disability.  </w:t>
            </w:r>
          </w:p>
          <w:p w14:paraId="1898C43A" w14:textId="77777777" w:rsidR="00080431" w:rsidRPr="006F3B5C" w:rsidRDefault="00080431" w:rsidP="00555620">
            <w:pPr>
              <w:pStyle w:val="TableText"/>
            </w:pPr>
          </w:p>
          <w:p w14:paraId="0F7E899F" w14:textId="16A28CF7" w:rsidR="00080431" w:rsidRPr="006F3B5C" w:rsidRDefault="00080431" w:rsidP="00080431">
            <w:pPr>
              <w:pStyle w:val="BulletText1"/>
              <w:numPr>
                <w:ilvl w:val="0"/>
                <w:numId w:val="0"/>
              </w:numPr>
            </w:pPr>
            <w:r w:rsidRPr="006F3B5C">
              <w:rPr>
                <w:b/>
                <w:i/>
              </w:rPr>
              <w:t>Note</w:t>
            </w:r>
            <w:r w:rsidRPr="006F3B5C">
              <w:t xml:space="preserve">: A </w:t>
            </w:r>
            <w:r w:rsidRPr="006F3B5C">
              <w:rPr>
                <w:b/>
                <w:i/>
              </w:rPr>
              <w:t>dental</w:t>
            </w:r>
            <w:r w:rsidRPr="006F3B5C">
              <w:t xml:space="preserve"> </w:t>
            </w:r>
            <w:r w:rsidRPr="006F3B5C">
              <w:rPr>
                <w:b/>
                <w:i/>
              </w:rPr>
              <w:t>disability</w:t>
            </w:r>
            <w:r w:rsidRPr="006F3B5C">
              <w:t xml:space="preserve"> </w:t>
            </w:r>
            <w:r w:rsidR="00874D41" w:rsidRPr="006F3B5C">
              <w:t>denotes</w:t>
            </w:r>
            <w:r w:rsidR="004E41DA" w:rsidRPr="006F3B5C">
              <w:t xml:space="preserve"> </w:t>
            </w:r>
          </w:p>
          <w:p w14:paraId="7506ADE1" w14:textId="4EFBCCDD" w:rsidR="00874D41" w:rsidRPr="006F3B5C" w:rsidRDefault="004E41DA" w:rsidP="00080431">
            <w:pPr>
              <w:pStyle w:val="BulletText1"/>
            </w:pPr>
            <w:r w:rsidRPr="006F3B5C">
              <w:t xml:space="preserve">a </w:t>
            </w:r>
            <w:r w:rsidR="00874D41" w:rsidRPr="006F3B5C">
              <w:t>disorder that can be</w:t>
            </w:r>
          </w:p>
          <w:p w14:paraId="4A228390" w14:textId="078661E5" w:rsidR="00874D41" w:rsidRPr="006F3B5C" w:rsidRDefault="00CE45DB" w:rsidP="00874D41">
            <w:pPr>
              <w:pStyle w:val="BulletText2"/>
            </w:pPr>
            <w:r w:rsidRPr="006F3B5C">
              <w:t>SC</w:t>
            </w:r>
            <w:r w:rsidR="0000622C" w:rsidRPr="006F3B5C">
              <w:t xml:space="preserve"> </w:t>
            </w:r>
            <w:r w:rsidR="00874D41" w:rsidRPr="006F3B5C">
              <w:t xml:space="preserve">for compensation purposes, and </w:t>
            </w:r>
          </w:p>
          <w:p w14:paraId="1D54306F" w14:textId="1A1F2197" w:rsidR="004E41DA" w:rsidRPr="006F3B5C" w:rsidRDefault="00080431" w:rsidP="00874D41">
            <w:pPr>
              <w:pStyle w:val="BulletText2"/>
            </w:pPr>
            <w:r w:rsidRPr="006F3B5C">
              <w:t xml:space="preserve">evaluated under, or by appropriate analogy to, the </w:t>
            </w:r>
            <w:hyperlink r:id="rId34" w:history="1">
              <w:r w:rsidRPr="006F3B5C">
                <w:rPr>
                  <w:rStyle w:val="Hyperlink"/>
                </w:rPr>
                <w:t>38 CFR 4.150, 9900-series DCs</w:t>
              </w:r>
            </w:hyperlink>
            <w:r w:rsidRPr="006F3B5C">
              <w:t>)</w:t>
            </w:r>
            <w:r w:rsidR="004E41DA" w:rsidRPr="006F3B5C">
              <w:t>, and</w:t>
            </w:r>
          </w:p>
          <w:p w14:paraId="13C6E5EA" w14:textId="6E6D9BB5" w:rsidR="00F45CD8" w:rsidRPr="006F3B5C" w:rsidRDefault="00874D41" w:rsidP="00F45CD8">
            <w:pPr>
              <w:pStyle w:val="BulletText1"/>
            </w:pPr>
            <w:proofErr w:type="gramStart"/>
            <w:r w:rsidRPr="006F3B5C">
              <w:t>a</w:t>
            </w:r>
            <w:proofErr w:type="gramEnd"/>
            <w:r w:rsidRPr="006F3B5C">
              <w:t xml:space="preserve"> disorder that is not </w:t>
            </w:r>
            <w:r w:rsidR="00397147" w:rsidRPr="006F3B5C">
              <w:t xml:space="preserve">listed in </w:t>
            </w:r>
            <w:hyperlink r:id="rId35" w:history="1">
              <w:r w:rsidR="00397147" w:rsidRPr="006F3B5C">
                <w:rPr>
                  <w:rStyle w:val="Hyperlink"/>
                </w:rPr>
                <w:t>38 CFR 3.381(b)</w:t>
              </w:r>
            </w:hyperlink>
            <w:r w:rsidR="00397147" w:rsidRPr="006F3B5C">
              <w:t xml:space="preserve"> </w:t>
            </w:r>
            <w:r w:rsidR="004E41DA" w:rsidRPr="006F3B5C">
              <w:t xml:space="preserve">(treatable carious teeth, </w:t>
            </w:r>
            <w:r w:rsidR="004E41DA" w:rsidRPr="006F3B5C">
              <w:lastRenderedPageBreak/>
              <w:t xml:space="preserve">replaceable missing teeth, dental or alveolar abscesses, </w:t>
            </w:r>
            <w:r w:rsidRPr="006F3B5C">
              <w:t>or</w:t>
            </w:r>
            <w:r w:rsidR="004E41DA" w:rsidRPr="006F3B5C">
              <w:t xml:space="preserve"> periodontal disease) </w:t>
            </w:r>
            <w:r w:rsidR="00397147" w:rsidRPr="006F3B5C">
              <w:t>or i</w:t>
            </w:r>
            <w:r w:rsidR="004E41DA" w:rsidRPr="006F3B5C">
              <w:t>n</w:t>
            </w:r>
            <w:r w:rsidR="00080431" w:rsidRPr="006F3B5C">
              <w:t xml:space="preserve"> </w:t>
            </w:r>
            <w:hyperlink r:id="rId36" w:history="1">
              <w:r w:rsidR="00397147" w:rsidRPr="006F3B5C">
                <w:rPr>
                  <w:rStyle w:val="Hyperlink"/>
                </w:rPr>
                <w:t>38 CFR 3.381(f)</w:t>
              </w:r>
            </w:hyperlink>
            <w:r w:rsidR="00397147" w:rsidRPr="006F3B5C">
              <w:t xml:space="preserve"> (calculus, acute periodontal disease, third molars, impacted or malposed teeth or other developmental defects). </w:t>
            </w:r>
          </w:p>
          <w:p w14:paraId="44817AC5" w14:textId="63C4E660" w:rsidR="00397147" w:rsidRPr="006F3B5C" w:rsidRDefault="00397147" w:rsidP="00397147">
            <w:pPr>
              <w:pStyle w:val="BulletText1"/>
              <w:numPr>
                <w:ilvl w:val="0"/>
                <w:numId w:val="0"/>
              </w:numPr>
            </w:pPr>
          </w:p>
        </w:tc>
      </w:tr>
      <w:tr w:rsidR="00727DC3" w:rsidRPr="006F3B5C" w14:paraId="73AD8332" w14:textId="77777777" w:rsidTr="00555620">
        <w:tc>
          <w:tcPr>
            <w:tcW w:w="2500" w:type="pct"/>
            <w:shd w:val="clear" w:color="auto" w:fill="auto"/>
          </w:tcPr>
          <w:p w14:paraId="1DF1B83D" w14:textId="7FA3E85A" w:rsidR="00727DC3" w:rsidRPr="006F3B5C" w:rsidRDefault="00727DC3" w:rsidP="00C36DBD">
            <w:pPr>
              <w:pStyle w:val="BlockText"/>
            </w:pPr>
            <w:proofErr w:type="gramStart"/>
            <w:r w:rsidRPr="006F3B5C">
              <w:rPr>
                <w:i/>
              </w:rPr>
              <w:lastRenderedPageBreak/>
              <w:t>clearly</w:t>
            </w:r>
            <w:proofErr w:type="gramEnd"/>
            <w:r w:rsidRPr="006F3B5C">
              <w:t xml:space="preserve"> seek</w:t>
            </w:r>
            <w:r w:rsidR="00C36DBD" w:rsidRPr="006F3B5C">
              <w:t>s</w:t>
            </w:r>
            <w:r w:rsidRPr="006F3B5C">
              <w:t xml:space="preserve"> “compensation” for</w:t>
            </w:r>
            <w:r w:rsidR="00080431" w:rsidRPr="006F3B5C">
              <w:t xml:space="preserve"> a </w:t>
            </w:r>
            <w:r w:rsidRPr="006F3B5C">
              <w:rPr>
                <w:b/>
                <w:i/>
              </w:rPr>
              <w:t>dental/oral condition</w:t>
            </w:r>
            <w:r w:rsidR="00080431" w:rsidRPr="006F3B5C">
              <w:t xml:space="preserve"> that is </w:t>
            </w:r>
            <w:r w:rsidR="00080431" w:rsidRPr="006F3B5C">
              <w:rPr>
                <w:b/>
                <w:i/>
              </w:rPr>
              <w:t>not</w:t>
            </w:r>
            <w:r w:rsidR="00080431" w:rsidRPr="006F3B5C">
              <w:rPr>
                <w:b/>
              </w:rPr>
              <w:t xml:space="preserve"> </w:t>
            </w:r>
            <w:r w:rsidR="00080431" w:rsidRPr="006F3B5C">
              <w:t>a</w:t>
            </w:r>
            <w:r w:rsidR="00080431" w:rsidRPr="006F3B5C">
              <w:rPr>
                <w:b/>
              </w:rPr>
              <w:t xml:space="preserve"> </w:t>
            </w:r>
            <w:r w:rsidR="00080431" w:rsidRPr="006F3B5C">
              <w:rPr>
                <w:b/>
                <w:i/>
              </w:rPr>
              <w:t>dental disability</w:t>
            </w:r>
            <w:r w:rsidR="00080431" w:rsidRPr="006F3B5C">
              <w:t>.</w:t>
            </w:r>
          </w:p>
        </w:tc>
        <w:tc>
          <w:tcPr>
            <w:tcW w:w="2500" w:type="pct"/>
            <w:shd w:val="clear" w:color="auto" w:fill="auto"/>
          </w:tcPr>
          <w:p w14:paraId="265CBCA8" w14:textId="0501F2AC" w:rsidR="00727DC3" w:rsidRPr="006F3B5C" w:rsidRDefault="00F45CD8" w:rsidP="00D072FA">
            <w:pPr>
              <w:pStyle w:val="TableText"/>
            </w:pPr>
            <w:r w:rsidRPr="006F3B5C">
              <w:t>The issue is entitlement to</w:t>
            </w:r>
            <w:r w:rsidR="00CE45DB" w:rsidRPr="006F3B5C">
              <w:t xml:space="preserve"> </w:t>
            </w:r>
            <w:r w:rsidR="0000622C" w:rsidRPr="006F3B5C">
              <w:t>service connection</w:t>
            </w:r>
            <w:r w:rsidR="00CE45DB" w:rsidRPr="006F3B5C">
              <w:t xml:space="preserve"> </w:t>
            </w:r>
            <w:r w:rsidRPr="006F3B5C">
              <w:t xml:space="preserve">for compensation purposes for the specified condition.  </w:t>
            </w:r>
          </w:p>
          <w:p w14:paraId="4EBE45C2" w14:textId="77777777" w:rsidR="00727DC3" w:rsidRPr="006F3B5C" w:rsidRDefault="00727DC3" w:rsidP="00D072FA">
            <w:pPr>
              <w:pStyle w:val="TableText"/>
            </w:pPr>
          </w:p>
          <w:p w14:paraId="4EF61317" w14:textId="77777777" w:rsidR="00080431" w:rsidRPr="006F3B5C" w:rsidRDefault="00727DC3" w:rsidP="00D072FA">
            <w:pPr>
              <w:pStyle w:val="TableText"/>
            </w:pPr>
            <w:r w:rsidRPr="006F3B5C">
              <w:rPr>
                <w:b/>
                <w:i/>
              </w:rPr>
              <w:t>Explanation</w:t>
            </w:r>
            <w:r w:rsidRPr="006F3B5C">
              <w:t xml:space="preserve">: </w:t>
            </w:r>
            <w:r w:rsidR="00080431" w:rsidRPr="006F3B5C">
              <w:t xml:space="preserve"> </w:t>
            </w:r>
          </w:p>
          <w:p w14:paraId="1E54629B" w14:textId="77777777" w:rsidR="002A2D32" w:rsidRPr="006F3B5C" w:rsidRDefault="00080431" w:rsidP="00080431">
            <w:pPr>
              <w:pStyle w:val="BulletText1"/>
            </w:pPr>
            <w:r w:rsidRPr="006F3B5C">
              <w:t xml:space="preserve">Informal claims under </w:t>
            </w:r>
            <w:hyperlink r:id="rId37" w:history="1">
              <w:r w:rsidRPr="006F3B5C">
                <w:rPr>
                  <w:rStyle w:val="Hyperlink"/>
                </w:rPr>
                <w:t>38 CFR 3.155</w:t>
              </w:r>
            </w:hyperlink>
            <w:r w:rsidRPr="006F3B5C">
              <w:t xml:space="preserve"> require only a statement of the benefit sought.  </w:t>
            </w:r>
            <w:hyperlink r:id="rId38" w:history="1">
              <w:r w:rsidRPr="006F3B5C">
                <w:rPr>
                  <w:rStyle w:val="Hyperlink"/>
                </w:rPr>
                <w:t>38 CFR 3.159(a</w:t>
              </w:r>
              <w:proofErr w:type="gramStart"/>
              <w:r w:rsidRPr="006F3B5C">
                <w:rPr>
                  <w:rStyle w:val="Hyperlink"/>
                </w:rPr>
                <w:t>)(</w:t>
              </w:r>
              <w:proofErr w:type="gramEnd"/>
              <w:r w:rsidRPr="006F3B5C">
                <w:rPr>
                  <w:rStyle w:val="Hyperlink"/>
                </w:rPr>
                <w:t>3)</w:t>
              </w:r>
            </w:hyperlink>
            <w:r w:rsidRPr="006F3B5C">
              <w:t xml:space="preserve"> requires a substantially complete application to only identify a benefit claimed (compensation) and the body part or system upon which the claimed entitlement is based (dental/oral).</w:t>
            </w:r>
          </w:p>
          <w:p w14:paraId="5D35CAAF" w14:textId="36C75E91" w:rsidR="00727DC3" w:rsidRPr="006F3B5C" w:rsidRDefault="002A2D32" w:rsidP="00555620">
            <w:pPr>
              <w:pStyle w:val="BulletText1"/>
            </w:pPr>
            <w:r w:rsidRPr="006F3B5C">
              <w:t>R</w:t>
            </w:r>
            <w:r w:rsidR="00080431" w:rsidRPr="006F3B5C">
              <w:t xml:space="preserve">egardless of the fact that </w:t>
            </w:r>
            <w:r w:rsidR="0000622C" w:rsidRPr="006F3B5C">
              <w:t>service connection</w:t>
            </w:r>
            <w:r w:rsidRPr="006F3B5C">
              <w:t xml:space="preserve"> for compensation purposes can only be paid for dental disabilities</w:t>
            </w:r>
            <w:r w:rsidR="0086704B" w:rsidRPr="006F3B5C">
              <w:t>, VA must process an adequate claim</w:t>
            </w:r>
            <w:r w:rsidR="00080431" w:rsidRPr="006F3B5C">
              <w:t>.</w:t>
            </w:r>
            <w:r w:rsidRPr="006F3B5C">
              <w:t xml:space="preserve"> </w:t>
            </w:r>
          </w:p>
        </w:tc>
      </w:tr>
      <w:tr w:rsidR="00215FA4" w:rsidRPr="006F3B5C" w14:paraId="65614F24" w14:textId="77777777" w:rsidTr="00C36DBD">
        <w:tc>
          <w:tcPr>
            <w:tcW w:w="2500" w:type="pct"/>
            <w:shd w:val="clear" w:color="auto" w:fill="auto"/>
          </w:tcPr>
          <w:p w14:paraId="7C668A02" w14:textId="38106E31" w:rsidR="00215FA4" w:rsidRPr="006F3B5C" w:rsidRDefault="00215FA4" w:rsidP="00215FA4">
            <w:pPr>
              <w:pStyle w:val="TableText"/>
            </w:pPr>
            <w:r w:rsidRPr="006F3B5C">
              <w:rPr>
                <w:i/>
              </w:rPr>
              <w:t>clearly</w:t>
            </w:r>
            <w:r w:rsidRPr="006F3B5C">
              <w:t xml:space="preserve"> seeks only </w:t>
            </w:r>
            <w:r w:rsidR="00397147" w:rsidRPr="006F3B5C">
              <w:t>“</w:t>
            </w:r>
            <w:r w:rsidRPr="006F3B5C">
              <w:t>dental treatment</w:t>
            </w:r>
            <w:r w:rsidR="00397147" w:rsidRPr="006F3B5C">
              <w:t>,”</w:t>
            </w:r>
            <w:r w:rsidR="0063578A" w:rsidRPr="006F3B5C">
              <w:t xml:space="preserve"> </w:t>
            </w:r>
            <w:r w:rsidR="00397147" w:rsidRPr="006F3B5C">
              <w:t>“</w:t>
            </w:r>
            <w:r w:rsidR="0063578A" w:rsidRPr="006F3B5C">
              <w:t>service connection for dental treatment purposes</w:t>
            </w:r>
            <w:r w:rsidR="00397147" w:rsidRPr="006F3B5C">
              <w:t xml:space="preserve">” or equivalent wording </w:t>
            </w:r>
          </w:p>
          <w:p w14:paraId="7E309AD0" w14:textId="202667BD" w:rsidR="00215FA4" w:rsidRPr="006F3B5C" w:rsidRDefault="00215FA4" w:rsidP="00215FA4">
            <w:pPr>
              <w:pStyle w:val="TableText"/>
            </w:pPr>
          </w:p>
        </w:tc>
        <w:tc>
          <w:tcPr>
            <w:tcW w:w="2500" w:type="pct"/>
            <w:shd w:val="clear" w:color="auto" w:fill="auto"/>
          </w:tcPr>
          <w:p w14:paraId="26953417" w14:textId="4DD9912B" w:rsidR="0063578A" w:rsidRPr="006F3B5C" w:rsidRDefault="0063578A" w:rsidP="0063578A">
            <w:pPr>
              <w:pStyle w:val="BulletText1"/>
            </w:pPr>
            <w:proofErr w:type="gramStart"/>
            <w:r w:rsidRPr="006F3B5C">
              <w:t>r</w:t>
            </w:r>
            <w:r w:rsidR="00215FA4" w:rsidRPr="006F3B5C">
              <w:t>efer</w:t>
            </w:r>
            <w:proofErr w:type="gramEnd"/>
            <w:r w:rsidR="00215FA4" w:rsidRPr="006F3B5C">
              <w:t xml:space="preserve"> the claim to the VA medical center (VAMC) dental clinic or eligibility clerk for determination of eligibility.</w:t>
            </w:r>
            <w:r w:rsidRPr="006F3B5C">
              <w:t xml:space="preserve"> </w:t>
            </w:r>
          </w:p>
          <w:p w14:paraId="29B023FC" w14:textId="7FA86AC7" w:rsidR="00215FA4" w:rsidRPr="006F3B5C" w:rsidRDefault="0063578A" w:rsidP="00220FFE">
            <w:pPr>
              <w:pStyle w:val="BulletText1"/>
            </w:pPr>
            <w:proofErr w:type="gramStart"/>
            <w:r w:rsidRPr="006F3B5C">
              <w:t>do</w:t>
            </w:r>
            <w:proofErr w:type="gramEnd"/>
            <w:r w:rsidRPr="006F3B5C">
              <w:t xml:space="preserve"> not develop and/or decide the claim unless/until the medical center requests a determination on </w:t>
            </w:r>
            <w:r w:rsidRPr="006F3B5C">
              <w:rPr>
                <w:i/>
              </w:rPr>
              <w:t>VA Form 10-7131</w:t>
            </w:r>
            <w:r w:rsidR="00793448" w:rsidRPr="006F3B5C">
              <w:t xml:space="preserve">, </w:t>
            </w:r>
            <w:r w:rsidR="00793448" w:rsidRPr="006F3B5C">
              <w:rPr>
                <w:i/>
              </w:rPr>
              <w:t>Exchange of Beneficiary Information and Request for Administrative Action</w:t>
            </w:r>
            <w:r w:rsidR="00220FFE" w:rsidRPr="006F3B5C">
              <w:rPr>
                <w:i/>
              </w:rPr>
              <w:t>.</w:t>
            </w:r>
          </w:p>
        </w:tc>
      </w:tr>
      <w:tr w:rsidR="004E41DA" w:rsidRPr="006F3B5C" w14:paraId="2525A4B4" w14:textId="77777777" w:rsidTr="00C36DBD">
        <w:trPr>
          <w:trHeight w:val="65"/>
        </w:trPr>
        <w:tc>
          <w:tcPr>
            <w:tcW w:w="2500" w:type="pct"/>
            <w:shd w:val="clear" w:color="auto" w:fill="auto"/>
          </w:tcPr>
          <w:p w14:paraId="0CE2CAE1" w14:textId="6BBBAE54" w:rsidR="004E41DA" w:rsidRPr="006F3B5C" w:rsidRDefault="004E41DA" w:rsidP="00215FA4">
            <w:pPr>
              <w:pStyle w:val="TableText"/>
            </w:pPr>
            <w:r w:rsidRPr="006F3B5C">
              <w:t xml:space="preserve">seeks “service connection” for a </w:t>
            </w:r>
            <w:r w:rsidRPr="006F3B5C">
              <w:rPr>
                <w:b/>
                <w:i/>
              </w:rPr>
              <w:t>dental/oral condition</w:t>
            </w:r>
            <w:r w:rsidRPr="006F3B5C">
              <w:t xml:space="preserve"> that is </w:t>
            </w:r>
            <w:r w:rsidRPr="006F3B5C">
              <w:rPr>
                <w:b/>
                <w:i/>
              </w:rPr>
              <w:t>not</w:t>
            </w:r>
            <w:r w:rsidRPr="006F3B5C">
              <w:rPr>
                <w:b/>
              </w:rPr>
              <w:t xml:space="preserve"> </w:t>
            </w:r>
            <w:r w:rsidRPr="006F3B5C">
              <w:t xml:space="preserve">a </w:t>
            </w:r>
            <w:r w:rsidRPr="006F3B5C">
              <w:rPr>
                <w:b/>
                <w:i/>
              </w:rPr>
              <w:t>dental disability</w:t>
            </w:r>
            <w:r w:rsidRPr="006F3B5C">
              <w:t xml:space="preserve">  </w:t>
            </w:r>
          </w:p>
        </w:tc>
        <w:tc>
          <w:tcPr>
            <w:tcW w:w="2500" w:type="pct"/>
            <w:shd w:val="clear" w:color="auto" w:fill="auto"/>
          </w:tcPr>
          <w:p w14:paraId="39740711" w14:textId="2AF04FC8" w:rsidR="004E41DA" w:rsidRPr="006F3B5C" w:rsidRDefault="00F45CD8" w:rsidP="00F45CD8">
            <w:pPr>
              <w:pStyle w:val="TableText"/>
            </w:pPr>
            <w:proofErr w:type="gramStart"/>
            <w:r w:rsidRPr="006F3B5C">
              <w:t>clarify</w:t>
            </w:r>
            <w:proofErr w:type="gramEnd"/>
            <w:r w:rsidRPr="006F3B5C">
              <w:t xml:space="preserve"> the claim</w:t>
            </w:r>
            <w:r w:rsidR="00397147" w:rsidRPr="006F3B5C">
              <w:t xml:space="preserve"> before taking other action.</w:t>
            </w:r>
            <w:r w:rsidRPr="006F3B5C">
              <w:t xml:space="preserve">  </w:t>
            </w:r>
          </w:p>
          <w:p w14:paraId="333FDF55" w14:textId="77777777" w:rsidR="00F45CD8" w:rsidRPr="006F3B5C" w:rsidRDefault="00F45CD8" w:rsidP="00F45CD8">
            <w:pPr>
              <w:pStyle w:val="TableText"/>
            </w:pPr>
          </w:p>
          <w:p w14:paraId="47C15B9D" w14:textId="77777777" w:rsidR="00C36DBD" w:rsidRPr="006F3B5C" w:rsidRDefault="00F45CD8" w:rsidP="00F45CD8">
            <w:pPr>
              <w:pStyle w:val="TableText"/>
            </w:pPr>
            <w:r w:rsidRPr="006F3B5C">
              <w:rPr>
                <w:b/>
                <w:i/>
              </w:rPr>
              <w:t>Explanation</w:t>
            </w:r>
            <w:r w:rsidRPr="006F3B5C">
              <w:t xml:space="preserve">:  </w:t>
            </w:r>
          </w:p>
          <w:p w14:paraId="342C6779" w14:textId="6BEADEE4" w:rsidR="00C36DBD" w:rsidRPr="006F3B5C" w:rsidRDefault="0000622C" w:rsidP="00C36DBD">
            <w:pPr>
              <w:pStyle w:val="BulletText1"/>
            </w:pPr>
            <w:proofErr w:type="gramStart"/>
            <w:r w:rsidRPr="006F3B5C">
              <w:t>service</w:t>
            </w:r>
            <w:proofErr w:type="gramEnd"/>
            <w:r w:rsidRPr="006F3B5C">
              <w:t xml:space="preserve"> connection</w:t>
            </w:r>
            <w:r w:rsidR="00F45CD8" w:rsidRPr="006F3B5C">
              <w:t xml:space="preserve"> </w:t>
            </w:r>
            <w:r w:rsidR="00E96154" w:rsidRPr="006F3B5C">
              <w:t xml:space="preserve">can be established for </w:t>
            </w:r>
            <w:r w:rsidR="00F45CD8" w:rsidRPr="006F3B5C">
              <w:rPr>
                <w:i/>
              </w:rPr>
              <w:t>compensation purpose</w:t>
            </w:r>
            <w:r w:rsidR="00E96154" w:rsidRPr="006F3B5C">
              <w:rPr>
                <w:i/>
              </w:rPr>
              <w:t>s</w:t>
            </w:r>
            <w:r w:rsidR="00F45CD8" w:rsidRPr="006F3B5C">
              <w:t xml:space="preserve"> </w:t>
            </w:r>
            <w:r w:rsidR="00E96154" w:rsidRPr="006F3B5C">
              <w:t xml:space="preserve">and/or for </w:t>
            </w:r>
            <w:r w:rsidR="00E96154" w:rsidRPr="006F3B5C">
              <w:rPr>
                <w:i/>
              </w:rPr>
              <w:t>treatment purposes</w:t>
            </w:r>
            <w:r w:rsidR="00E96154" w:rsidRPr="006F3B5C">
              <w:t xml:space="preserve">. </w:t>
            </w:r>
            <w:r w:rsidR="00C36DBD" w:rsidRPr="006F3B5C">
              <w:t xml:space="preserve"> </w:t>
            </w:r>
          </w:p>
          <w:p w14:paraId="5D728B69" w14:textId="268A5497" w:rsidR="00C36DBD" w:rsidRPr="006F3B5C" w:rsidRDefault="00C36DBD" w:rsidP="00C36DBD">
            <w:pPr>
              <w:pStyle w:val="BulletText1"/>
            </w:pPr>
            <w:r w:rsidRPr="006F3B5C">
              <w:t xml:space="preserve">RO personnel </w:t>
            </w:r>
            <w:r w:rsidRPr="006F3B5C">
              <w:rPr>
                <w:i/>
              </w:rPr>
              <w:t>must neither</w:t>
            </w:r>
            <w:r w:rsidRPr="006F3B5C">
              <w:t xml:space="preserve"> </w:t>
            </w:r>
          </w:p>
          <w:p w14:paraId="5C3D1FCC" w14:textId="5B81E094" w:rsidR="00C36DBD" w:rsidRPr="006F3B5C" w:rsidRDefault="00E96154" w:rsidP="00C36DBD">
            <w:pPr>
              <w:pStyle w:val="BulletText2"/>
            </w:pPr>
            <w:r w:rsidRPr="006F3B5C">
              <w:t xml:space="preserve">refer a claim to the medical center </w:t>
            </w:r>
            <w:r w:rsidR="00C36DBD" w:rsidRPr="006F3B5C">
              <w:t xml:space="preserve">as </w:t>
            </w:r>
            <w:r w:rsidRPr="006F3B5C">
              <w:t xml:space="preserve">a treatment claim </w:t>
            </w:r>
            <w:r w:rsidR="00C36DBD" w:rsidRPr="006F3B5C">
              <w:t xml:space="preserve">if </w:t>
            </w:r>
            <w:r w:rsidRPr="006F3B5C">
              <w:t>not clear</w:t>
            </w:r>
            <w:r w:rsidR="00C36DBD" w:rsidRPr="006F3B5C">
              <w:t>,</w:t>
            </w:r>
            <w:r w:rsidRPr="006F3B5C">
              <w:t xml:space="preserve"> nor </w:t>
            </w:r>
          </w:p>
          <w:p w14:paraId="3617D6CE" w14:textId="2C75D0CF" w:rsidR="00F45CD8" w:rsidRPr="006F3B5C" w:rsidRDefault="00CE45DB" w:rsidP="00C36DBD">
            <w:pPr>
              <w:pStyle w:val="BulletText2"/>
            </w:pPr>
            <w:proofErr w:type="gramStart"/>
            <w:r w:rsidRPr="006F3B5C">
              <w:t>decide</w:t>
            </w:r>
            <w:proofErr w:type="gramEnd"/>
            <w:r w:rsidRPr="006F3B5C">
              <w:t xml:space="preserve"> the issue of </w:t>
            </w:r>
            <w:r w:rsidR="0000622C" w:rsidRPr="006F3B5C">
              <w:t>service connection</w:t>
            </w:r>
            <w:r w:rsidR="00E96154" w:rsidRPr="006F3B5C">
              <w:t xml:space="preserve"> for compensation purposes for a dental/oral condition that is </w:t>
            </w:r>
            <w:r w:rsidR="00E96154" w:rsidRPr="006F3B5C">
              <w:rPr>
                <w:i/>
              </w:rPr>
              <w:t>not</w:t>
            </w:r>
            <w:r w:rsidR="00E96154" w:rsidRPr="006F3B5C">
              <w:t xml:space="preserve"> a dental disability unless the claimant is clearly seeking compensation.  </w:t>
            </w:r>
          </w:p>
          <w:p w14:paraId="738DE20B" w14:textId="5FC22525" w:rsidR="00C36DBD" w:rsidRPr="006F3B5C" w:rsidRDefault="00C36DBD" w:rsidP="00C36DBD">
            <w:pPr>
              <w:pStyle w:val="TableText"/>
            </w:pPr>
          </w:p>
        </w:tc>
      </w:tr>
      <w:tr w:rsidR="00661D98" w:rsidRPr="006F3B5C" w14:paraId="25ABFE83" w14:textId="77777777" w:rsidTr="00C36DBD">
        <w:trPr>
          <w:trHeight w:val="65"/>
        </w:trPr>
        <w:tc>
          <w:tcPr>
            <w:tcW w:w="2500" w:type="pct"/>
            <w:shd w:val="clear" w:color="auto" w:fill="auto"/>
          </w:tcPr>
          <w:p w14:paraId="5607A9CD" w14:textId="3F3C6CA0" w:rsidR="00661D98" w:rsidRPr="006F3B5C" w:rsidRDefault="00661D98" w:rsidP="00661D98">
            <w:pPr>
              <w:pStyle w:val="TableText"/>
            </w:pPr>
            <w:r w:rsidRPr="006F3B5C">
              <w:t xml:space="preserve">seeks “service connection” for an </w:t>
            </w:r>
            <w:r w:rsidRPr="006F3B5C">
              <w:rPr>
                <w:i/>
              </w:rPr>
              <w:t>unspecified</w:t>
            </w:r>
            <w:r w:rsidRPr="006F3B5C">
              <w:t xml:space="preserve"> dental disorder (wording such as “</w:t>
            </w:r>
            <w:r w:rsidR="003721D3" w:rsidRPr="006F3B5C">
              <w:t>dental “or</w:t>
            </w:r>
            <w:r w:rsidRPr="006F3B5C">
              <w:t xml:space="preserve"> “dental condition”)</w:t>
            </w:r>
          </w:p>
          <w:p w14:paraId="67B37452" w14:textId="77777777" w:rsidR="00661D98" w:rsidRPr="006F3B5C" w:rsidRDefault="00661D98" w:rsidP="00215FA4">
            <w:pPr>
              <w:pStyle w:val="TableText"/>
            </w:pPr>
          </w:p>
        </w:tc>
        <w:tc>
          <w:tcPr>
            <w:tcW w:w="2500" w:type="pct"/>
            <w:shd w:val="clear" w:color="auto" w:fill="auto"/>
          </w:tcPr>
          <w:p w14:paraId="61C0B342" w14:textId="603162CD" w:rsidR="00661D98" w:rsidRPr="006F3B5C" w:rsidRDefault="00661D98" w:rsidP="00661D98">
            <w:pPr>
              <w:pStyle w:val="TableText"/>
            </w:pPr>
            <w:proofErr w:type="gramStart"/>
            <w:r w:rsidRPr="006F3B5C">
              <w:lastRenderedPageBreak/>
              <w:t>clarify</w:t>
            </w:r>
            <w:proofErr w:type="gramEnd"/>
            <w:r w:rsidRPr="006F3B5C">
              <w:t xml:space="preserve"> the claim</w:t>
            </w:r>
            <w:r w:rsidR="00397147" w:rsidRPr="006F3B5C">
              <w:t xml:space="preserve"> before taking other action</w:t>
            </w:r>
            <w:r w:rsidRPr="006F3B5C">
              <w:t>.</w:t>
            </w:r>
          </w:p>
          <w:p w14:paraId="38A9D0A8" w14:textId="77777777" w:rsidR="00661D98" w:rsidRPr="006F3B5C" w:rsidRDefault="00661D98" w:rsidP="00661D98">
            <w:pPr>
              <w:pStyle w:val="TableText"/>
            </w:pPr>
          </w:p>
          <w:p w14:paraId="65B6832A" w14:textId="3ED851F7" w:rsidR="00661D98" w:rsidRPr="006F3B5C" w:rsidRDefault="00661D98" w:rsidP="00661D98">
            <w:pPr>
              <w:pStyle w:val="TableText"/>
            </w:pPr>
            <w:r w:rsidRPr="006F3B5C">
              <w:rPr>
                <w:b/>
                <w:i/>
              </w:rPr>
              <w:t>Explanation</w:t>
            </w:r>
            <w:r w:rsidRPr="006F3B5C">
              <w:t xml:space="preserve">: the intent could be to seek a </w:t>
            </w:r>
            <w:r w:rsidRPr="006F3B5C">
              <w:lastRenderedPageBreak/>
              <w:t xml:space="preserve">determination of </w:t>
            </w:r>
            <w:r w:rsidR="0000622C" w:rsidRPr="006F3B5C">
              <w:t>service connection</w:t>
            </w:r>
            <w:r w:rsidRPr="006F3B5C">
              <w:t xml:space="preserve"> for compensation purposes or for treatment purposes and the description is insufficient to determine whether the dental disorder or condition is a dental disability.  </w:t>
            </w:r>
          </w:p>
          <w:p w14:paraId="6A825962" w14:textId="77777777" w:rsidR="00661D98" w:rsidRPr="006F3B5C" w:rsidRDefault="00661D98" w:rsidP="00F45CD8">
            <w:pPr>
              <w:pStyle w:val="TableText"/>
            </w:pPr>
          </w:p>
        </w:tc>
      </w:tr>
      <w:tr w:rsidR="00727DC3" w:rsidRPr="006F3B5C" w14:paraId="0F4BC2A1" w14:textId="77777777" w:rsidTr="00555620">
        <w:tc>
          <w:tcPr>
            <w:tcW w:w="2500" w:type="pct"/>
            <w:shd w:val="clear" w:color="auto" w:fill="auto"/>
          </w:tcPr>
          <w:p w14:paraId="4E1CEFD2" w14:textId="5F7BA026" w:rsidR="00727DC3" w:rsidRPr="006F3B5C" w:rsidRDefault="00727DC3" w:rsidP="0000622C">
            <w:pPr>
              <w:pStyle w:val="TableText"/>
            </w:pPr>
            <w:r w:rsidRPr="006F3B5C">
              <w:lastRenderedPageBreak/>
              <w:t xml:space="preserve">seeks treatment for a </w:t>
            </w:r>
            <w:r w:rsidRPr="006F3B5C">
              <w:rPr>
                <w:b/>
                <w:i/>
              </w:rPr>
              <w:t>dental disability</w:t>
            </w:r>
            <w:r w:rsidRPr="006F3B5C">
              <w:t xml:space="preserve"> for which </w:t>
            </w:r>
            <w:r w:rsidR="0000622C" w:rsidRPr="006F3B5C">
              <w:t xml:space="preserve">service connection </w:t>
            </w:r>
            <w:r w:rsidR="00661D98" w:rsidRPr="006F3B5C">
              <w:t>for</w:t>
            </w:r>
            <w:r w:rsidRPr="006F3B5C">
              <w:t xml:space="preserve"> compensation </w:t>
            </w:r>
            <w:r w:rsidR="00661D98" w:rsidRPr="006F3B5C">
              <w:t xml:space="preserve">purposes </w:t>
            </w:r>
            <w:r w:rsidRPr="006F3B5C">
              <w:t>is possible but  not previously established</w:t>
            </w:r>
          </w:p>
        </w:tc>
        <w:tc>
          <w:tcPr>
            <w:tcW w:w="2500" w:type="pct"/>
            <w:shd w:val="clear" w:color="auto" w:fill="auto"/>
          </w:tcPr>
          <w:p w14:paraId="0177F9F0" w14:textId="61A846AF" w:rsidR="00727DC3" w:rsidRPr="006F3B5C" w:rsidRDefault="00727DC3" w:rsidP="005E7F5C">
            <w:pPr>
              <w:pStyle w:val="TableText"/>
            </w:pPr>
            <w:proofErr w:type="gramStart"/>
            <w:r w:rsidRPr="006F3B5C">
              <w:t>clarify</w:t>
            </w:r>
            <w:proofErr w:type="gramEnd"/>
            <w:r w:rsidRPr="006F3B5C">
              <w:t xml:space="preserve"> the claim</w:t>
            </w:r>
            <w:r w:rsidR="00397147" w:rsidRPr="006F3B5C">
              <w:t xml:space="preserve"> before taking other action</w:t>
            </w:r>
            <w:r w:rsidRPr="006F3B5C">
              <w:t xml:space="preserve">.  </w:t>
            </w:r>
          </w:p>
          <w:p w14:paraId="72BC129F" w14:textId="77777777" w:rsidR="00727DC3" w:rsidRPr="006F3B5C" w:rsidRDefault="00727DC3" w:rsidP="005E7F5C">
            <w:pPr>
              <w:pStyle w:val="TableText"/>
            </w:pPr>
          </w:p>
          <w:p w14:paraId="419B2139" w14:textId="77777777" w:rsidR="00BF4B71" w:rsidRPr="006F3B5C" w:rsidRDefault="00727DC3" w:rsidP="005E7F5C">
            <w:pPr>
              <w:pStyle w:val="BlockText"/>
            </w:pPr>
            <w:r w:rsidRPr="006F3B5C">
              <w:rPr>
                <w:b/>
                <w:i/>
              </w:rPr>
              <w:t>Explanation</w:t>
            </w:r>
            <w:r w:rsidRPr="006F3B5C">
              <w:t xml:space="preserve">: </w:t>
            </w:r>
          </w:p>
          <w:p w14:paraId="6A91216E" w14:textId="4E2D90B1" w:rsidR="00727DC3" w:rsidRPr="006F3B5C" w:rsidRDefault="00727DC3" w:rsidP="00BF4B71">
            <w:pPr>
              <w:pStyle w:val="BulletText1"/>
            </w:pPr>
            <w:r w:rsidRPr="006F3B5C">
              <w:t>T</w:t>
            </w:r>
            <w:r w:rsidR="00397147" w:rsidRPr="006F3B5C">
              <w:t xml:space="preserve">he claimant could be seeking </w:t>
            </w:r>
            <w:r w:rsidRPr="006F3B5C">
              <w:t xml:space="preserve">treatment </w:t>
            </w:r>
            <w:r w:rsidR="00397147" w:rsidRPr="006F3B5C">
              <w:t xml:space="preserve">only </w:t>
            </w:r>
            <w:r w:rsidR="00CE45DB" w:rsidRPr="006F3B5C">
              <w:t xml:space="preserve">but could also be eligible for </w:t>
            </w:r>
            <w:r w:rsidR="0000622C" w:rsidRPr="006F3B5C">
              <w:t xml:space="preserve">service connection </w:t>
            </w:r>
            <w:r w:rsidRPr="006F3B5C">
              <w:t>for compensation purposes</w:t>
            </w:r>
            <w:r w:rsidR="00397147" w:rsidRPr="006F3B5C">
              <w:t xml:space="preserve">, which </w:t>
            </w:r>
            <w:r w:rsidR="00BF4B71" w:rsidRPr="006F3B5C">
              <w:t xml:space="preserve">may be relevant </w:t>
            </w:r>
            <w:r w:rsidR="00661D98" w:rsidRPr="006F3B5C">
              <w:t>treatment eligibility</w:t>
            </w:r>
            <w:r w:rsidRPr="006F3B5C">
              <w:t>.</w:t>
            </w:r>
            <w:r w:rsidR="00661D98" w:rsidRPr="006F3B5C">
              <w:t xml:space="preserve"> </w:t>
            </w:r>
            <w:r w:rsidRPr="006F3B5C">
              <w:t xml:space="preserve"> </w:t>
            </w:r>
          </w:p>
          <w:p w14:paraId="3CB3C34E" w14:textId="77777777" w:rsidR="00BF4B71" w:rsidRPr="006F3B5C" w:rsidRDefault="00BF4B71" w:rsidP="00BF4B71">
            <w:pPr>
              <w:pStyle w:val="BulletText1"/>
            </w:pPr>
            <w:r w:rsidRPr="006F3B5C">
              <w:t>Treatment can be provided for</w:t>
            </w:r>
          </w:p>
          <w:p w14:paraId="2E4DCF00" w14:textId="77777777" w:rsidR="00BF4B71" w:rsidRPr="006F3B5C" w:rsidRDefault="00BF4B71" w:rsidP="00BF4B71">
            <w:pPr>
              <w:pStyle w:val="BulletText2"/>
            </w:pPr>
            <w:r w:rsidRPr="006F3B5C">
              <w:t>noncompensably and compensably-evaluated dental disabilities that are SC for compensation purposes, and</w:t>
            </w:r>
          </w:p>
          <w:p w14:paraId="53BBFD62" w14:textId="77777777" w:rsidR="00BF4B71" w:rsidRPr="006F3B5C" w:rsidRDefault="00BF4B71" w:rsidP="00BF4B71">
            <w:pPr>
              <w:pStyle w:val="BulletText2"/>
            </w:pPr>
            <w:proofErr w:type="gramStart"/>
            <w:r w:rsidRPr="006F3B5C">
              <w:t>dental</w:t>
            </w:r>
            <w:proofErr w:type="gramEnd"/>
            <w:r w:rsidRPr="006F3B5C">
              <w:t xml:space="preserve"> conditions (treatable carious teeth, replaceable missing teeth, dental or alveolar abscesses, and periodontal disease) specified in </w:t>
            </w:r>
            <w:hyperlink r:id="rId39" w:history="1">
              <w:r w:rsidRPr="006F3B5C">
                <w:rPr>
                  <w:rStyle w:val="Hyperlink"/>
                </w:rPr>
                <w:t>38 CFR 3.381(b)</w:t>
              </w:r>
            </w:hyperlink>
            <w:r w:rsidRPr="006F3B5C">
              <w:t>.</w:t>
            </w:r>
          </w:p>
          <w:p w14:paraId="47291D09" w14:textId="2CD71E8E" w:rsidR="00BF4B71" w:rsidRPr="006F3B5C" w:rsidRDefault="00BF4B71" w:rsidP="00BF4B71">
            <w:pPr>
              <w:pStyle w:val="TableText"/>
            </w:pPr>
          </w:p>
        </w:tc>
      </w:tr>
    </w:tbl>
    <w:p w14:paraId="70EC5202" w14:textId="77777777" w:rsidR="00555620" w:rsidRPr="006F3B5C" w:rsidRDefault="00555620" w:rsidP="00555620"/>
    <w:tbl>
      <w:tblPr>
        <w:tblW w:w="7732" w:type="dxa"/>
        <w:tblInd w:w="1728" w:type="dxa"/>
        <w:tblLayout w:type="fixed"/>
        <w:tblLook w:val="0000" w:firstRow="0" w:lastRow="0" w:firstColumn="0" w:lastColumn="0" w:noHBand="0" w:noVBand="0"/>
      </w:tblPr>
      <w:tblGrid>
        <w:gridCol w:w="7732"/>
      </w:tblGrid>
      <w:tr w:rsidR="00555620" w:rsidRPr="006F3B5C" w14:paraId="45BDAF06" w14:textId="77777777" w:rsidTr="00555620">
        <w:tc>
          <w:tcPr>
            <w:tcW w:w="5000" w:type="pct"/>
            <w:shd w:val="clear" w:color="auto" w:fill="auto"/>
          </w:tcPr>
          <w:p w14:paraId="3956BFA4" w14:textId="77777777" w:rsidR="00555620" w:rsidRPr="006F3B5C" w:rsidRDefault="00555620" w:rsidP="00555620">
            <w:pPr>
              <w:pStyle w:val="NoteText"/>
            </w:pPr>
            <w:r w:rsidRPr="006F3B5C">
              <w:rPr>
                <w:b/>
                <w:i/>
              </w:rPr>
              <w:t>References</w:t>
            </w:r>
            <w:r w:rsidRPr="006F3B5C">
              <w:t>: For more information on</w:t>
            </w:r>
          </w:p>
          <w:p w14:paraId="5002CCE5" w14:textId="77777777" w:rsidR="00555620" w:rsidRPr="006F3B5C" w:rsidRDefault="00555620" w:rsidP="00555620">
            <w:pPr>
              <w:pStyle w:val="BulletText1"/>
            </w:pPr>
            <w:proofErr w:type="gramStart"/>
            <w:r w:rsidRPr="006F3B5C">
              <w:t>determining</w:t>
            </w:r>
            <w:proofErr w:type="gramEnd"/>
            <w:r w:rsidRPr="006F3B5C">
              <w:t xml:space="preserve"> the issues and clarifying claims, see </w:t>
            </w:r>
            <w:hyperlink r:id="rId40" w:history="1">
              <w:r w:rsidRPr="006F3B5C">
                <w:rPr>
                  <w:rStyle w:val="Hyperlink"/>
                </w:rPr>
                <w:t>M21-1MR Part III, Subpart iv, 6.B</w:t>
              </w:r>
            </w:hyperlink>
            <w:r w:rsidRPr="006F3B5C">
              <w:t>.</w:t>
            </w:r>
          </w:p>
          <w:p w14:paraId="167B50A0" w14:textId="77777777" w:rsidR="00555620" w:rsidRPr="006F3B5C" w:rsidRDefault="00555620" w:rsidP="00555620">
            <w:pPr>
              <w:pStyle w:val="BulletText1"/>
            </w:pPr>
            <w:r w:rsidRPr="006F3B5C">
              <w:t xml:space="preserve">determining the type claim in an original claim for compensation, see </w:t>
            </w:r>
            <w:hyperlink r:id="rId41" w:history="1">
              <w:r w:rsidRPr="006F3B5C">
                <w:rPr>
                  <w:rStyle w:val="Hyperlink"/>
                </w:rPr>
                <w:t>M21-1MR Part III, Subpart ii, 2.B.6.b.</w:t>
              </w:r>
            </w:hyperlink>
          </w:p>
          <w:p w14:paraId="13D0BF07" w14:textId="77777777" w:rsidR="00555620" w:rsidRPr="006F3B5C" w:rsidRDefault="00555620" w:rsidP="00555620">
            <w:pPr>
              <w:pStyle w:val="BulletText1"/>
            </w:pPr>
            <w:r w:rsidRPr="006F3B5C">
              <w:t xml:space="preserve">sympathetic reading doctrine, see </w:t>
            </w:r>
            <w:hyperlink r:id="rId42" w:history="1">
              <w:r w:rsidRPr="006F3B5C">
                <w:rPr>
                  <w:rStyle w:val="Hyperlink"/>
                </w:rPr>
                <w:t>M21-1MR Part III, Subpart iv, 6.B</w:t>
              </w:r>
            </w:hyperlink>
            <w:r w:rsidRPr="006F3B5C">
              <w:t xml:space="preserve"> and </w:t>
            </w:r>
            <w:hyperlink r:id="rId43" w:history="1">
              <w:r w:rsidRPr="006F3B5C">
                <w:rPr>
                  <w:rStyle w:val="Hyperlink"/>
                </w:rPr>
                <w:t>M21-1MR Part III, Subpart iv, 4.H.32</w:t>
              </w:r>
            </w:hyperlink>
            <w:r w:rsidRPr="006F3B5C">
              <w:t>.</w:t>
            </w:r>
          </w:p>
          <w:p w14:paraId="055C6C91" w14:textId="4A3D2C29" w:rsidR="00555620" w:rsidRPr="006F3B5C" w:rsidRDefault="00555620" w:rsidP="00080431">
            <w:pPr>
              <w:pStyle w:val="BulletText1"/>
            </w:pPr>
            <w:r w:rsidRPr="006F3B5C">
              <w:t xml:space="preserve">rating principles for dental disabilities, see </w:t>
            </w:r>
            <w:hyperlink r:id="rId44" w:history="1">
              <w:r w:rsidRPr="006F3B5C">
                <w:rPr>
                  <w:rStyle w:val="Hyperlink"/>
                </w:rPr>
                <w:t>M21-1MR Part IX</w:t>
              </w:r>
              <w:proofErr w:type="gramStart"/>
              <w:r w:rsidRPr="006F3B5C">
                <w:rPr>
                  <w:rStyle w:val="Hyperlink"/>
                </w:rPr>
                <w:t xml:space="preserve">. </w:t>
              </w:r>
              <w:proofErr w:type="gramEnd"/>
              <w:r w:rsidRPr="006F3B5C">
                <w:rPr>
                  <w:rStyle w:val="Hyperlink"/>
                </w:rPr>
                <w:t>Subpart ii, 2.3</w:t>
              </w:r>
            </w:hyperlink>
            <w:r w:rsidRPr="006F3B5C">
              <w:t>.</w:t>
            </w:r>
          </w:p>
        </w:tc>
      </w:tr>
    </w:tbl>
    <w:p w14:paraId="65E40DC7" w14:textId="2A4AE41C" w:rsidR="002D58FB" w:rsidRPr="006F3B5C" w:rsidRDefault="002D58FB" w:rsidP="000E14BF">
      <w:pPr>
        <w:pStyle w:val="BlockLine"/>
      </w:pPr>
    </w:p>
    <w:tbl>
      <w:tblPr>
        <w:tblW w:w="0" w:type="auto"/>
        <w:tblLayout w:type="fixed"/>
        <w:tblLook w:val="0000" w:firstRow="0" w:lastRow="0" w:firstColumn="0" w:lastColumn="0" w:noHBand="0" w:noVBand="0"/>
      </w:tblPr>
      <w:tblGrid>
        <w:gridCol w:w="1728"/>
        <w:gridCol w:w="7740"/>
      </w:tblGrid>
      <w:tr w:rsidR="009F38DC" w:rsidRPr="006F3B5C" w14:paraId="65E40DCA" w14:textId="77777777" w:rsidTr="009F38DC">
        <w:tc>
          <w:tcPr>
            <w:tcW w:w="1728" w:type="dxa"/>
            <w:shd w:val="clear" w:color="auto" w:fill="auto"/>
          </w:tcPr>
          <w:p w14:paraId="65E40DC8" w14:textId="10B500F5" w:rsidR="009F38DC" w:rsidRPr="006F3B5C" w:rsidRDefault="00A36058" w:rsidP="009F38DC">
            <w:pPr>
              <w:pStyle w:val="Heading5"/>
            </w:pPr>
            <w:bookmarkStart w:id="15" w:name="_b._Outpatient_Dental"/>
            <w:bookmarkEnd w:id="15"/>
            <w:r w:rsidRPr="006F3B5C">
              <w:t>b</w:t>
            </w:r>
            <w:r w:rsidR="005737CC" w:rsidRPr="006F3B5C">
              <w:t xml:space="preserve">. </w:t>
            </w:r>
            <w:r w:rsidR="009F38DC" w:rsidRPr="006F3B5C">
              <w:t>Outpatient Dental Treatment Classifications</w:t>
            </w:r>
          </w:p>
        </w:tc>
        <w:tc>
          <w:tcPr>
            <w:tcW w:w="7740" w:type="dxa"/>
            <w:shd w:val="clear" w:color="auto" w:fill="auto"/>
          </w:tcPr>
          <w:p w14:paraId="65E40DC9" w14:textId="71A10292" w:rsidR="009F38DC" w:rsidRPr="006F3B5C" w:rsidRDefault="009F38DC" w:rsidP="00064404">
            <w:pPr>
              <w:pStyle w:val="BlockText"/>
            </w:pPr>
            <w:r w:rsidRPr="006F3B5C">
              <w:t xml:space="preserve">The table below </w:t>
            </w:r>
            <w:r w:rsidR="009B2BD8" w:rsidRPr="006F3B5C">
              <w:t xml:space="preserve">summarizes </w:t>
            </w:r>
            <w:r w:rsidR="00690F2A" w:rsidRPr="006F3B5C">
              <w:t xml:space="preserve">the most </w:t>
            </w:r>
            <w:r w:rsidR="0030555E" w:rsidRPr="006F3B5C">
              <w:t xml:space="preserve">common </w:t>
            </w:r>
            <w:r w:rsidRPr="006F3B5C">
              <w:t>dental treatment classifications</w:t>
            </w:r>
            <w:r w:rsidR="009B2BD8" w:rsidRPr="006F3B5C">
              <w:t xml:space="preserve"> used by </w:t>
            </w:r>
            <w:r w:rsidR="0000622C" w:rsidRPr="006F3B5C">
              <w:t>the Veterans Health Administration (</w:t>
            </w:r>
            <w:r w:rsidR="009B2BD8" w:rsidRPr="006F3B5C">
              <w:t>VHA</w:t>
            </w:r>
            <w:r w:rsidR="0000622C" w:rsidRPr="006F3B5C">
              <w:t>)</w:t>
            </w:r>
            <w:r w:rsidRPr="006F3B5C">
              <w:t xml:space="preserve"> and provides a reference for more information on each classification.</w:t>
            </w:r>
            <w:r w:rsidR="00243CA4" w:rsidRPr="006F3B5C">
              <w:t xml:space="preserve"> </w:t>
            </w:r>
            <w:r w:rsidR="00690F2A" w:rsidRPr="006F3B5C">
              <w:t xml:space="preserve">For the purpose of this topic the focus will be on </w:t>
            </w:r>
            <w:r w:rsidR="00243CA4" w:rsidRPr="006F3B5C">
              <w:t>Class</w:t>
            </w:r>
            <w:r w:rsidR="0061585E" w:rsidRPr="006F3B5C">
              <w:t>es</w:t>
            </w:r>
            <w:r w:rsidR="00243CA4" w:rsidRPr="006F3B5C">
              <w:t xml:space="preserve"> </w:t>
            </w:r>
            <w:proofErr w:type="gramStart"/>
            <w:r w:rsidR="00243CA4" w:rsidRPr="006F3B5C">
              <w:t>II</w:t>
            </w:r>
            <w:r w:rsidR="0030555E" w:rsidRPr="006F3B5C">
              <w:t>(</w:t>
            </w:r>
            <w:proofErr w:type="gramEnd"/>
            <w:r w:rsidR="0030555E" w:rsidRPr="006F3B5C">
              <w:t>a)</w:t>
            </w:r>
            <w:r w:rsidR="0061585E" w:rsidRPr="006F3B5C">
              <w:t xml:space="preserve"> and II.</w:t>
            </w:r>
          </w:p>
        </w:tc>
      </w:tr>
    </w:tbl>
    <w:p w14:paraId="65E40DCB" w14:textId="77777777" w:rsidR="009F38DC" w:rsidRPr="006F3B5C" w:rsidRDefault="009F38DC" w:rsidP="009F38DC"/>
    <w:tbl>
      <w:tblPr>
        <w:tblW w:w="7596" w:type="dxa"/>
        <w:tblInd w:w="1872" w:type="dxa"/>
        <w:tblLayout w:type="fixed"/>
        <w:tblLook w:val="0000" w:firstRow="0" w:lastRow="0" w:firstColumn="0" w:lastColumn="0" w:noHBand="0" w:noVBand="0"/>
      </w:tblPr>
      <w:tblGrid>
        <w:gridCol w:w="3798"/>
        <w:gridCol w:w="3798"/>
      </w:tblGrid>
      <w:tr w:rsidR="009F38DC" w:rsidRPr="006F3B5C" w14:paraId="65E40DCE" w14:textId="77777777" w:rsidTr="00243CA4">
        <w:trPr>
          <w:cantSplit/>
          <w:trHeight w:val="271"/>
        </w:trPr>
        <w:tc>
          <w:tcPr>
            <w:tcW w:w="3798" w:type="dxa"/>
            <w:tcBorders>
              <w:top w:val="single" w:sz="6" w:space="0" w:color="auto"/>
              <w:left w:val="single" w:sz="6" w:space="0" w:color="auto"/>
              <w:bottom w:val="single" w:sz="6" w:space="0" w:color="auto"/>
              <w:right w:val="single" w:sz="6" w:space="0" w:color="auto"/>
            </w:tcBorders>
            <w:shd w:val="clear" w:color="auto" w:fill="auto"/>
          </w:tcPr>
          <w:p w14:paraId="65E40DCC" w14:textId="77777777" w:rsidR="009F38DC" w:rsidRPr="006F3B5C" w:rsidRDefault="009F38DC" w:rsidP="00311F8C">
            <w:pPr>
              <w:pStyle w:val="TableHeaderText"/>
            </w:pPr>
            <w:r w:rsidRPr="006F3B5C">
              <w:t>Dental Treatment Classifications</w:t>
            </w:r>
          </w:p>
        </w:tc>
        <w:tc>
          <w:tcPr>
            <w:tcW w:w="3798" w:type="dxa"/>
            <w:tcBorders>
              <w:top w:val="single" w:sz="6" w:space="0" w:color="auto"/>
              <w:bottom w:val="single" w:sz="6" w:space="0" w:color="auto"/>
              <w:right w:val="single" w:sz="6" w:space="0" w:color="auto"/>
            </w:tcBorders>
            <w:shd w:val="clear" w:color="auto" w:fill="auto"/>
          </w:tcPr>
          <w:p w14:paraId="65E40DCD" w14:textId="77777777" w:rsidR="009F38DC" w:rsidRPr="006F3B5C" w:rsidRDefault="009F38DC" w:rsidP="00311F8C">
            <w:pPr>
              <w:pStyle w:val="TableHeaderText"/>
            </w:pPr>
            <w:r w:rsidRPr="006F3B5C">
              <w:t>Reference</w:t>
            </w:r>
          </w:p>
        </w:tc>
      </w:tr>
      <w:tr w:rsidR="009F38DC" w:rsidRPr="006F3B5C" w14:paraId="65E40DD1" w14:textId="77777777" w:rsidTr="00685B34">
        <w:trPr>
          <w:cantSplit/>
          <w:trHeight w:val="948"/>
        </w:trPr>
        <w:tc>
          <w:tcPr>
            <w:tcW w:w="3798" w:type="dxa"/>
            <w:tcBorders>
              <w:top w:val="single" w:sz="6" w:space="0" w:color="auto"/>
              <w:left w:val="single" w:sz="6" w:space="0" w:color="auto"/>
              <w:bottom w:val="single" w:sz="6" w:space="0" w:color="auto"/>
              <w:right w:val="single" w:sz="6" w:space="0" w:color="auto"/>
            </w:tcBorders>
          </w:tcPr>
          <w:p w14:paraId="65E40DCF" w14:textId="27334910" w:rsidR="009F38DC" w:rsidRPr="006F3B5C" w:rsidRDefault="009F38DC" w:rsidP="0000622C">
            <w:pPr>
              <w:pStyle w:val="TableText"/>
            </w:pPr>
            <w:r w:rsidRPr="006F3B5C">
              <w:t xml:space="preserve">Class I:  </w:t>
            </w:r>
            <w:r w:rsidR="0000622C" w:rsidRPr="006F3B5C">
              <w:t>SC</w:t>
            </w:r>
            <w:r w:rsidR="008A3842" w:rsidRPr="006F3B5C">
              <w:t xml:space="preserve"> </w:t>
            </w:r>
            <w:r w:rsidR="00685B34" w:rsidRPr="006F3B5C">
              <w:t>dental</w:t>
            </w:r>
            <w:r w:rsidR="008A3842" w:rsidRPr="006F3B5C">
              <w:t xml:space="preserve"> </w:t>
            </w:r>
            <w:r w:rsidRPr="006F3B5C">
              <w:t>disabili</w:t>
            </w:r>
            <w:r w:rsidR="008A3842" w:rsidRPr="006F3B5C">
              <w:t>ty</w:t>
            </w:r>
            <w:r w:rsidR="00685B34" w:rsidRPr="006F3B5C">
              <w:t xml:space="preserve"> evaluated as compensable </w:t>
            </w:r>
            <w:proofErr w:type="gramStart"/>
            <w:r w:rsidR="00685B34" w:rsidRPr="006F3B5C">
              <w:t>under</w:t>
            </w:r>
            <w:proofErr w:type="gramEnd"/>
            <w:r w:rsidRPr="006F3B5C">
              <w:t xml:space="preserve"> </w:t>
            </w:r>
            <w:hyperlink r:id="rId45" w:history="1">
              <w:r w:rsidRPr="006F3B5C">
                <w:rPr>
                  <w:rStyle w:val="Hyperlink"/>
                </w:rPr>
                <w:t>38 CFR 4.1</w:t>
              </w:r>
              <w:r w:rsidR="00685B34" w:rsidRPr="006F3B5C">
                <w:rPr>
                  <w:rStyle w:val="Hyperlink"/>
                </w:rPr>
                <w:t>50, DC 9900 series</w:t>
              </w:r>
            </w:hyperlink>
            <w:r w:rsidRPr="006F3B5C">
              <w:t>.</w:t>
            </w:r>
          </w:p>
        </w:tc>
        <w:tc>
          <w:tcPr>
            <w:tcW w:w="3798" w:type="dxa"/>
            <w:tcBorders>
              <w:top w:val="single" w:sz="6" w:space="0" w:color="auto"/>
              <w:bottom w:val="single" w:sz="6" w:space="0" w:color="auto"/>
              <w:right w:val="single" w:sz="6" w:space="0" w:color="auto"/>
            </w:tcBorders>
          </w:tcPr>
          <w:p w14:paraId="65E40DD0" w14:textId="77777777" w:rsidR="009F38DC" w:rsidRPr="006F3B5C" w:rsidRDefault="009F38DC" w:rsidP="00311F8C">
            <w:pPr>
              <w:pStyle w:val="TableText"/>
            </w:pPr>
            <w:r w:rsidRPr="006F3B5C">
              <w:t xml:space="preserve">See </w:t>
            </w:r>
            <w:hyperlink r:id="rId46" w:history="1">
              <w:r w:rsidRPr="006F3B5C">
                <w:rPr>
                  <w:rStyle w:val="Hyperlink"/>
                </w:rPr>
                <w:t>M21-1MR, Part III, Subpart v, 7.B.13</w:t>
              </w:r>
            </w:hyperlink>
            <w:r w:rsidRPr="006F3B5C">
              <w:t>.</w:t>
            </w:r>
          </w:p>
        </w:tc>
      </w:tr>
      <w:tr w:rsidR="009F38DC" w:rsidRPr="006F3B5C" w14:paraId="65E40DD4" w14:textId="77777777" w:rsidTr="00243CA4">
        <w:trPr>
          <w:cantSplit/>
          <w:trHeight w:val="993"/>
        </w:trPr>
        <w:tc>
          <w:tcPr>
            <w:tcW w:w="3798" w:type="dxa"/>
            <w:tcBorders>
              <w:top w:val="single" w:sz="6" w:space="0" w:color="auto"/>
              <w:left w:val="single" w:sz="6" w:space="0" w:color="auto"/>
              <w:bottom w:val="single" w:sz="6" w:space="0" w:color="auto"/>
              <w:right w:val="single" w:sz="6" w:space="0" w:color="auto"/>
            </w:tcBorders>
          </w:tcPr>
          <w:p w14:paraId="65E40DD2" w14:textId="3C14F939" w:rsidR="009F38DC" w:rsidRPr="006F3B5C" w:rsidRDefault="009F38DC" w:rsidP="0000622C">
            <w:pPr>
              <w:pStyle w:val="TableText"/>
            </w:pPr>
            <w:r w:rsidRPr="006F3B5C">
              <w:t xml:space="preserve">Class II:  </w:t>
            </w:r>
            <w:r w:rsidR="0000622C" w:rsidRPr="006F3B5C">
              <w:t>SC</w:t>
            </w:r>
            <w:r w:rsidR="008A3842" w:rsidRPr="006F3B5C">
              <w:t xml:space="preserve"> n</w:t>
            </w:r>
            <w:r w:rsidRPr="006F3B5C">
              <w:t>oncompensable dental</w:t>
            </w:r>
            <w:r w:rsidR="008A3842" w:rsidRPr="006F3B5C">
              <w:t xml:space="preserve"> condition or</w:t>
            </w:r>
            <w:r w:rsidRPr="006F3B5C">
              <w:t xml:space="preserve"> disabili</w:t>
            </w:r>
            <w:r w:rsidR="00243CA4" w:rsidRPr="006F3B5C">
              <w:t>t</w:t>
            </w:r>
            <w:r w:rsidR="008A3842" w:rsidRPr="006F3B5C">
              <w:t>y.</w:t>
            </w:r>
          </w:p>
        </w:tc>
        <w:tc>
          <w:tcPr>
            <w:tcW w:w="3798" w:type="dxa"/>
            <w:tcBorders>
              <w:top w:val="single" w:sz="6" w:space="0" w:color="auto"/>
              <w:bottom w:val="single" w:sz="6" w:space="0" w:color="auto"/>
              <w:right w:val="single" w:sz="6" w:space="0" w:color="auto"/>
            </w:tcBorders>
          </w:tcPr>
          <w:p w14:paraId="65E40DD3" w14:textId="77777777" w:rsidR="009F38DC" w:rsidRPr="006F3B5C" w:rsidRDefault="009F38DC" w:rsidP="00311F8C">
            <w:pPr>
              <w:pStyle w:val="TableText"/>
            </w:pPr>
            <w:r w:rsidRPr="006F3B5C">
              <w:t xml:space="preserve">See </w:t>
            </w:r>
            <w:hyperlink r:id="rId47" w:history="1">
              <w:r w:rsidRPr="006F3B5C">
                <w:rPr>
                  <w:rStyle w:val="Hyperlink"/>
                </w:rPr>
                <w:t>M21-1MR, Part III, Subpart v, 7.B.14</w:t>
              </w:r>
            </w:hyperlink>
            <w:r w:rsidRPr="006F3B5C">
              <w:t>.</w:t>
            </w:r>
          </w:p>
        </w:tc>
      </w:tr>
      <w:tr w:rsidR="009F38DC" w:rsidRPr="006F3B5C" w14:paraId="65E40DD7" w14:textId="77777777" w:rsidTr="00243CA4">
        <w:trPr>
          <w:cantSplit/>
          <w:trHeight w:val="272"/>
        </w:trPr>
        <w:tc>
          <w:tcPr>
            <w:tcW w:w="3798" w:type="dxa"/>
            <w:tcBorders>
              <w:top w:val="single" w:sz="6" w:space="0" w:color="auto"/>
              <w:left w:val="single" w:sz="6" w:space="0" w:color="auto"/>
              <w:bottom w:val="single" w:sz="6" w:space="0" w:color="auto"/>
              <w:right w:val="single" w:sz="6" w:space="0" w:color="auto"/>
            </w:tcBorders>
          </w:tcPr>
          <w:p w14:paraId="65E40DD5" w14:textId="0F8150B9" w:rsidR="009F38DC" w:rsidRPr="006F3B5C" w:rsidRDefault="009F38DC" w:rsidP="0000622C">
            <w:pPr>
              <w:pStyle w:val="TableText"/>
            </w:pPr>
            <w:r w:rsidRPr="006F3B5C">
              <w:lastRenderedPageBreak/>
              <w:t xml:space="preserve">Class </w:t>
            </w:r>
            <w:proofErr w:type="gramStart"/>
            <w:r w:rsidRPr="006F3B5C">
              <w:t>II(</w:t>
            </w:r>
            <w:proofErr w:type="gramEnd"/>
            <w:r w:rsidRPr="006F3B5C">
              <w:t xml:space="preserve">a):  </w:t>
            </w:r>
            <w:r w:rsidR="0000622C" w:rsidRPr="006F3B5C">
              <w:t>SC</w:t>
            </w:r>
            <w:r w:rsidR="008A3842" w:rsidRPr="006F3B5C">
              <w:t xml:space="preserve"> noncompensable dental condition or disability adjudicated as resulting from c</w:t>
            </w:r>
            <w:r w:rsidRPr="006F3B5C">
              <w:t>ombat wounds or service trauma</w:t>
            </w:r>
            <w:r w:rsidR="008A3842" w:rsidRPr="006F3B5C">
              <w:t>.</w:t>
            </w:r>
          </w:p>
        </w:tc>
        <w:tc>
          <w:tcPr>
            <w:tcW w:w="3798" w:type="dxa"/>
            <w:tcBorders>
              <w:top w:val="single" w:sz="6" w:space="0" w:color="auto"/>
              <w:bottom w:val="single" w:sz="6" w:space="0" w:color="auto"/>
              <w:right w:val="single" w:sz="6" w:space="0" w:color="auto"/>
            </w:tcBorders>
          </w:tcPr>
          <w:p w14:paraId="65E40DD6" w14:textId="77777777" w:rsidR="009F38DC" w:rsidRPr="006F3B5C" w:rsidRDefault="009F38DC" w:rsidP="00311F8C">
            <w:pPr>
              <w:pStyle w:val="TableText"/>
            </w:pPr>
            <w:r w:rsidRPr="006F3B5C">
              <w:t xml:space="preserve">See </w:t>
            </w:r>
            <w:hyperlink r:id="rId48" w:history="1">
              <w:r w:rsidRPr="006F3B5C">
                <w:rPr>
                  <w:rStyle w:val="Hyperlink"/>
                </w:rPr>
                <w:t>M21-1MR, Part III, Subpart v, 7.B.15</w:t>
              </w:r>
            </w:hyperlink>
            <w:r w:rsidRPr="006F3B5C">
              <w:t>.</w:t>
            </w:r>
          </w:p>
        </w:tc>
      </w:tr>
      <w:tr w:rsidR="009F38DC" w:rsidRPr="006F3B5C" w14:paraId="65E40DDA" w14:textId="77777777" w:rsidTr="00243CA4">
        <w:trPr>
          <w:cantSplit/>
          <w:trHeight w:val="272"/>
        </w:trPr>
        <w:tc>
          <w:tcPr>
            <w:tcW w:w="3798" w:type="dxa"/>
            <w:tcBorders>
              <w:top w:val="single" w:sz="6" w:space="0" w:color="auto"/>
              <w:left w:val="single" w:sz="6" w:space="0" w:color="auto"/>
              <w:bottom w:val="single" w:sz="6" w:space="0" w:color="auto"/>
              <w:right w:val="single" w:sz="6" w:space="0" w:color="auto"/>
            </w:tcBorders>
          </w:tcPr>
          <w:p w14:paraId="65E40DD8" w14:textId="77777777" w:rsidR="009F38DC" w:rsidRPr="006F3B5C" w:rsidRDefault="009F38DC" w:rsidP="00311F8C">
            <w:pPr>
              <w:pStyle w:val="TableText"/>
            </w:pPr>
            <w:r w:rsidRPr="006F3B5C">
              <w:t>Class II(c):  POW status</w:t>
            </w:r>
          </w:p>
        </w:tc>
        <w:tc>
          <w:tcPr>
            <w:tcW w:w="3798" w:type="dxa"/>
            <w:tcBorders>
              <w:top w:val="single" w:sz="6" w:space="0" w:color="auto"/>
              <w:bottom w:val="single" w:sz="6" w:space="0" w:color="auto"/>
              <w:right w:val="single" w:sz="6" w:space="0" w:color="auto"/>
            </w:tcBorders>
          </w:tcPr>
          <w:p w14:paraId="65E40DD9" w14:textId="77777777" w:rsidR="009F38DC" w:rsidRPr="006F3B5C" w:rsidRDefault="009F38DC" w:rsidP="00311F8C">
            <w:pPr>
              <w:pStyle w:val="TableText"/>
            </w:pPr>
            <w:r w:rsidRPr="006F3B5C">
              <w:t xml:space="preserve">See </w:t>
            </w:r>
            <w:hyperlink r:id="rId49" w:history="1">
              <w:r w:rsidRPr="006F3B5C">
                <w:rPr>
                  <w:rStyle w:val="Hyperlink"/>
                </w:rPr>
                <w:t>M21-1MR, Part III, Subpart v, 7.B.15.b</w:t>
              </w:r>
            </w:hyperlink>
            <w:r w:rsidRPr="006F3B5C">
              <w:t>.</w:t>
            </w:r>
          </w:p>
        </w:tc>
      </w:tr>
      <w:tr w:rsidR="009F38DC" w:rsidRPr="006F3B5C" w14:paraId="65E40DDD" w14:textId="77777777" w:rsidTr="00243CA4">
        <w:trPr>
          <w:cantSplit/>
          <w:trHeight w:val="272"/>
        </w:trPr>
        <w:tc>
          <w:tcPr>
            <w:tcW w:w="3798" w:type="dxa"/>
            <w:tcBorders>
              <w:top w:val="single" w:sz="6" w:space="0" w:color="auto"/>
              <w:left w:val="single" w:sz="6" w:space="0" w:color="auto"/>
              <w:bottom w:val="single" w:sz="6" w:space="0" w:color="auto"/>
              <w:right w:val="single" w:sz="6" w:space="0" w:color="auto"/>
            </w:tcBorders>
          </w:tcPr>
          <w:p w14:paraId="65E40DDB" w14:textId="77777777" w:rsidR="009F38DC" w:rsidRPr="006F3B5C" w:rsidRDefault="009F38DC" w:rsidP="00311F8C">
            <w:pPr>
              <w:pStyle w:val="TableText"/>
            </w:pPr>
            <w:r w:rsidRPr="006F3B5C">
              <w:t>Class III:  Dental disability aggravating SC medical condition</w:t>
            </w:r>
          </w:p>
        </w:tc>
        <w:tc>
          <w:tcPr>
            <w:tcW w:w="3798" w:type="dxa"/>
            <w:tcBorders>
              <w:top w:val="single" w:sz="6" w:space="0" w:color="auto"/>
              <w:bottom w:val="single" w:sz="6" w:space="0" w:color="auto"/>
              <w:right w:val="single" w:sz="6" w:space="0" w:color="auto"/>
            </w:tcBorders>
          </w:tcPr>
          <w:p w14:paraId="65E40DDC" w14:textId="77777777" w:rsidR="009F38DC" w:rsidRPr="006F3B5C" w:rsidRDefault="009F38DC" w:rsidP="00311F8C">
            <w:pPr>
              <w:pStyle w:val="TableText"/>
            </w:pPr>
            <w:r w:rsidRPr="006F3B5C">
              <w:t xml:space="preserve">See </w:t>
            </w:r>
            <w:hyperlink r:id="rId50" w:history="1">
              <w:r w:rsidRPr="006F3B5C">
                <w:rPr>
                  <w:rStyle w:val="Hyperlink"/>
                </w:rPr>
                <w:t>M21-1MR, Part III, Subpart v, 7.B.16</w:t>
              </w:r>
            </w:hyperlink>
            <w:r w:rsidRPr="006F3B5C">
              <w:t>.</w:t>
            </w:r>
          </w:p>
        </w:tc>
      </w:tr>
      <w:tr w:rsidR="002F295B" w:rsidRPr="006F3B5C" w14:paraId="225226CF" w14:textId="77777777" w:rsidTr="00243CA4">
        <w:trPr>
          <w:cantSplit/>
          <w:trHeight w:val="272"/>
        </w:trPr>
        <w:tc>
          <w:tcPr>
            <w:tcW w:w="3798" w:type="dxa"/>
            <w:tcBorders>
              <w:top w:val="single" w:sz="6" w:space="0" w:color="auto"/>
              <w:left w:val="single" w:sz="6" w:space="0" w:color="auto"/>
              <w:bottom w:val="single" w:sz="6" w:space="0" w:color="auto"/>
              <w:right w:val="single" w:sz="6" w:space="0" w:color="auto"/>
            </w:tcBorders>
          </w:tcPr>
          <w:p w14:paraId="30FE323D" w14:textId="5C6DE612" w:rsidR="002F295B" w:rsidRPr="006F3B5C" w:rsidRDefault="002F295B" w:rsidP="00311F8C">
            <w:pPr>
              <w:pStyle w:val="TableText"/>
            </w:pPr>
            <w:r w:rsidRPr="006F3B5C">
              <w:t>Class IV:  SC disabilities evaluated at 100% or entitlement to individual unemployability</w:t>
            </w:r>
          </w:p>
        </w:tc>
        <w:tc>
          <w:tcPr>
            <w:tcW w:w="3798" w:type="dxa"/>
            <w:tcBorders>
              <w:top w:val="single" w:sz="6" w:space="0" w:color="auto"/>
              <w:bottom w:val="single" w:sz="6" w:space="0" w:color="auto"/>
              <w:right w:val="single" w:sz="6" w:space="0" w:color="auto"/>
            </w:tcBorders>
          </w:tcPr>
          <w:p w14:paraId="22DA0DDA" w14:textId="30F1DF62" w:rsidR="002F295B" w:rsidRPr="006F3B5C" w:rsidRDefault="002F295B" w:rsidP="00311F8C">
            <w:pPr>
              <w:pStyle w:val="TableText"/>
            </w:pPr>
            <w:r w:rsidRPr="006F3B5C">
              <w:t xml:space="preserve">See </w:t>
            </w:r>
            <w:hyperlink r:id="rId51" w:history="1">
              <w:r w:rsidRPr="006F3B5C">
                <w:rPr>
                  <w:rStyle w:val="Hyperlink"/>
                </w:rPr>
                <w:t>M21-1MR, Part III, Subpart v, 7.B.16</w:t>
              </w:r>
            </w:hyperlink>
            <w:r w:rsidRPr="006F3B5C">
              <w:t>.</w:t>
            </w:r>
          </w:p>
        </w:tc>
      </w:tr>
      <w:tr w:rsidR="002F295B" w:rsidRPr="006F3B5C" w14:paraId="5056FA57" w14:textId="77777777" w:rsidTr="00243CA4">
        <w:trPr>
          <w:cantSplit/>
          <w:trHeight w:val="272"/>
        </w:trPr>
        <w:tc>
          <w:tcPr>
            <w:tcW w:w="3798" w:type="dxa"/>
            <w:tcBorders>
              <w:top w:val="single" w:sz="6" w:space="0" w:color="auto"/>
              <w:left w:val="single" w:sz="6" w:space="0" w:color="auto"/>
              <w:bottom w:val="single" w:sz="6" w:space="0" w:color="auto"/>
              <w:right w:val="single" w:sz="6" w:space="0" w:color="auto"/>
            </w:tcBorders>
          </w:tcPr>
          <w:p w14:paraId="51415AEB" w14:textId="0F9A5D9D" w:rsidR="002F295B" w:rsidRPr="006F3B5C" w:rsidRDefault="002F295B" w:rsidP="00311F8C">
            <w:pPr>
              <w:pStyle w:val="TableText"/>
            </w:pPr>
            <w:r w:rsidRPr="006F3B5C">
              <w:t>Class V:  Enrolled in vocational rehabilitation training</w:t>
            </w:r>
          </w:p>
        </w:tc>
        <w:tc>
          <w:tcPr>
            <w:tcW w:w="3798" w:type="dxa"/>
            <w:tcBorders>
              <w:top w:val="single" w:sz="6" w:space="0" w:color="auto"/>
              <w:bottom w:val="single" w:sz="6" w:space="0" w:color="auto"/>
              <w:right w:val="single" w:sz="6" w:space="0" w:color="auto"/>
            </w:tcBorders>
          </w:tcPr>
          <w:p w14:paraId="5349C6A8" w14:textId="34B429BD" w:rsidR="002F295B" w:rsidRPr="006F3B5C" w:rsidRDefault="002F295B" w:rsidP="00311F8C">
            <w:pPr>
              <w:pStyle w:val="TableText"/>
            </w:pPr>
            <w:r w:rsidRPr="006F3B5C">
              <w:t xml:space="preserve">See </w:t>
            </w:r>
            <w:hyperlink r:id="rId52" w:history="1">
              <w:r w:rsidRPr="006F3B5C">
                <w:rPr>
                  <w:rStyle w:val="Hyperlink"/>
                </w:rPr>
                <w:t>M21-1MR, Part III, Subpart v, 7.B.16</w:t>
              </w:r>
            </w:hyperlink>
            <w:r w:rsidRPr="006F3B5C">
              <w:t>.</w:t>
            </w:r>
          </w:p>
        </w:tc>
      </w:tr>
      <w:tr w:rsidR="002F295B" w:rsidRPr="006F3B5C" w14:paraId="4D6B7FA0" w14:textId="77777777" w:rsidTr="00243CA4">
        <w:trPr>
          <w:cantSplit/>
          <w:trHeight w:val="272"/>
        </w:trPr>
        <w:tc>
          <w:tcPr>
            <w:tcW w:w="3798" w:type="dxa"/>
            <w:tcBorders>
              <w:top w:val="single" w:sz="6" w:space="0" w:color="auto"/>
              <w:left w:val="single" w:sz="6" w:space="0" w:color="auto"/>
              <w:bottom w:val="single" w:sz="6" w:space="0" w:color="auto"/>
              <w:right w:val="single" w:sz="6" w:space="0" w:color="auto"/>
            </w:tcBorders>
          </w:tcPr>
          <w:p w14:paraId="0FBE1AC3" w14:textId="6B5F0481" w:rsidR="002F295B" w:rsidRPr="006F3B5C" w:rsidRDefault="002F295B" w:rsidP="00311F8C">
            <w:pPr>
              <w:pStyle w:val="TableText"/>
            </w:pPr>
            <w:r w:rsidRPr="006F3B5C">
              <w:t xml:space="preserve">Class VI:  Dental disability aggravating medical condition being treated under </w:t>
            </w:r>
            <w:hyperlink r:id="rId53" w:history="1">
              <w:r w:rsidRPr="006F3B5C">
                <w:rPr>
                  <w:rStyle w:val="Hyperlink"/>
                </w:rPr>
                <w:t>38 U.S.C. 1710</w:t>
              </w:r>
            </w:hyperlink>
          </w:p>
        </w:tc>
        <w:tc>
          <w:tcPr>
            <w:tcW w:w="3798" w:type="dxa"/>
            <w:tcBorders>
              <w:top w:val="single" w:sz="6" w:space="0" w:color="auto"/>
              <w:bottom w:val="single" w:sz="6" w:space="0" w:color="auto"/>
              <w:right w:val="single" w:sz="6" w:space="0" w:color="auto"/>
            </w:tcBorders>
          </w:tcPr>
          <w:p w14:paraId="0B155BB2" w14:textId="33646530" w:rsidR="002F295B" w:rsidRPr="006F3B5C" w:rsidRDefault="002F295B" w:rsidP="00311F8C">
            <w:pPr>
              <w:pStyle w:val="TableText"/>
            </w:pPr>
            <w:r w:rsidRPr="006F3B5C">
              <w:t xml:space="preserve">See </w:t>
            </w:r>
            <w:hyperlink r:id="rId54" w:history="1">
              <w:r w:rsidRPr="006F3B5C">
                <w:rPr>
                  <w:rStyle w:val="Hyperlink"/>
                </w:rPr>
                <w:t>M21-1MR, Part III, Subpart v, 7.B.16</w:t>
              </w:r>
            </w:hyperlink>
            <w:r w:rsidRPr="006F3B5C">
              <w:t>.</w:t>
            </w:r>
          </w:p>
        </w:tc>
      </w:tr>
    </w:tbl>
    <w:p w14:paraId="2CF85C9A" w14:textId="77777777" w:rsidR="002F295B" w:rsidRPr="006F3B5C" w:rsidRDefault="002F295B" w:rsidP="002F295B"/>
    <w:tbl>
      <w:tblPr>
        <w:tblW w:w="7732" w:type="dxa"/>
        <w:tblInd w:w="1728" w:type="dxa"/>
        <w:tblLayout w:type="fixed"/>
        <w:tblLook w:val="0000" w:firstRow="0" w:lastRow="0" w:firstColumn="0" w:lastColumn="0" w:noHBand="0" w:noVBand="0"/>
      </w:tblPr>
      <w:tblGrid>
        <w:gridCol w:w="7732"/>
      </w:tblGrid>
      <w:tr w:rsidR="002F295B" w:rsidRPr="006F3B5C" w14:paraId="5034F8EC" w14:textId="77777777" w:rsidTr="002F295B">
        <w:tc>
          <w:tcPr>
            <w:tcW w:w="5000" w:type="pct"/>
            <w:shd w:val="clear" w:color="auto" w:fill="auto"/>
          </w:tcPr>
          <w:p w14:paraId="17257190" w14:textId="6F027D94" w:rsidR="002F295B" w:rsidRPr="006F3B5C" w:rsidRDefault="002F295B" w:rsidP="002F295B">
            <w:pPr>
              <w:pStyle w:val="NoteText"/>
            </w:pPr>
            <w:r w:rsidRPr="006F3B5C">
              <w:rPr>
                <w:b/>
                <w:i/>
              </w:rPr>
              <w:t>Important</w:t>
            </w:r>
            <w:r w:rsidRPr="006F3B5C">
              <w:t xml:space="preserve">:  </w:t>
            </w:r>
            <w:r w:rsidR="0000622C" w:rsidRPr="006F3B5C">
              <w:rPr>
                <w:b/>
                <w:i/>
              </w:rPr>
              <w:t>SC</w:t>
            </w:r>
            <w:r w:rsidRPr="006F3B5C">
              <w:rPr>
                <w:b/>
                <w:i/>
              </w:rPr>
              <w:t xml:space="preserve"> noncompensable</w:t>
            </w:r>
            <w:r w:rsidRPr="006F3B5C">
              <w:t xml:space="preserve"> (as used in Class II and IIa) means either</w:t>
            </w:r>
          </w:p>
          <w:p w14:paraId="128270D1" w14:textId="77777777" w:rsidR="002F295B" w:rsidRPr="006F3B5C" w:rsidRDefault="002F295B" w:rsidP="002F295B">
            <w:pPr>
              <w:pStyle w:val="BulletText1"/>
            </w:pPr>
            <w:r w:rsidRPr="006F3B5C">
              <w:rPr>
                <w:b/>
                <w:i/>
              </w:rPr>
              <w:t>dental disabilities</w:t>
            </w:r>
            <w:r w:rsidRPr="006F3B5C">
              <w:t xml:space="preserve"> that are SC for compensation purposes but only assigned a 0 percent evaluation, </w:t>
            </w:r>
            <w:r w:rsidRPr="006F3B5C">
              <w:rPr>
                <w:i/>
              </w:rPr>
              <w:t>or</w:t>
            </w:r>
          </w:p>
          <w:p w14:paraId="312EAAB0" w14:textId="77777777" w:rsidR="002F295B" w:rsidRPr="006F3B5C" w:rsidRDefault="00DD59CE" w:rsidP="002F295B">
            <w:pPr>
              <w:pStyle w:val="BulletText1"/>
            </w:pPr>
            <w:hyperlink r:id="rId55" w:history="1">
              <w:r w:rsidR="002F295B" w:rsidRPr="006F3B5C">
                <w:rPr>
                  <w:rStyle w:val="Hyperlink"/>
                  <w:u w:val="none"/>
                </w:rPr>
                <w:t>38 CFR 3.381(b)</w:t>
              </w:r>
            </w:hyperlink>
            <w:r w:rsidR="002F295B" w:rsidRPr="006F3B5C">
              <w:t xml:space="preserve"> conditions that can be only SC for treatment purposes and therefore are not entitled to any compensation payments. </w:t>
            </w:r>
          </w:p>
          <w:p w14:paraId="0350DCD8" w14:textId="77777777" w:rsidR="002F295B" w:rsidRPr="006F3B5C" w:rsidRDefault="002F295B" w:rsidP="002F295B">
            <w:pPr>
              <w:pStyle w:val="NoteText"/>
            </w:pPr>
          </w:p>
        </w:tc>
      </w:tr>
    </w:tbl>
    <w:p w14:paraId="65E40E03" w14:textId="77777777" w:rsidR="00243CA4" w:rsidRPr="006F3B5C" w:rsidRDefault="00325403" w:rsidP="00D14C4D">
      <w:pPr>
        <w:pStyle w:val="BlockLine"/>
      </w:pPr>
      <w:r w:rsidRPr="006F3B5C">
        <w:fldChar w:fldCharType="begin"/>
      </w:r>
      <w:r w:rsidRPr="006F3B5C">
        <w:instrText xml:space="preserve"> PRIVATE INFOTYPE="CONCEPT" </w:instrText>
      </w:r>
      <w:r w:rsidRPr="006F3B5C">
        <w:fldChar w:fldCharType="end"/>
      </w:r>
    </w:p>
    <w:tbl>
      <w:tblPr>
        <w:tblW w:w="0" w:type="auto"/>
        <w:tblLayout w:type="fixed"/>
        <w:tblLook w:val="0000" w:firstRow="0" w:lastRow="0" w:firstColumn="0" w:lastColumn="0" w:noHBand="0" w:noVBand="0"/>
      </w:tblPr>
      <w:tblGrid>
        <w:gridCol w:w="1728"/>
        <w:gridCol w:w="7740"/>
      </w:tblGrid>
      <w:tr w:rsidR="00D14C4D" w:rsidRPr="006F3B5C" w14:paraId="65E40E10" w14:textId="77777777" w:rsidTr="00D14C4D">
        <w:tc>
          <w:tcPr>
            <w:tcW w:w="1728" w:type="dxa"/>
            <w:shd w:val="clear" w:color="auto" w:fill="auto"/>
          </w:tcPr>
          <w:p w14:paraId="65E40E04" w14:textId="73AB396A" w:rsidR="00D14C4D" w:rsidRPr="006F3B5C" w:rsidRDefault="00A36058" w:rsidP="00D14C4D">
            <w:pPr>
              <w:pStyle w:val="Heading5"/>
            </w:pPr>
            <w:bookmarkStart w:id="16" w:name="_c.__VHA"/>
            <w:bookmarkEnd w:id="16"/>
            <w:proofErr w:type="gramStart"/>
            <w:r w:rsidRPr="006F3B5C">
              <w:t>c</w:t>
            </w:r>
            <w:r w:rsidR="005737CC" w:rsidRPr="006F3B5C">
              <w:t>.</w:t>
            </w:r>
            <w:r w:rsidRPr="006F3B5C">
              <w:t xml:space="preserve"> </w:t>
            </w:r>
            <w:r w:rsidR="005737CC" w:rsidRPr="006F3B5C">
              <w:t xml:space="preserve"> </w:t>
            </w:r>
            <w:r w:rsidR="00D14C4D" w:rsidRPr="006F3B5C">
              <w:t>VHA</w:t>
            </w:r>
            <w:proofErr w:type="gramEnd"/>
            <w:r w:rsidRPr="006F3B5C">
              <w:t xml:space="preserve"> and VBA Roles in</w:t>
            </w:r>
            <w:r w:rsidR="00D14C4D" w:rsidRPr="006F3B5C">
              <w:t xml:space="preserve"> Dental Treatment Eligibility Determinations</w:t>
            </w:r>
          </w:p>
        </w:tc>
        <w:tc>
          <w:tcPr>
            <w:tcW w:w="7740" w:type="dxa"/>
            <w:shd w:val="clear" w:color="auto" w:fill="auto"/>
          </w:tcPr>
          <w:p w14:paraId="67737A84" w14:textId="77777777" w:rsidR="00A36058" w:rsidRPr="006F3B5C" w:rsidRDefault="00DE0808" w:rsidP="00A36058">
            <w:pPr>
              <w:pStyle w:val="BlockText"/>
            </w:pPr>
            <w:r w:rsidRPr="006F3B5C">
              <w:t xml:space="preserve">Authorization of dental treatment under </w:t>
            </w:r>
            <w:hyperlink r:id="rId56" w:history="1">
              <w:r w:rsidRPr="006F3B5C">
                <w:rPr>
                  <w:rStyle w:val="Hyperlink"/>
                </w:rPr>
                <w:t>38 CFR 17.161</w:t>
              </w:r>
            </w:hyperlink>
            <w:r w:rsidRPr="006F3B5C">
              <w:t xml:space="preserve"> is normally handled by the Business Office at the VHA facility nearest the Veteran’s residence or the VHA Health Eligibility Center (HEC) without referral to the Veterans Service Center (VSC) and the rating activity.  </w:t>
            </w:r>
          </w:p>
          <w:p w14:paraId="50C4EC1B" w14:textId="77777777" w:rsidR="00A36058" w:rsidRPr="006F3B5C" w:rsidRDefault="00A36058" w:rsidP="00A36058">
            <w:pPr>
              <w:pStyle w:val="BlockText"/>
            </w:pPr>
          </w:p>
          <w:p w14:paraId="33A7A611" w14:textId="2316AF9D" w:rsidR="00A36058" w:rsidRPr="006F3B5C" w:rsidRDefault="00A36058" w:rsidP="00B63691">
            <w:pPr>
              <w:pStyle w:val="BlockText"/>
            </w:pPr>
            <w:proofErr w:type="gramStart"/>
            <w:r w:rsidRPr="006F3B5C">
              <w:t>However, w</w:t>
            </w:r>
            <w:r w:rsidR="00DE0808" w:rsidRPr="006F3B5C">
              <w:t xml:space="preserve">hen a claim </w:t>
            </w:r>
            <w:r w:rsidR="00245E8A" w:rsidRPr="006F3B5C">
              <w:t xml:space="preserve">for dental treatment </w:t>
            </w:r>
            <w:r w:rsidR="00DE0808" w:rsidRPr="006F3B5C">
              <w:t xml:space="preserve">received by </w:t>
            </w:r>
            <w:r w:rsidR="009000A5" w:rsidRPr="006F3B5C">
              <w:t>the Veterans Benefits Administration (</w:t>
            </w:r>
            <w:r w:rsidR="00DE0808" w:rsidRPr="006F3B5C">
              <w:t>VBA</w:t>
            </w:r>
            <w:r w:rsidR="009000A5" w:rsidRPr="006F3B5C">
              <w:t>)</w:t>
            </w:r>
            <w:r w:rsidR="00DE0808" w:rsidRPr="006F3B5C">
              <w:t xml:space="preserve"> is referred to VHA, or if the Veteran </w:t>
            </w:r>
            <w:r w:rsidRPr="006F3B5C">
              <w:t xml:space="preserve">requests </w:t>
            </w:r>
            <w:r w:rsidR="00DE0808" w:rsidRPr="006F3B5C">
              <w:t xml:space="preserve">treatment at a VHA clinic, VHA may </w:t>
            </w:r>
            <w:r w:rsidR="004D341E" w:rsidRPr="006F3B5C">
              <w:t xml:space="preserve">complete </w:t>
            </w:r>
            <w:r w:rsidR="004D341E" w:rsidRPr="006F3B5C">
              <w:rPr>
                <w:i/>
              </w:rPr>
              <w:t>VA form 10-7131</w:t>
            </w:r>
            <w:r w:rsidR="004D341E" w:rsidRPr="006F3B5C">
              <w:t xml:space="preserve"> to </w:t>
            </w:r>
            <w:r w:rsidR="00DE0808" w:rsidRPr="006F3B5C">
              <w:t>request information or a rating from VBA</w:t>
            </w:r>
            <w:r w:rsidR="00727D9E" w:rsidRPr="006F3B5C">
              <w:t xml:space="preserve"> </w:t>
            </w:r>
            <w:r w:rsidR="004D341E" w:rsidRPr="006F3B5C">
              <w:t xml:space="preserve">for </w:t>
            </w:r>
            <w:r w:rsidR="00DC2E68" w:rsidRPr="006F3B5C">
              <w:t>use in their determination of eligibility to</w:t>
            </w:r>
            <w:r w:rsidR="004D341E" w:rsidRPr="006F3B5C">
              <w:t xml:space="preserve"> treatment under Class I, II, II(a), II(c) or Class IV.</w:t>
            </w:r>
            <w:proofErr w:type="gramEnd"/>
            <w:r w:rsidR="00DE0808" w:rsidRPr="006F3B5C">
              <w:t xml:space="preserve">  </w:t>
            </w:r>
            <w:r w:rsidR="00B63691" w:rsidRPr="006F3B5C">
              <w:t xml:space="preserve"> </w:t>
            </w:r>
          </w:p>
          <w:p w14:paraId="34C0CA4B" w14:textId="77777777" w:rsidR="00727D9E" w:rsidRPr="006F3B5C" w:rsidRDefault="00727D9E" w:rsidP="00B63691">
            <w:pPr>
              <w:pStyle w:val="BlockText"/>
            </w:pPr>
          </w:p>
          <w:p w14:paraId="7DC39960" w14:textId="77777777" w:rsidR="00A36058" w:rsidRPr="006F3B5C" w:rsidRDefault="00A36058" w:rsidP="00A36058">
            <w:pPr>
              <w:pStyle w:val="BlockText"/>
            </w:pPr>
            <w:r w:rsidRPr="006F3B5C">
              <w:rPr>
                <w:b/>
                <w:i/>
              </w:rPr>
              <w:t>References</w:t>
            </w:r>
            <w:r w:rsidRPr="006F3B5C">
              <w:t xml:space="preserve">: For more information on </w:t>
            </w:r>
          </w:p>
          <w:p w14:paraId="137389FB" w14:textId="53DFF3F5" w:rsidR="00A36058" w:rsidRPr="006F3B5C" w:rsidRDefault="00A36058" w:rsidP="00A36058">
            <w:pPr>
              <w:pStyle w:val="BulletText1"/>
            </w:pPr>
            <w:r w:rsidRPr="006F3B5C">
              <w:t>the classes of dental treatment eligibility, see</w:t>
            </w:r>
          </w:p>
          <w:p w14:paraId="52811728" w14:textId="529CD083" w:rsidR="00A36058" w:rsidRPr="006F3B5C" w:rsidRDefault="00DD59CE" w:rsidP="00A36058">
            <w:pPr>
              <w:pStyle w:val="BulletText2"/>
            </w:pPr>
            <w:hyperlink r:id="rId57" w:history="1">
              <w:r w:rsidR="00A36058" w:rsidRPr="006F3B5C">
                <w:rPr>
                  <w:rStyle w:val="Hyperlink"/>
                </w:rPr>
                <w:t>M21-MR Part IX, Subpart ii, 2.2.b</w:t>
              </w:r>
            </w:hyperlink>
            <w:r w:rsidR="00A36058" w:rsidRPr="006F3B5C">
              <w:t>, or</w:t>
            </w:r>
          </w:p>
          <w:p w14:paraId="29194BF1" w14:textId="46C72144" w:rsidR="00DE0808" w:rsidRPr="006F3B5C" w:rsidRDefault="00DD59CE" w:rsidP="00DE0808">
            <w:pPr>
              <w:pStyle w:val="BulletText2"/>
            </w:pPr>
            <w:hyperlink r:id="rId58" w:history="1">
              <w:r w:rsidR="00A36058" w:rsidRPr="006F3B5C">
                <w:rPr>
                  <w:rStyle w:val="Hyperlink"/>
                </w:rPr>
                <w:t>M21-1MR, Part III, Subpart v, 7.B</w:t>
              </w:r>
            </w:hyperlink>
          </w:p>
          <w:p w14:paraId="23DC2DC2" w14:textId="4E3B1072" w:rsidR="00DE0808" w:rsidRPr="006F3B5C" w:rsidRDefault="00DE0808" w:rsidP="00DE0808">
            <w:pPr>
              <w:pStyle w:val="BulletText1"/>
            </w:pPr>
            <w:proofErr w:type="gramStart"/>
            <w:r w:rsidRPr="006F3B5C">
              <w:t>determinations</w:t>
            </w:r>
            <w:proofErr w:type="gramEnd"/>
            <w:r w:rsidRPr="006F3B5C">
              <w:t xml:space="preserve"> VBA may make for dental treatment purposes, see </w:t>
            </w:r>
            <w:hyperlink r:id="rId59" w:history="1">
              <w:r w:rsidRPr="006F3B5C">
                <w:rPr>
                  <w:rStyle w:val="Hyperlink"/>
                </w:rPr>
                <w:t>M21-1MR Part IX, Subpart ii, 2.2.</w:t>
              </w:r>
            </w:hyperlink>
            <w:r w:rsidR="00245E8A" w:rsidRPr="006F3B5C">
              <w:rPr>
                <w:rStyle w:val="Hyperlink"/>
              </w:rPr>
              <w:t>d</w:t>
            </w:r>
            <w:r w:rsidR="0063486D" w:rsidRPr="006F3B5C">
              <w:t>, or</w:t>
            </w:r>
          </w:p>
          <w:p w14:paraId="50D41FED" w14:textId="77777777" w:rsidR="00DE0808" w:rsidRPr="006F3B5C" w:rsidRDefault="00DE0808" w:rsidP="00DE0808">
            <w:pPr>
              <w:pStyle w:val="BulletText1"/>
            </w:pPr>
            <w:r w:rsidRPr="006F3B5C">
              <w:t xml:space="preserve">processing dental claims, see </w:t>
            </w:r>
            <w:hyperlink r:id="rId60" w:history="1">
              <w:r w:rsidRPr="006F3B5C">
                <w:rPr>
                  <w:rStyle w:val="Hyperlink"/>
                </w:rPr>
                <w:t>M21-1MR, Part III, Subpart v, 7.C</w:t>
              </w:r>
            </w:hyperlink>
            <w:r w:rsidRPr="006F3B5C">
              <w:t xml:space="preserve"> </w:t>
            </w:r>
          </w:p>
          <w:p w14:paraId="65E40E0F" w14:textId="77777777" w:rsidR="00580362" w:rsidRPr="006F3B5C" w:rsidRDefault="00580362" w:rsidP="00A36058">
            <w:pPr>
              <w:pStyle w:val="BlockText"/>
            </w:pPr>
          </w:p>
        </w:tc>
      </w:tr>
    </w:tbl>
    <w:p w14:paraId="30C29061" w14:textId="77777777" w:rsidR="00245E8A" w:rsidRPr="006F3B5C" w:rsidRDefault="00245E8A" w:rsidP="00245E8A">
      <w:pPr>
        <w:pStyle w:val="BlockLine"/>
      </w:pPr>
    </w:p>
    <w:tbl>
      <w:tblPr>
        <w:tblW w:w="0" w:type="auto"/>
        <w:tblLayout w:type="fixed"/>
        <w:tblLook w:val="0000" w:firstRow="0" w:lastRow="0" w:firstColumn="0" w:lastColumn="0" w:noHBand="0" w:noVBand="0"/>
      </w:tblPr>
      <w:tblGrid>
        <w:gridCol w:w="1728"/>
        <w:gridCol w:w="7740"/>
      </w:tblGrid>
      <w:tr w:rsidR="00311F8C" w:rsidRPr="006F3B5C" w14:paraId="65E40E33" w14:textId="77777777" w:rsidTr="00C5274F">
        <w:trPr>
          <w:trHeight w:val="4419"/>
        </w:trPr>
        <w:tc>
          <w:tcPr>
            <w:tcW w:w="1728" w:type="dxa"/>
            <w:shd w:val="clear" w:color="auto" w:fill="auto"/>
          </w:tcPr>
          <w:p w14:paraId="65E40E20" w14:textId="5FCDEEB2" w:rsidR="00311F8C" w:rsidRPr="006F3B5C" w:rsidRDefault="00245E8A" w:rsidP="00311F8C">
            <w:pPr>
              <w:pStyle w:val="Heading5"/>
            </w:pPr>
            <w:bookmarkStart w:id="17" w:name="_d._Determinations_VBA"/>
            <w:bookmarkEnd w:id="17"/>
            <w:r w:rsidRPr="006F3B5C">
              <w:lastRenderedPageBreak/>
              <w:t>d</w:t>
            </w:r>
            <w:r w:rsidR="005737CC" w:rsidRPr="006F3B5C">
              <w:t xml:space="preserve">. </w:t>
            </w:r>
            <w:r w:rsidR="00311F8C" w:rsidRPr="006F3B5C">
              <w:t xml:space="preserve">Determinations VBA Makes for </w:t>
            </w:r>
            <w:r w:rsidR="00D71F55" w:rsidRPr="006F3B5C">
              <w:t xml:space="preserve">Dental </w:t>
            </w:r>
            <w:r w:rsidR="00311F8C" w:rsidRPr="006F3B5C">
              <w:t>Treatment Purposes</w:t>
            </w:r>
          </w:p>
        </w:tc>
        <w:tc>
          <w:tcPr>
            <w:tcW w:w="7740" w:type="dxa"/>
            <w:shd w:val="clear" w:color="auto" w:fill="auto"/>
          </w:tcPr>
          <w:p w14:paraId="65E40E21" w14:textId="3DA8AB21" w:rsidR="00311F8C" w:rsidRPr="006F3B5C" w:rsidRDefault="00624D0A" w:rsidP="00311F8C">
            <w:pPr>
              <w:pStyle w:val="BlockText"/>
            </w:pPr>
            <w:r w:rsidRPr="006F3B5C">
              <w:t xml:space="preserve">Per </w:t>
            </w:r>
            <w:hyperlink r:id="rId61" w:history="1">
              <w:r w:rsidR="000A1E83" w:rsidRPr="006F3B5C">
                <w:rPr>
                  <w:rStyle w:val="Hyperlink"/>
                </w:rPr>
                <w:t>38 CFR 3.381(a)</w:t>
              </w:r>
            </w:hyperlink>
            <w:r w:rsidR="000A1E83" w:rsidRPr="006F3B5C">
              <w:t xml:space="preserve">  </w:t>
            </w:r>
            <w:r w:rsidR="00311F8C" w:rsidRPr="006F3B5C">
              <w:t>VHA may request</w:t>
            </w:r>
            <w:r w:rsidRPr="006F3B5C">
              <w:t xml:space="preserve"> determinations</w:t>
            </w:r>
            <w:r w:rsidR="00311F8C" w:rsidRPr="006F3B5C">
              <w:t xml:space="preserve"> from VBA </w:t>
            </w:r>
            <w:r w:rsidRPr="006F3B5C">
              <w:t>including</w:t>
            </w:r>
            <w:r w:rsidR="00311F8C" w:rsidRPr="006F3B5C">
              <w:t xml:space="preserve">, but </w:t>
            </w:r>
            <w:r w:rsidR="00DC2E68" w:rsidRPr="006F3B5C">
              <w:t>not limited to</w:t>
            </w:r>
            <w:r w:rsidR="0000622C" w:rsidRPr="006F3B5C">
              <w:t>,</w:t>
            </w:r>
            <w:r w:rsidR="00DC2E68" w:rsidRPr="006F3B5C">
              <w:t xml:space="preserve"> whether</w:t>
            </w:r>
          </w:p>
          <w:p w14:paraId="65E40E22" w14:textId="6BBB2C3B" w:rsidR="00C5274F" w:rsidRPr="006F3B5C" w:rsidRDefault="00DC2E68" w:rsidP="00C5274F">
            <w:pPr>
              <w:pStyle w:val="BulletText1"/>
            </w:pPr>
            <w:r w:rsidRPr="006F3B5C">
              <w:t>a</w:t>
            </w:r>
            <w:r w:rsidR="00C5274F" w:rsidRPr="006F3B5C">
              <w:t xml:space="preserve"> dental condition or disability is a result of combat wounds</w:t>
            </w:r>
          </w:p>
          <w:p w14:paraId="65E40E23" w14:textId="48E8CBF7" w:rsidR="00C5274F" w:rsidRPr="006F3B5C" w:rsidRDefault="00DC2E68" w:rsidP="00C5274F">
            <w:pPr>
              <w:pStyle w:val="BulletText1"/>
            </w:pPr>
            <w:r w:rsidRPr="006F3B5C">
              <w:t>a</w:t>
            </w:r>
            <w:r w:rsidR="00C5274F" w:rsidRPr="006F3B5C">
              <w:t xml:space="preserve"> dental condition or disability is a result of service trauma</w:t>
            </w:r>
          </w:p>
          <w:p w14:paraId="65E40E24" w14:textId="18FB4E4F" w:rsidR="00C5274F" w:rsidRPr="006F3B5C" w:rsidRDefault="00C5274F" w:rsidP="00C5274F">
            <w:pPr>
              <w:pStyle w:val="BulletText1"/>
            </w:pPr>
            <w:r w:rsidRPr="006F3B5C">
              <w:t>the Veteran has a noncompensable SC dental condition or disability</w:t>
            </w:r>
          </w:p>
          <w:p w14:paraId="65E40E25" w14:textId="7BF7DBFA" w:rsidR="00C5274F" w:rsidRPr="006F3B5C" w:rsidRDefault="00C5274F" w:rsidP="00C5274F">
            <w:pPr>
              <w:pStyle w:val="BulletText1"/>
            </w:pPr>
            <w:proofErr w:type="gramStart"/>
            <w:r w:rsidRPr="006F3B5C">
              <w:t>the</w:t>
            </w:r>
            <w:proofErr w:type="gramEnd"/>
            <w:r w:rsidRPr="006F3B5C">
              <w:t xml:space="preserve"> Veteran has a compensable SC disability. </w:t>
            </w:r>
          </w:p>
          <w:p w14:paraId="65E40E26" w14:textId="5671F02D" w:rsidR="00C5274F" w:rsidRPr="006F3B5C" w:rsidRDefault="00311F8C" w:rsidP="00C5274F">
            <w:pPr>
              <w:pStyle w:val="BulletText1"/>
            </w:pPr>
            <w:r w:rsidRPr="006F3B5C">
              <w:t xml:space="preserve">the Veteran is totally disabled due to </w:t>
            </w:r>
            <w:r w:rsidR="0000622C" w:rsidRPr="006F3B5C">
              <w:t xml:space="preserve">an </w:t>
            </w:r>
            <w:r w:rsidR="00C5274F" w:rsidRPr="006F3B5C">
              <w:t xml:space="preserve">SC </w:t>
            </w:r>
            <w:r w:rsidRPr="006F3B5C">
              <w:t>disability</w:t>
            </w:r>
            <w:r w:rsidR="00C5274F" w:rsidRPr="006F3B5C">
              <w:t>, or</w:t>
            </w:r>
          </w:p>
          <w:p w14:paraId="65E40E27" w14:textId="6C17D9CB" w:rsidR="00311F8C" w:rsidRPr="006F3B5C" w:rsidRDefault="00DC2E68" w:rsidP="00C5274F">
            <w:pPr>
              <w:pStyle w:val="BulletText1"/>
            </w:pPr>
            <w:proofErr w:type="gramStart"/>
            <w:r w:rsidRPr="006F3B5C">
              <w:t>the</w:t>
            </w:r>
            <w:proofErr w:type="gramEnd"/>
            <w:r w:rsidRPr="006F3B5C">
              <w:t xml:space="preserve"> Veteran has </w:t>
            </w:r>
            <w:r w:rsidR="00C5274F" w:rsidRPr="006F3B5C">
              <w:t>former Prisoner of War</w:t>
            </w:r>
            <w:r w:rsidR="0000622C" w:rsidRPr="006F3B5C">
              <w:t xml:space="preserve"> (FPOW)</w:t>
            </w:r>
            <w:r w:rsidR="00C5274F" w:rsidRPr="006F3B5C">
              <w:t xml:space="preserve"> status</w:t>
            </w:r>
            <w:r w:rsidRPr="006F3B5C">
              <w:t>.</w:t>
            </w:r>
          </w:p>
          <w:p w14:paraId="65E40E28" w14:textId="77777777" w:rsidR="00EE3FF0" w:rsidRPr="006F3B5C" w:rsidRDefault="00EE3FF0" w:rsidP="00EE3FF0">
            <w:pPr>
              <w:pStyle w:val="BulletText1"/>
              <w:numPr>
                <w:ilvl w:val="0"/>
                <w:numId w:val="0"/>
              </w:numPr>
              <w:ind w:left="173" w:hanging="173"/>
              <w:rPr>
                <w:szCs w:val="24"/>
              </w:rPr>
            </w:pPr>
          </w:p>
          <w:p w14:paraId="22C2670F" w14:textId="77777777" w:rsidR="00890B2A" w:rsidRPr="006F3B5C" w:rsidRDefault="002674F3" w:rsidP="002674F3">
            <w:pPr>
              <w:pStyle w:val="BlockText"/>
            </w:pPr>
            <w:r w:rsidRPr="006F3B5C">
              <w:rPr>
                <w:b/>
                <w:i/>
              </w:rPr>
              <w:t>Note</w:t>
            </w:r>
            <w:r w:rsidR="00890B2A" w:rsidRPr="006F3B5C">
              <w:rPr>
                <w:b/>
                <w:i/>
              </w:rPr>
              <w:t>s</w:t>
            </w:r>
            <w:r w:rsidRPr="006F3B5C">
              <w:t xml:space="preserve">: </w:t>
            </w:r>
          </w:p>
          <w:p w14:paraId="071A0D63" w14:textId="0C201942" w:rsidR="00890B2A" w:rsidRPr="006F3B5C" w:rsidRDefault="00DC2E68" w:rsidP="00890B2A">
            <w:pPr>
              <w:pStyle w:val="BulletText1"/>
            </w:pPr>
            <w:r w:rsidRPr="006F3B5C">
              <w:t xml:space="preserve">This does not mean a formal </w:t>
            </w:r>
            <w:r w:rsidR="002674F3" w:rsidRPr="006F3B5C">
              <w:t xml:space="preserve">rating determination is always required.  </w:t>
            </w:r>
            <w:r w:rsidR="00890B2A" w:rsidRPr="006F3B5C">
              <w:t xml:space="preserve">In many cases eligibility for outpatient dental treatment can be decided by VHA without VBA rating action based </w:t>
            </w:r>
            <w:r w:rsidRPr="006F3B5C">
              <w:t>information of</w:t>
            </w:r>
            <w:r w:rsidR="00890B2A" w:rsidRPr="006F3B5C">
              <w:t xml:space="preserve"> record. </w:t>
            </w:r>
            <w:r w:rsidRPr="006F3B5C">
              <w:t xml:space="preserve"> </w:t>
            </w:r>
            <w:r w:rsidR="00890B2A" w:rsidRPr="006F3B5C">
              <w:t>Examples include:</w:t>
            </w:r>
          </w:p>
          <w:p w14:paraId="4CBEC61E" w14:textId="170F36E4" w:rsidR="00890B2A" w:rsidRPr="006F3B5C" w:rsidRDefault="00890B2A" w:rsidP="00890B2A">
            <w:pPr>
              <w:pStyle w:val="BulletText2"/>
            </w:pPr>
            <w:r w:rsidRPr="006F3B5C">
              <w:t>one-time dental treatment for Veterans who apply within 180 days after military discharge (Class II)</w:t>
            </w:r>
          </w:p>
          <w:p w14:paraId="2181C93B" w14:textId="2416899F" w:rsidR="00890B2A" w:rsidRPr="006F3B5C" w:rsidRDefault="002674F3" w:rsidP="00890B2A">
            <w:pPr>
              <w:pStyle w:val="BulletText2"/>
            </w:pPr>
            <w:r w:rsidRPr="006F3B5C">
              <w:t>Prisoner of War status</w:t>
            </w:r>
            <w:r w:rsidR="00890B2A" w:rsidRPr="006F3B5C">
              <w:t xml:space="preserve"> (</w:t>
            </w:r>
            <w:r w:rsidR="002064B2" w:rsidRPr="006F3B5C">
              <w:t>Class II(c)</w:t>
            </w:r>
            <w:r w:rsidR="00890B2A" w:rsidRPr="006F3B5C">
              <w:t xml:space="preserve">) </w:t>
            </w:r>
            <w:r w:rsidR="00793448" w:rsidRPr="006F3B5C">
              <w:t>, and</w:t>
            </w:r>
          </w:p>
          <w:p w14:paraId="08234335" w14:textId="6CB31247" w:rsidR="00890B2A" w:rsidRPr="006F3B5C" w:rsidRDefault="00890B2A" w:rsidP="00890B2A">
            <w:pPr>
              <w:pStyle w:val="BulletText2"/>
            </w:pPr>
            <w:r w:rsidRPr="006F3B5C">
              <w:t>total disability (Class IV)</w:t>
            </w:r>
          </w:p>
          <w:p w14:paraId="2F5BE66C" w14:textId="5E5A90D8" w:rsidR="00890B2A" w:rsidRPr="006F3B5C" w:rsidRDefault="00890B2A" w:rsidP="00793448">
            <w:pPr>
              <w:pStyle w:val="BulletText3"/>
            </w:pPr>
            <w:r w:rsidRPr="006F3B5C">
              <w:t xml:space="preserve">In lieu of a dental treatment rating decision </w:t>
            </w:r>
            <w:r w:rsidR="002064B2" w:rsidRPr="006F3B5C">
              <w:t xml:space="preserve">annotate </w:t>
            </w:r>
            <w:r w:rsidR="002064B2" w:rsidRPr="006F3B5C">
              <w:rPr>
                <w:i/>
              </w:rPr>
              <w:t>VA Form 10-</w:t>
            </w:r>
            <w:r w:rsidR="00DE6890" w:rsidRPr="006F3B5C">
              <w:rPr>
                <w:i/>
              </w:rPr>
              <w:t>71</w:t>
            </w:r>
            <w:r w:rsidR="002064B2" w:rsidRPr="006F3B5C">
              <w:rPr>
                <w:i/>
              </w:rPr>
              <w:t>31</w:t>
            </w:r>
            <w:r w:rsidR="00793448" w:rsidRPr="006F3B5C">
              <w:rPr>
                <w:i/>
              </w:rPr>
              <w:t xml:space="preserve"> </w:t>
            </w:r>
            <w:r w:rsidR="002064B2" w:rsidRPr="006F3B5C">
              <w:t>that the Veteran is totally disabled</w:t>
            </w:r>
            <w:r w:rsidR="00793448" w:rsidRPr="006F3B5C">
              <w:t>.</w:t>
            </w:r>
          </w:p>
          <w:p w14:paraId="65E40E2D" w14:textId="644C7811" w:rsidR="00EE3FF0" w:rsidRPr="006F3B5C" w:rsidRDefault="00EE3FF0" w:rsidP="00890B2A">
            <w:pPr>
              <w:pStyle w:val="BlockText"/>
            </w:pPr>
          </w:p>
          <w:p w14:paraId="65E40E2F" w14:textId="77777777" w:rsidR="00325403" w:rsidRPr="006F3B5C" w:rsidRDefault="0061585E" w:rsidP="0061585E">
            <w:pPr>
              <w:pStyle w:val="BlockText"/>
            </w:pPr>
            <w:r w:rsidRPr="006F3B5C">
              <w:rPr>
                <w:b/>
                <w:i/>
              </w:rPr>
              <w:t>Reference</w:t>
            </w:r>
            <w:r w:rsidRPr="006F3B5C">
              <w:t xml:space="preserve">:  For more information on </w:t>
            </w:r>
          </w:p>
          <w:p w14:paraId="65E40E30" w14:textId="4A4F0B92" w:rsidR="0061585E" w:rsidRPr="006F3B5C" w:rsidRDefault="0061585E" w:rsidP="00325403">
            <w:pPr>
              <w:pStyle w:val="BulletText1"/>
            </w:pPr>
            <w:r w:rsidRPr="006F3B5C">
              <w:t xml:space="preserve">conditions that </w:t>
            </w:r>
            <w:r w:rsidR="001150F4" w:rsidRPr="006F3B5C">
              <w:t>can be SC</w:t>
            </w:r>
            <w:r w:rsidRPr="006F3B5C">
              <w:t xml:space="preserve"> only for treatment purposes, see </w:t>
            </w:r>
            <w:hyperlink r:id="rId62" w:history="1">
              <w:r w:rsidRPr="006F3B5C">
                <w:rPr>
                  <w:rStyle w:val="Hyperlink"/>
                </w:rPr>
                <w:t>M21-1MR Part IX, Subpart ii, 2.2.</w:t>
              </w:r>
              <w:r w:rsidR="00DC2E68" w:rsidRPr="006F3B5C">
                <w:rPr>
                  <w:rStyle w:val="Hyperlink"/>
                </w:rPr>
                <w:t>g</w:t>
              </w:r>
            </w:hyperlink>
            <w:r w:rsidR="00325403" w:rsidRPr="006F3B5C">
              <w:t>, and</w:t>
            </w:r>
          </w:p>
          <w:p w14:paraId="65E40E31" w14:textId="0AB9F2D9" w:rsidR="00325403" w:rsidRPr="006F3B5C" w:rsidRDefault="00325403" w:rsidP="00325403">
            <w:pPr>
              <w:pStyle w:val="BulletText1"/>
            </w:pPr>
            <w:proofErr w:type="gramStart"/>
            <w:r w:rsidRPr="006F3B5C">
              <w:t>verification</w:t>
            </w:r>
            <w:proofErr w:type="gramEnd"/>
            <w:r w:rsidRPr="006F3B5C">
              <w:t xml:space="preserve"> of </w:t>
            </w:r>
            <w:r w:rsidR="0000622C" w:rsidRPr="006F3B5C">
              <w:t>FPOW</w:t>
            </w:r>
            <w:r w:rsidRPr="006F3B5C">
              <w:t xml:space="preserve"> status for dental eligibility, see </w:t>
            </w:r>
            <w:hyperlink r:id="rId63" w:history="1">
              <w:r w:rsidRPr="006F3B5C">
                <w:rPr>
                  <w:rStyle w:val="Hyperlink"/>
                </w:rPr>
                <w:t>M21-1MR Part III, Subpart v, 7.C.17.d</w:t>
              </w:r>
            </w:hyperlink>
            <w:r w:rsidRPr="006F3B5C">
              <w:t>.</w:t>
            </w:r>
          </w:p>
          <w:p w14:paraId="65E40E32" w14:textId="77777777" w:rsidR="0061585E" w:rsidRPr="006F3B5C" w:rsidRDefault="0061585E" w:rsidP="0061585E">
            <w:pPr>
              <w:pStyle w:val="BlockText"/>
            </w:pPr>
          </w:p>
        </w:tc>
      </w:tr>
    </w:tbl>
    <w:p w14:paraId="067015E9" w14:textId="15053E4D" w:rsidR="004D341E" w:rsidRPr="006F3B5C" w:rsidRDefault="004D341E" w:rsidP="004D341E">
      <w:pPr>
        <w:pStyle w:val="BlockLine"/>
      </w:pPr>
    </w:p>
    <w:tbl>
      <w:tblPr>
        <w:tblW w:w="0" w:type="auto"/>
        <w:tblLayout w:type="fixed"/>
        <w:tblLook w:val="0000" w:firstRow="0" w:lastRow="0" w:firstColumn="0" w:lastColumn="0" w:noHBand="0" w:noVBand="0"/>
      </w:tblPr>
      <w:tblGrid>
        <w:gridCol w:w="1728"/>
        <w:gridCol w:w="7740"/>
      </w:tblGrid>
      <w:tr w:rsidR="004D341E" w:rsidRPr="006F3B5C" w14:paraId="31D620A6" w14:textId="77777777" w:rsidTr="004D341E">
        <w:tc>
          <w:tcPr>
            <w:tcW w:w="1728" w:type="dxa"/>
            <w:shd w:val="clear" w:color="auto" w:fill="auto"/>
          </w:tcPr>
          <w:p w14:paraId="78790EF2" w14:textId="49FE714A" w:rsidR="004D341E" w:rsidRPr="006F3B5C" w:rsidRDefault="00DC2E68" w:rsidP="004D341E">
            <w:pPr>
              <w:pStyle w:val="Heading5"/>
            </w:pPr>
            <w:bookmarkStart w:id="18" w:name="_e._When_to"/>
            <w:bookmarkEnd w:id="18"/>
            <w:r w:rsidRPr="006F3B5C">
              <w:t>e</w:t>
            </w:r>
            <w:r w:rsidR="004D341E" w:rsidRPr="006F3B5C">
              <w:t>. When to Prepare a Rating for Dental Treatment Purposes</w:t>
            </w:r>
          </w:p>
        </w:tc>
        <w:tc>
          <w:tcPr>
            <w:tcW w:w="7740" w:type="dxa"/>
            <w:shd w:val="clear" w:color="auto" w:fill="auto"/>
          </w:tcPr>
          <w:p w14:paraId="31C094B4" w14:textId="4D9895B2" w:rsidR="004D341E" w:rsidRPr="006F3B5C" w:rsidRDefault="004D341E" w:rsidP="004D341E">
            <w:pPr>
              <w:pStyle w:val="BlockText"/>
            </w:pPr>
            <w:r w:rsidRPr="006F3B5C">
              <w:t xml:space="preserve">As specified in </w:t>
            </w:r>
            <w:hyperlink r:id="rId64" w:history="1">
              <w:r w:rsidRPr="006F3B5C">
                <w:rPr>
                  <w:rStyle w:val="Hyperlink"/>
                </w:rPr>
                <w:t>38 CFR 3.381(a)</w:t>
              </w:r>
            </w:hyperlink>
            <w:r w:rsidRPr="006F3B5C">
              <w:t xml:space="preserve"> VBA will develop and decide a claim for </w:t>
            </w:r>
            <w:r w:rsidR="0000622C" w:rsidRPr="006F3B5C">
              <w:t>service connection</w:t>
            </w:r>
            <w:r w:rsidRPr="006F3B5C">
              <w:t xml:space="preserve"> for treatment purposes </w:t>
            </w:r>
            <w:r w:rsidRPr="006F3B5C">
              <w:rPr>
                <w:b/>
                <w:i/>
              </w:rPr>
              <w:t>only after</w:t>
            </w:r>
            <w:r w:rsidRPr="006F3B5C">
              <w:t xml:space="preserve"> VHA </w:t>
            </w:r>
          </w:p>
          <w:p w14:paraId="441587CB" w14:textId="77777777" w:rsidR="004D341E" w:rsidRPr="006F3B5C" w:rsidRDefault="004D341E" w:rsidP="004D341E">
            <w:pPr>
              <w:pStyle w:val="BulletText1"/>
            </w:pPr>
            <w:r w:rsidRPr="006F3B5C">
              <w:t xml:space="preserve">determines that a Veteran meets the basic eligibility requirements of </w:t>
            </w:r>
            <w:hyperlink r:id="rId65" w:history="1">
              <w:r w:rsidRPr="006F3B5C">
                <w:rPr>
                  <w:rStyle w:val="Hyperlink"/>
                </w:rPr>
                <w:t>38 CFR 17.161</w:t>
              </w:r>
            </w:hyperlink>
            <w:r w:rsidRPr="006F3B5C">
              <w:t xml:space="preserve"> and </w:t>
            </w:r>
          </w:p>
          <w:p w14:paraId="09075EC0" w14:textId="17C69BA7" w:rsidR="004D341E" w:rsidRPr="006F3B5C" w:rsidRDefault="004D341E" w:rsidP="004D341E">
            <w:pPr>
              <w:pStyle w:val="BulletText1"/>
            </w:pPr>
            <w:proofErr w:type="gramStart"/>
            <w:r w:rsidRPr="006F3B5C">
              <w:rPr>
                <w:b/>
                <w:i/>
              </w:rPr>
              <w:t>requests</w:t>
            </w:r>
            <w:proofErr w:type="gramEnd"/>
            <w:r w:rsidRPr="006F3B5C">
              <w:rPr>
                <w:b/>
              </w:rPr>
              <w:t xml:space="preserve"> </w:t>
            </w:r>
            <w:r w:rsidRPr="006F3B5C">
              <w:t>that VBA make a determination</w:t>
            </w:r>
            <w:r w:rsidR="00482DE4" w:rsidRPr="006F3B5C">
              <w:t xml:space="preserve"> (provide required information or issuing a rating decision)</w:t>
            </w:r>
            <w:r w:rsidRPr="006F3B5C">
              <w:t>.</w:t>
            </w:r>
          </w:p>
          <w:p w14:paraId="7ACAA3B8" w14:textId="77777777" w:rsidR="004D341E" w:rsidRPr="006F3B5C" w:rsidRDefault="004D341E" w:rsidP="004D341E">
            <w:pPr>
              <w:pStyle w:val="BlockText"/>
            </w:pPr>
          </w:p>
          <w:p w14:paraId="573F48BB" w14:textId="02B7ADCB" w:rsidR="004D341E" w:rsidRPr="006F3B5C" w:rsidRDefault="004D341E" w:rsidP="00482DE4">
            <w:pPr>
              <w:pStyle w:val="BlockText"/>
            </w:pPr>
            <w:r w:rsidRPr="006F3B5C">
              <w:rPr>
                <w:b/>
                <w:i/>
              </w:rPr>
              <w:t>Important</w:t>
            </w:r>
            <w:r w:rsidRPr="006F3B5C">
              <w:t xml:space="preserve">:  Provide </w:t>
            </w:r>
            <w:r w:rsidRPr="006F3B5C">
              <w:rPr>
                <w:b/>
                <w:i/>
              </w:rPr>
              <w:t>only</w:t>
            </w:r>
            <w:r w:rsidRPr="006F3B5C">
              <w:t xml:space="preserve"> the determination requested.   </w:t>
            </w:r>
          </w:p>
        </w:tc>
      </w:tr>
    </w:tbl>
    <w:p w14:paraId="65E40E37" w14:textId="77777777" w:rsidR="0061585E" w:rsidRPr="006F3B5C" w:rsidRDefault="00D426E6" w:rsidP="0061585E">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F50B86" w:rsidRPr="006F3B5C" w14:paraId="65E40E43" w14:textId="77777777" w:rsidTr="00F50B86">
        <w:tc>
          <w:tcPr>
            <w:tcW w:w="1728" w:type="dxa"/>
            <w:shd w:val="clear" w:color="auto" w:fill="auto"/>
          </w:tcPr>
          <w:p w14:paraId="65E40E38" w14:textId="2F6583C2" w:rsidR="00F50B86" w:rsidRPr="006F3B5C" w:rsidRDefault="00890B2A" w:rsidP="00B032B2">
            <w:pPr>
              <w:pStyle w:val="Heading5"/>
            </w:pPr>
            <w:bookmarkStart w:id="19" w:name="_f._Service_Trauma"/>
            <w:bookmarkEnd w:id="19"/>
            <w:r w:rsidRPr="006F3B5C">
              <w:t>f</w:t>
            </w:r>
            <w:r w:rsidR="005737CC" w:rsidRPr="006F3B5C">
              <w:t>.</w:t>
            </w:r>
            <w:r w:rsidR="00F207AB" w:rsidRPr="006F3B5C">
              <w:t xml:space="preserve"> Service </w:t>
            </w:r>
            <w:r w:rsidR="00565A9F" w:rsidRPr="006F3B5C">
              <w:t xml:space="preserve">Trauma </w:t>
            </w:r>
            <w:r w:rsidR="00F207AB" w:rsidRPr="006F3B5C">
              <w:t xml:space="preserve">for </w:t>
            </w:r>
            <w:r w:rsidR="00D71F55" w:rsidRPr="006F3B5C">
              <w:t xml:space="preserve">Dental </w:t>
            </w:r>
            <w:r w:rsidR="00F207AB" w:rsidRPr="006F3B5C">
              <w:t>Treatment Purposes</w:t>
            </w:r>
          </w:p>
        </w:tc>
        <w:tc>
          <w:tcPr>
            <w:tcW w:w="7740" w:type="dxa"/>
            <w:shd w:val="clear" w:color="auto" w:fill="auto"/>
          </w:tcPr>
          <w:p w14:paraId="65E40E39" w14:textId="71B39BF6" w:rsidR="00E85335" w:rsidRPr="006F3B5C" w:rsidRDefault="00565A9F" w:rsidP="00F207AB">
            <w:pPr>
              <w:pStyle w:val="BlockText"/>
            </w:pPr>
            <w:r w:rsidRPr="006F3B5C">
              <w:t xml:space="preserve">Veterans who have a </w:t>
            </w:r>
            <w:r w:rsidR="00F207AB" w:rsidRPr="006F3B5C">
              <w:t xml:space="preserve">noncompensable </w:t>
            </w:r>
            <w:r w:rsidRPr="006F3B5C">
              <w:t xml:space="preserve">dental condition </w:t>
            </w:r>
            <w:r w:rsidR="00F207AB" w:rsidRPr="006F3B5C">
              <w:t xml:space="preserve">(including tooth disorders for which </w:t>
            </w:r>
            <w:r w:rsidR="0000622C" w:rsidRPr="006F3B5C">
              <w:t>service connection</w:t>
            </w:r>
            <w:r w:rsidR="00F207AB" w:rsidRPr="006F3B5C">
              <w:t xml:space="preserve"> </w:t>
            </w:r>
            <w:r w:rsidR="00890B2A" w:rsidRPr="006F3B5C">
              <w:t xml:space="preserve">for </w:t>
            </w:r>
            <w:r w:rsidR="00F207AB" w:rsidRPr="006F3B5C">
              <w:t xml:space="preserve">compensation </w:t>
            </w:r>
            <w:r w:rsidR="00890B2A" w:rsidRPr="006F3B5C">
              <w:t xml:space="preserve">purposes </w:t>
            </w:r>
            <w:r w:rsidR="00F207AB" w:rsidRPr="006F3B5C">
              <w:t xml:space="preserve">cannot be granted) </w:t>
            </w:r>
            <w:r w:rsidRPr="006F3B5C">
              <w:t xml:space="preserve">resulting from combat wounds or service trauma may receive any reasonably necessary treatment for the SC dental condition under Class II(a).  </w:t>
            </w:r>
          </w:p>
          <w:p w14:paraId="65E40E3A" w14:textId="77777777" w:rsidR="00E85335" w:rsidRPr="006F3B5C" w:rsidRDefault="00E85335" w:rsidP="00F207AB">
            <w:pPr>
              <w:pStyle w:val="BlockText"/>
            </w:pPr>
          </w:p>
          <w:p w14:paraId="65E40E3B" w14:textId="7E676339" w:rsidR="00F207AB" w:rsidRPr="006F3B5C" w:rsidRDefault="00482DE4" w:rsidP="00F207AB">
            <w:pPr>
              <w:pStyle w:val="BlockText"/>
            </w:pPr>
            <w:r w:rsidRPr="006F3B5C">
              <w:t xml:space="preserve">If VHA provides a </w:t>
            </w:r>
            <w:r w:rsidRPr="006F3B5C">
              <w:rPr>
                <w:i/>
              </w:rPr>
              <w:t>VA Form 10-7131</w:t>
            </w:r>
            <w:r w:rsidR="00F207AB" w:rsidRPr="006F3B5C">
              <w:t xml:space="preserve"> request</w:t>
            </w:r>
            <w:r w:rsidRPr="006F3B5C">
              <w:t>ing</w:t>
            </w:r>
            <w:r w:rsidR="00F207AB" w:rsidRPr="006F3B5C">
              <w:t xml:space="preserve"> a dental trauma rating, prepare a rating identifying the specific tooth number(s) that were injured</w:t>
            </w:r>
            <w:r w:rsidR="00E85335" w:rsidRPr="006F3B5C">
              <w:t xml:space="preserve"> and identify the service trauma</w:t>
            </w:r>
            <w:r w:rsidR="00F207AB" w:rsidRPr="006F3B5C">
              <w:t>.</w:t>
            </w:r>
          </w:p>
          <w:p w14:paraId="65E40E3C" w14:textId="77777777" w:rsidR="00565A9F" w:rsidRPr="006F3B5C" w:rsidRDefault="00565A9F" w:rsidP="00565A9F">
            <w:pPr>
              <w:pStyle w:val="BlockText"/>
            </w:pPr>
          </w:p>
          <w:p w14:paraId="65E40E3D" w14:textId="1A722A8C" w:rsidR="00BA24B2" w:rsidRPr="006F3B5C" w:rsidRDefault="00E85335" w:rsidP="00565A9F">
            <w:pPr>
              <w:pStyle w:val="BlockText"/>
            </w:pPr>
            <w:r w:rsidRPr="006F3B5C">
              <w:rPr>
                <w:b/>
                <w:i/>
              </w:rPr>
              <w:lastRenderedPageBreak/>
              <w:t>Note</w:t>
            </w:r>
            <w:r w:rsidRPr="006F3B5C">
              <w:t xml:space="preserve">: </w:t>
            </w:r>
            <w:hyperlink r:id="rId66" w:anchor="bmn" w:history="1">
              <w:r w:rsidR="00BA24B2" w:rsidRPr="006F3B5C">
                <w:rPr>
                  <w:rStyle w:val="Hyperlink"/>
                  <w:i/>
                </w:rPr>
                <w:t xml:space="preserve">Neilson v. </w:t>
              </w:r>
              <w:r w:rsidR="00EF1516" w:rsidRPr="006F3B5C">
                <w:rPr>
                  <w:rStyle w:val="Hyperlink"/>
                  <w:i/>
                </w:rPr>
                <w:t>Shinseki</w:t>
              </w:r>
            </w:hyperlink>
            <w:r w:rsidR="00F207AB" w:rsidRPr="006F3B5C">
              <w:t xml:space="preserve">, </w:t>
            </w:r>
            <w:r w:rsidR="00D71F55" w:rsidRPr="006F3B5C">
              <w:t>607 F.3d 802 (Fed</w:t>
            </w:r>
            <w:proofErr w:type="gramStart"/>
            <w:r w:rsidR="00D71F55" w:rsidRPr="006F3B5C">
              <w:t xml:space="preserve">. </w:t>
            </w:r>
            <w:proofErr w:type="gramEnd"/>
            <w:r w:rsidR="00D71F55" w:rsidRPr="006F3B5C">
              <w:t>Cir, 2010)</w:t>
            </w:r>
            <w:r w:rsidR="00BA24B2" w:rsidRPr="006F3B5C">
              <w:t xml:space="preserve"> determined that </w:t>
            </w:r>
            <w:r w:rsidR="00BA24B2" w:rsidRPr="006F3B5C">
              <w:rPr>
                <w:b/>
                <w:i/>
              </w:rPr>
              <w:t>service trauma</w:t>
            </w:r>
            <w:r w:rsidR="00BA24B2" w:rsidRPr="006F3B5C">
              <w:t xml:space="preserve"> means </w:t>
            </w:r>
            <w:r w:rsidR="00D71F55" w:rsidRPr="006F3B5C">
              <w:t>an injury or wound produced by an external physical force</w:t>
            </w:r>
            <w:r w:rsidR="00624D0A" w:rsidRPr="006F3B5C">
              <w:t xml:space="preserve">, for example </w:t>
            </w:r>
            <w:r w:rsidR="00C5274F" w:rsidRPr="006F3B5C">
              <w:t>striking the mouth on a vehicle, striking the mouth when falling</w:t>
            </w:r>
            <w:r w:rsidR="00624D0A" w:rsidRPr="006F3B5C">
              <w:t>,</w:t>
            </w:r>
            <w:r w:rsidR="00C5274F" w:rsidRPr="006F3B5C">
              <w:t xml:space="preserve"> and biting down on a cherry pit. </w:t>
            </w:r>
            <w:r w:rsidR="00624D0A" w:rsidRPr="006F3B5C">
              <w:t>Proper</w:t>
            </w:r>
            <w:r w:rsidR="00B63691" w:rsidRPr="006F3B5C">
              <w:t xml:space="preserve"> </w:t>
            </w:r>
            <w:r w:rsidR="00C5274F" w:rsidRPr="006F3B5C">
              <w:t xml:space="preserve">in service </w:t>
            </w:r>
            <w:r w:rsidRPr="006F3B5C">
              <w:t xml:space="preserve">tooth extraction </w:t>
            </w:r>
            <w:r w:rsidR="00624D0A" w:rsidRPr="006F3B5C">
              <w:t>does not</w:t>
            </w:r>
            <w:r w:rsidR="003721D3" w:rsidRPr="006F3B5C">
              <w:t xml:space="preserve"> constitut</w:t>
            </w:r>
            <w:r w:rsidR="00732367" w:rsidRPr="006F3B5C">
              <w:t>e service trauma</w:t>
            </w:r>
            <w:r w:rsidR="00D71F55" w:rsidRPr="006F3B5C">
              <w:t xml:space="preserve">.  </w:t>
            </w:r>
          </w:p>
          <w:p w14:paraId="65E40E3E" w14:textId="77777777" w:rsidR="00565A9F" w:rsidRPr="006F3B5C" w:rsidRDefault="00BA24B2" w:rsidP="00565A9F">
            <w:pPr>
              <w:pStyle w:val="BlockText"/>
            </w:pPr>
            <w:r w:rsidRPr="006F3B5C">
              <w:t xml:space="preserve"> </w:t>
            </w:r>
          </w:p>
          <w:p w14:paraId="65E40E3F" w14:textId="77777777" w:rsidR="00F207AB" w:rsidRPr="006F3B5C" w:rsidRDefault="00F207AB" w:rsidP="00F207AB">
            <w:pPr>
              <w:pStyle w:val="BlockText"/>
            </w:pPr>
            <w:r w:rsidRPr="006F3B5C">
              <w:rPr>
                <w:b/>
                <w:i/>
              </w:rPr>
              <w:t>R</w:t>
            </w:r>
            <w:r w:rsidR="00565A9F" w:rsidRPr="006F3B5C">
              <w:rPr>
                <w:b/>
                <w:i/>
              </w:rPr>
              <w:t>eference</w:t>
            </w:r>
            <w:r w:rsidRPr="006F3B5C">
              <w:rPr>
                <w:b/>
                <w:i/>
              </w:rPr>
              <w:t>s</w:t>
            </w:r>
            <w:r w:rsidRPr="006F3B5C">
              <w:t>: For more information on:</w:t>
            </w:r>
          </w:p>
          <w:p w14:paraId="65E40E40" w14:textId="77777777" w:rsidR="00D71F55" w:rsidRPr="006F3B5C" w:rsidRDefault="00C5274F" w:rsidP="00D71F55">
            <w:pPr>
              <w:pStyle w:val="BulletText1"/>
            </w:pPr>
            <w:r w:rsidRPr="006F3B5C">
              <w:t>s</w:t>
            </w:r>
            <w:r w:rsidR="00D71F55" w:rsidRPr="006F3B5C">
              <w:t xml:space="preserve">ervice dental trauma, see </w:t>
            </w:r>
            <w:hyperlink r:id="rId67" w:history="1">
              <w:r w:rsidR="00D71F55" w:rsidRPr="006F3B5C">
                <w:rPr>
                  <w:rStyle w:val="Hyperlink"/>
                </w:rPr>
                <w:t>VAOPGCPREC 5-97</w:t>
              </w:r>
            </w:hyperlink>
          </w:p>
          <w:p w14:paraId="65E40E41" w14:textId="7D5D0E54" w:rsidR="00F207AB" w:rsidRPr="006F3B5C" w:rsidRDefault="00C5274F" w:rsidP="00D71F55">
            <w:pPr>
              <w:pStyle w:val="BulletText1"/>
            </w:pPr>
            <w:proofErr w:type="gramStart"/>
            <w:r w:rsidRPr="006F3B5C">
              <w:t>c</w:t>
            </w:r>
            <w:r w:rsidR="00F207AB" w:rsidRPr="006F3B5C">
              <w:t>onditions</w:t>
            </w:r>
            <w:proofErr w:type="gramEnd"/>
            <w:r w:rsidR="00F207AB" w:rsidRPr="006F3B5C">
              <w:t xml:space="preserve"> that </w:t>
            </w:r>
            <w:r w:rsidR="001150F4" w:rsidRPr="006F3B5C">
              <w:t>can be SC</w:t>
            </w:r>
            <w:r w:rsidR="00F207AB" w:rsidRPr="006F3B5C">
              <w:t xml:space="preserve"> only for treatment purposes, see </w:t>
            </w:r>
            <w:hyperlink r:id="rId68" w:history="1">
              <w:r w:rsidR="00F207AB" w:rsidRPr="006F3B5C">
                <w:rPr>
                  <w:rStyle w:val="Hyperlink"/>
                </w:rPr>
                <w:t>M21-1MR Part IX, Subpart ii, 2.2.</w:t>
              </w:r>
            </w:hyperlink>
            <w:r w:rsidR="00431598" w:rsidRPr="006F3B5C">
              <w:rPr>
                <w:rStyle w:val="Hyperlink"/>
              </w:rPr>
              <w:t>g</w:t>
            </w:r>
            <w:r w:rsidRPr="006F3B5C">
              <w:t>, and</w:t>
            </w:r>
          </w:p>
          <w:p w14:paraId="65E40E42" w14:textId="1AF54F0A" w:rsidR="00F50B86" w:rsidRPr="006F3B5C" w:rsidRDefault="00C5274F" w:rsidP="00482DE4">
            <w:pPr>
              <w:pStyle w:val="BulletText1"/>
            </w:pPr>
            <w:proofErr w:type="gramStart"/>
            <w:r w:rsidRPr="006F3B5C">
              <w:t>tooth</w:t>
            </w:r>
            <w:proofErr w:type="gramEnd"/>
            <w:r w:rsidRPr="006F3B5C">
              <w:t xml:space="preserve"> numbering systems</w:t>
            </w:r>
            <w:r w:rsidR="00565A9F" w:rsidRPr="006F3B5C">
              <w:t xml:space="preserve">, see </w:t>
            </w:r>
            <w:hyperlink r:id="rId69" w:history="1">
              <w:r w:rsidR="00565A9F" w:rsidRPr="006F3B5C">
                <w:rPr>
                  <w:rStyle w:val="Hyperlink"/>
                </w:rPr>
                <w:t>M21</w:t>
              </w:r>
              <w:r w:rsidR="006565C3" w:rsidRPr="006F3B5C">
                <w:rPr>
                  <w:rStyle w:val="Hyperlink"/>
                </w:rPr>
                <w:t>-1MR, Part IX, Subpart ii, 2.2</w:t>
              </w:r>
              <w:r w:rsidR="00F207AB" w:rsidRPr="006F3B5C">
                <w:rPr>
                  <w:rStyle w:val="Hyperlink"/>
                </w:rPr>
                <w:t>.</w:t>
              </w:r>
              <w:r w:rsidR="00482DE4" w:rsidRPr="006F3B5C">
                <w:rPr>
                  <w:rStyle w:val="Hyperlink"/>
                </w:rPr>
                <w:t>n</w:t>
              </w:r>
            </w:hyperlink>
            <w:r w:rsidR="00F207AB" w:rsidRPr="006F3B5C">
              <w:t>.</w:t>
            </w:r>
          </w:p>
        </w:tc>
      </w:tr>
    </w:tbl>
    <w:p w14:paraId="65E40E44" w14:textId="77777777" w:rsidR="00565A9F" w:rsidRPr="006F3B5C" w:rsidRDefault="00D426E6" w:rsidP="0061585E">
      <w:pPr>
        <w:pStyle w:val="BlockLine"/>
      </w:pPr>
      <w:r w:rsidRPr="006F3B5C">
        <w:lastRenderedPageBreak/>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565A9F" w:rsidRPr="006F3B5C" w14:paraId="65E40E52" w14:textId="77777777" w:rsidTr="001842D0">
        <w:trPr>
          <w:trHeight w:val="3879"/>
        </w:trPr>
        <w:tc>
          <w:tcPr>
            <w:tcW w:w="1728" w:type="dxa"/>
            <w:shd w:val="clear" w:color="auto" w:fill="auto"/>
          </w:tcPr>
          <w:p w14:paraId="65E40E45" w14:textId="132DB1C1" w:rsidR="00565A9F" w:rsidRPr="006F3B5C" w:rsidRDefault="00431598" w:rsidP="00565A9F">
            <w:pPr>
              <w:pStyle w:val="Heading5"/>
            </w:pPr>
            <w:bookmarkStart w:id="20" w:name="_g._Conditions_SC"/>
            <w:bookmarkEnd w:id="20"/>
            <w:r w:rsidRPr="006F3B5C">
              <w:t>g</w:t>
            </w:r>
            <w:r w:rsidR="005737CC" w:rsidRPr="006F3B5C">
              <w:t xml:space="preserve">. </w:t>
            </w:r>
            <w:r w:rsidR="00565A9F" w:rsidRPr="006F3B5C">
              <w:t xml:space="preserve">Conditions SC Only for </w:t>
            </w:r>
            <w:r w:rsidR="004B65E0" w:rsidRPr="006F3B5C">
              <w:t xml:space="preserve">Dental </w:t>
            </w:r>
            <w:r w:rsidR="00565A9F" w:rsidRPr="006F3B5C">
              <w:t>Treatment Purposes</w:t>
            </w:r>
          </w:p>
        </w:tc>
        <w:tc>
          <w:tcPr>
            <w:tcW w:w="7740" w:type="dxa"/>
            <w:shd w:val="clear" w:color="auto" w:fill="auto"/>
          </w:tcPr>
          <w:p w14:paraId="65E40E46" w14:textId="28D70A7D" w:rsidR="00565A9F" w:rsidRPr="006F3B5C" w:rsidRDefault="00732367" w:rsidP="00565A9F">
            <w:pPr>
              <w:pStyle w:val="BlockText"/>
            </w:pPr>
            <w:r w:rsidRPr="006F3B5C">
              <w:t xml:space="preserve">Per </w:t>
            </w:r>
            <w:hyperlink r:id="rId70" w:history="1">
              <w:r w:rsidR="00864BF2" w:rsidRPr="006F3B5C">
                <w:rPr>
                  <w:rStyle w:val="Hyperlink"/>
                </w:rPr>
                <w:t>38 CFR 3.381(b)</w:t>
              </w:r>
            </w:hyperlink>
            <w:r w:rsidR="00864BF2" w:rsidRPr="006F3B5C">
              <w:t xml:space="preserve"> </w:t>
            </w:r>
            <w:r w:rsidR="002237B0" w:rsidRPr="006F3B5C">
              <w:t>the following conditions may not be considered compensable dental disabilities</w:t>
            </w:r>
            <w:r w:rsidR="005A60E4" w:rsidRPr="006F3B5C">
              <w:t xml:space="preserve">. </w:t>
            </w:r>
            <w:r w:rsidR="00E92A68" w:rsidRPr="006F3B5C">
              <w:t xml:space="preserve"> </w:t>
            </w:r>
            <w:r w:rsidR="005A60E4" w:rsidRPr="006F3B5C">
              <w:t>They</w:t>
            </w:r>
            <w:r w:rsidR="00565A9F" w:rsidRPr="006F3B5C">
              <w:t xml:space="preserve"> may be SC</w:t>
            </w:r>
            <w:r w:rsidR="002237B0" w:rsidRPr="006F3B5C">
              <w:t xml:space="preserve"> noncompensable dental conditions</w:t>
            </w:r>
            <w:r w:rsidR="00565A9F" w:rsidRPr="006F3B5C">
              <w:t xml:space="preserve"> solely for the purpose of determining entitlement to </w:t>
            </w:r>
            <w:r w:rsidR="00864BF2" w:rsidRPr="006F3B5C">
              <w:t xml:space="preserve">Class II or Class II(a) dental treatment </w:t>
            </w:r>
            <w:r w:rsidR="002237B0" w:rsidRPr="006F3B5C">
              <w:t xml:space="preserve"> </w:t>
            </w:r>
            <w:r w:rsidR="00864BF2" w:rsidRPr="006F3B5C">
              <w:t>under</w:t>
            </w:r>
            <w:r w:rsidR="00565A9F" w:rsidRPr="006F3B5C">
              <w:t xml:space="preserve"> </w:t>
            </w:r>
            <w:hyperlink r:id="rId71" w:history="1">
              <w:r w:rsidR="00565A9F" w:rsidRPr="006F3B5C">
                <w:rPr>
                  <w:rStyle w:val="Hyperlink"/>
                </w:rPr>
                <w:t>38 CFR 17.161</w:t>
              </w:r>
            </w:hyperlink>
            <w:r w:rsidR="00864BF2" w:rsidRPr="006F3B5C">
              <w:t>.</w:t>
            </w:r>
          </w:p>
          <w:p w14:paraId="65E40E47" w14:textId="77777777" w:rsidR="00565A9F" w:rsidRPr="006F3B5C" w:rsidRDefault="00565A9F" w:rsidP="00565A9F">
            <w:pPr>
              <w:pStyle w:val="BlockText"/>
            </w:pPr>
          </w:p>
          <w:p w14:paraId="65E40E48" w14:textId="77777777" w:rsidR="00565A9F" w:rsidRPr="006F3B5C" w:rsidRDefault="00565A9F" w:rsidP="00565A9F">
            <w:pPr>
              <w:pStyle w:val="BulletText1"/>
            </w:pPr>
            <w:r w:rsidRPr="006F3B5C">
              <w:t>treatable carious teeth</w:t>
            </w:r>
          </w:p>
          <w:p w14:paraId="65E40E49" w14:textId="77777777" w:rsidR="00986504" w:rsidRPr="006F3B5C" w:rsidRDefault="00986504" w:rsidP="00986504">
            <w:pPr>
              <w:pStyle w:val="BulletText1"/>
            </w:pPr>
            <w:proofErr w:type="gramStart"/>
            <w:r w:rsidRPr="006F3B5C">
              <w:t>chronic</w:t>
            </w:r>
            <w:proofErr w:type="gramEnd"/>
            <w:r w:rsidRPr="006F3B5C">
              <w:t xml:space="preserve"> periodontal disease (pyorrhea).</w:t>
            </w:r>
          </w:p>
          <w:p w14:paraId="65E40E4A" w14:textId="75B11CE6" w:rsidR="00565A9F" w:rsidRPr="006F3B5C" w:rsidRDefault="00565A9F" w:rsidP="00565A9F">
            <w:pPr>
              <w:pStyle w:val="BulletText1"/>
            </w:pPr>
            <w:r w:rsidRPr="006F3B5C">
              <w:t>replaceable missing teeth</w:t>
            </w:r>
            <w:r w:rsidR="00EF1516" w:rsidRPr="006F3B5C">
              <w:t>, and</w:t>
            </w:r>
          </w:p>
          <w:p w14:paraId="65E40E4B" w14:textId="783CEDD3" w:rsidR="00565A9F" w:rsidRPr="006F3B5C" w:rsidRDefault="00565A9F" w:rsidP="00565A9F">
            <w:pPr>
              <w:pStyle w:val="BulletText1"/>
            </w:pPr>
            <w:proofErr w:type="gramStart"/>
            <w:r w:rsidRPr="006F3B5C">
              <w:t>d</w:t>
            </w:r>
            <w:r w:rsidR="00EF1516" w:rsidRPr="006F3B5C">
              <w:t>ental</w:t>
            </w:r>
            <w:proofErr w:type="gramEnd"/>
            <w:r w:rsidR="00EF1516" w:rsidRPr="006F3B5C">
              <w:t xml:space="preserve"> or alveolar abscesses.</w:t>
            </w:r>
          </w:p>
          <w:p w14:paraId="65E40E4C" w14:textId="77777777" w:rsidR="00565A9F" w:rsidRPr="006F3B5C" w:rsidRDefault="00565A9F" w:rsidP="00565A9F">
            <w:pPr>
              <w:pStyle w:val="BlockText"/>
            </w:pPr>
          </w:p>
          <w:p w14:paraId="65E40E4D" w14:textId="7820A9CE" w:rsidR="00565A9F" w:rsidRPr="006F3B5C" w:rsidRDefault="002237B0" w:rsidP="001842D0">
            <w:pPr>
              <w:pStyle w:val="BlockText"/>
            </w:pPr>
            <w:r w:rsidRPr="006F3B5C">
              <w:t>This list is not exclusive</w:t>
            </w:r>
            <w:r w:rsidR="00732367" w:rsidRPr="006F3B5C">
              <w:t xml:space="preserve"> and other dental conditions may qualify</w:t>
            </w:r>
            <w:r w:rsidRPr="006F3B5C">
              <w:t xml:space="preserve">. </w:t>
            </w:r>
          </w:p>
          <w:p w14:paraId="65E40E4E" w14:textId="77777777" w:rsidR="0061585E" w:rsidRPr="006F3B5C" w:rsidRDefault="0061585E" w:rsidP="001842D0">
            <w:pPr>
              <w:pStyle w:val="BlockText"/>
            </w:pPr>
          </w:p>
          <w:p w14:paraId="65E40E4F" w14:textId="76B81300" w:rsidR="005A60E4" w:rsidRPr="006F3B5C" w:rsidRDefault="0061585E" w:rsidP="001842D0">
            <w:pPr>
              <w:pStyle w:val="BlockText"/>
            </w:pPr>
            <w:r w:rsidRPr="006F3B5C">
              <w:rPr>
                <w:b/>
                <w:i/>
              </w:rPr>
              <w:t>Important</w:t>
            </w:r>
            <w:r w:rsidRPr="006F3B5C">
              <w:t xml:space="preserve">:  Periodontal disease is not </w:t>
            </w:r>
            <w:r w:rsidR="005A60E4" w:rsidRPr="006F3B5C">
              <w:t xml:space="preserve">treatable except for Class II purposes -- </w:t>
            </w:r>
            <w:r w:rsidRPr="006F3B5C">
              <w:t>even if secondary to a</w:t>
            </w:r>
            <w:r w:rsidR="006000B6" w:rsidRPr="006F3B5C">
              <w:t>n</w:t>
            </w:r>
            <w:r w:rsidRPr="006F3B5C">
              <w:t xml:space="preserve"> </w:t>
            </w:r>
            <w:r w:rsidR="00A4698C" w:rsidRPr="006F3B5C">
              <w:t>SC</w:t>
            </w:r>
            <w:r w:rsidRPr="006F3B5C">
              <w:t xml:space="preserve"> disability.  </w:t>
            </w:r>
          </w:p>
          <w:p w14:paraId="65E40E50" w14:textId="77777777" w:rsidR="005A60E4" w:rsidRPr="006F3B5C" w:rsidRDefault="005A60E4" w:rsidP="001842D0">
            <w:pPr>
              <w:pStyle w:val="BlockText"/>
            </w:pPr>
          </w:p>
          <w:p w14:paraId="65E40E51" w14:textId="373AF17E" w:rsidR="0061585E" w:rsidRPr="006F3B5C" w:rsidRDefault="005A60E4" w:rsidP="006000B6">
            <w:pPr>
              <w:pStyle w:val="BlockText"/>
            </w:pPr>
            <w:r w:rsidRPr="006F3B5C">
              <w:rPr>
                <w:b/>
                <w:i/>
              </w:rPr>
              <w:t>Reference</w:t>
            </w:r>
            <w:r w:rsidRPr="006F3B5C">
              <w:t xml:space="preserve">:  For more information on </w:t>
            </w:r>
            <w:r w:rsidR="00A4698C" w:rsidRPr="006F3B5C">
              <w:t>SC</w:t>
            </w:r>
            <w:r w:rsidRPr="006F3B5C">
              <w:t xml:space="preserve"> compensation for dental disabilities, see </w:t>
            </w:r>
            <w:hyperlink r:id="rId72" w:history="1">
              <w:r w:rsidRPr="006F3B5C">
                <w:rPr>
                  <w:rStyle w:val="Hyperlink"/>
                </w:rPr>
                <w:t>M21-1MR Part IX, Subpart ii, 2.3</w:t>
              </w:r>
            </w:hyperlink>
            <w:r w:rsidRPr="006F3B5C">
              <w:t>.</w:t>
            </w:r>
          </w:p>
        </w:tc>
      </w:tr>
    </w:tbl>
    <w:p w14:paraId="65E40E56" w14:textId="77777777" w:rsidR="0061585E" w:rsidRPr="006F3B5C" w:rsidRDefault="00D426E6" w:rsidP="0061585E">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9808FE" w:rsidRPr="006F3B5C" w14:paraId="65E40E64" w14:textId="77777777" w:rsidTr="00112332">
        <w:trPr>
          <w:trHeight w:val="5553"/>
        </w:trPr>
        <w:tc>
          <w:tcPr>
            <w:tcW w:w="1728" w:type="dxa"/>
            <w:shd w:val="clear" w:color="auto" w:fill="auto"/>
          </w:tcPr>
          <w:p w14:paraId="65E40E57" w14:textId="122307AA" w:rsidR="009808FE" w:rsidRPr="006F3B5C" w:rsidRDefault="00DC2E68" w:rsidP="00252B10">
            <w:pPr>
              <w:pStyle w:val="Heading5"/>
            </w:pPr>
            <w:bookmarkStart w:id="21" w:name="_h._Dental_Conditions"/>
            <w:bookmarkEnd w:id="21"/>
            <w:r w:rsidRPr="006F3B5C">
              <w:lastRenderedPageBreak/>
              <w:t>h</w:t>
            </w:r>
            <w:r w:rsidR="005737CC" w:rsidRPr="006F3B5C">
              <w:t xml:space="preserve">. </w:t>
            </w:r>
            <w:r w:rsidR="009808FE" w:rsidRPr="006F3B5C">
              <w:t xml:space="preserve">Dental Conditions </w:t>
            </w:r>
            <w:r w:rsidR="00252B10" w:rsidRPr="006F3B5C">
              <w:t>n</w:t>
            </w:r>
            <w:r w:rsidR="009808FE" w:rsidRPr="006F3B5C">
              <w:t>ot Considered SC</w:t>
            </w:r>
            <w:r w:rsidR="00252B10" w:rsidRPr="006F3B5C">
              <w:t xml:space="preserve"> Even for Treatment Purposes</w:t>
            </w:r>
          </w:p>
        </w:tc>
        <w:tc>
          <w:tcPr>
            <w:tcW w:w="7740" w:type="dxa"/>
            <w:shd w:val="clear" w:color="auto" w:fill="auto"/>
          </w:tcPr>
          <w:p w14:paraId="65E40E58" w14:textId="1E3F1547" w:rsidR="009808FE" w:rsidRPr="006F3B5C" w:rsidRDefault="00732367" w:rsidP="009808FE">
            <w:pPr>
              <w:pStyle w:val="BlockText"/>
            </w:pPr>
            <w:r w:rsidRPr="006F3B5C">
              <w:t xml:space="preserve">Under </w:t>
            </w:r>
            <w:hyperlink r:id="rId73" w:history="1">
              <w:r w:rsidR="009808FE" w:rsidRPr="006F3B5C">
                <w:rPr>
                  <w:rStyle w:val="Hyperlink"/>
                </w:rPr>
                <w:t>38 CFR 3.381(f)</w:t>
              </w:r>
            </w:hyperlink>
            <w:r w:rsidR="009808FE" w:rsidRPr="006F3B5C">
              <w:t xml:space="preserve"> the following </w:t>
            </w:r>
            <w:r w:rsidR="009808FE" w:rsidRPr="006F3B5C">
              <w:rPr>
                <w:b/>
                <w:i/>
              </w:rPr>
              <w:t>must not</w:t>
            </w:r>
            <w:r w:rsidR="001842D0" w:rsidRPr="006F3B5C">
              <w:t xml:space="preserve"> be considered SC</w:t>
            </w:r>
            <w:r w:rsidR="009808FE" w:rsidRPr="006F3B5C">
              <w:t xml:space="preserve"> </w:t>
            </w:r>
            <w:r w:rsidR="00482DE4" w:rsidRPr="006F3B5C">
              <w:t xml:space="preserve">even </w:t>
            </w:r>
            <w:r w:rsidR="009808FE" w:rsidRPr="006F3B5C">
              <w:t>for treatment purposes:</w:t>
            </w:r>
          </w:p>
          <w:p w14:paraId="65E40E59" w14:textId="77777777" w:rsidR="009808FE" w:rsidRPr="006F3B5C" w:rsidRDefault="009808FE" w:rsidP="009808FE">
            <w:pPr>
              <w:pStyle w:val="BlockText"/>
            </w:pPr>
          </w:p>
          <w:p w14:paraId="65E40E5A" w14:textId="77777777" w:rsidR="009808FE" w:rsidRPr="006F3B5C" w:rsidRDefault="009808FE" w:rsidP="009808FE">
            <w:pPr>
              <w:pStyle w:val="BulletText1"/>
            </w:pPr>
            <w:r w:rsidRPr="006F3B5C">
              <w:t>calculus</w:t>
            </w:r>
          </w:p>
          <w:p w14:paraId="65E40E5B" w14:textId="77777777" w:rsidR="009808FE" w:rsidRPr="006F3B5C" w:rsidRDefault="009808FE" w:rsidP="009808FE">
            <w:pPr>
              <w:pStyle w:val="BulletText1"/>
            </w:pPr>
            <w:r w:rsidRPr="006F3B5C">
              <w:t>acute periodontal disease</w:t>
            </w:r>
          </w:p>
          <w:p w14:paraId="65E40E5C" w14:textId="77777777" w:rsidR="009808FE" w:rsidRPr="006F3B5C" w:rsidRDefault="009808FE" w:rsidP="009808FE">
            <w:pPr>
              <w:pStyle w:val="BulletText1"/>
            </w:pPr>
            <w:r w:rsidRPr="006F3B5C">
              <w:t xml:space="preserve">third molars, </w:t>
            </w:r>
            <w:r w:rsidRPr="006F3B5C">
              <w:rPr>
                <w:b/>
                <w:i/>
              </w:rPr>
              <w:t xml:space="preserve">unless </w:t>
            </w:r>
            <w:r w:rsidRPr="006F3B5C">
              <w:t xml:space="preserve">disease or pathology of the tooth </w:t>
            </w:r>
          </w:p>
          <w:p w14:paraId="65E40E5D" w14:textId="77777777" w:rsidR="009808FE" w:rsidRPr="006F3B5C" w:rsidRDefault="009808FE" w:rsidP="009808FE">
            <w:pPr>
              <w:pStyle w:val="BulletText2"/>
            </w:pPr>
            <w:r w:rsidRPr="006F3B5C">
              <w:t xml:space="preserve">developed after 180 days or more of active service, or </w:t>
            </w:r>
          </w:p>
          <w:p w14:paraId="65E40E5E" w14:textId="77777777" w:rsidR="009808FE" w:rsidRPr="006F3B5C" w:rsidRDefault="009808FE" w:rsidP="009808FE">
            <w:pPr>
              <w:pStyle w:val="BulletText2"/>
            </w:pPr>
            <w:r w:rsidRPr="006F3B5C">
              <w:t>was due to combat or in-service trauma, and</w:t>
            </w:r>
          </w:p>
          <w:p w14:paraId="65E40E5F" w14:textId="77777777" w:rsidR="009808FE" w:rsidRPr="006F3B5C" w:rsidRDefault="009808FE" w:rsidP="009808FE">
            <w:pPr>
              <w:pStyle w:val="BulletText1"/>
            </w:pPr>
            <w:proofErr w:type="gramStart"/>
            <w:r w:rsidRPr="006F3B5C">
              <w:t>impacted</w:t>
            </w:r>
            <w:proofErr w:type="gramEnd"/>
            <w:r w:rsidRPr="006F3B5C">
              <w:t xml:space="preserve"> or malposed teeth, and other developmental defects, </w:t>
            </w:r>
            <w:r w:rsidRPr="006F3B5C">
              <w:rPr>
                <w:b/>
                <w:i/>
              </w:rPr>
              <w:t xml:space="preserve">unless </w:t>
            </w:r>
            <w:r w:rsidRPr="006F3B5C">
              <w:t>disease or pathology of these teeth developed after 180 days or more of active service.</w:t>
            </w:r>
          </w:p>
          <w:p w14:paraId="65E40E60" w14:textId="77777777" w:rsidR="001842D0" w:rsidRPr="006F3B5C" w:rsidRDefault="001842D0" w:rsidP="001842D0">
            <w:pPr>
              <w:pStyle w:val="BulletText1"/>
              <w:numPr>
                <w:ilvl w:val="0"/>
                <w:numId w:val="0"/>
              </w:numPr>
              <w:ind w:left="173" w:hanging="173"/>
            </w:pPr>
          </w:p>
          <w:p w14:paraId="65E40E61" w14:textId="77777777" w:rsidR="00E408CB" w:rsidRPr="006F3B5C" w:rsidRDefault="001842D0" w:rsidP="001842D0">
            <w:pPr>
              <w:pStyle w:val="BlockText"/>
            </w:pPr>
            <w:r w:rsidRPr="006F3B5C">
              <w:rPr>
                <w:b/>
                <w:i/>
              </w:rPr>
              <w:t>Note</w:t>
            </w:r>
            <w:r w:rsidR="00E408CB" w:rsidRPr="006F3B5C">
              <w:rPr>
                <w:b/>
                <w:i/>
              </w:rPr>
              <w:t>s</w:t>
            </w:r>
            <w:r w:rsidRPr="006F3B5C">
              <w:t xml:space="preserve">: </w:t>
            </w:r>
          </w:p>
          <w:p w14:paraId="65E40E62" w14:textId="77777777" w:rsidR="00E408CB" w:rsidRPr="006F3B5C" w:rsidRDefault="00E408CB" w:rsidP="004112C5">
            <w:pPr>
              <w:pStyle w:val="BulletText1"/>
            </w:pPr>
            <w:r w:rsidRPr="006F3B5C">
              <w:t xml:space="preserve">Third molars injured by combat or other in-service trauma may be considered for Class </w:t>
            </w:r>
            <w:proofErr w:type="gramStart"/>
            <w:r w:rsidRPr="006F3B5C">
              <w:t>II(</w:t>
            </w:r>
            <w:proofErr w:type="gramEnd"/>
            <w:r w:rsidRPr="006F3B5C">
              <w:t>a) purposes upon VHA request for a service trauma determination.</w:t>
            </w:r>
          </w:p>
          <w:p w14:paraId="65E40E63" w14:textId="12C0FC0E" w:rsidR="001842D0" w:rsidRPr="006F3B5C" w:rsidRDefault="00E408CB" w:rsidP="00E92A68">
            <w:pPr>
              <w:pStyle w:val="BulletText1"/>
            </w:pPr>
            <w:r w:rsidRPr="006F3B5C">
              <w:t xml:space="preserve">180 days </w:t>
            </w:r>
            <w:r w:rsidR="004112C5" w:rsidRPr="006F3B5C">
              <w:t xml:space="preserve">is that this is the </w:t>
            </w:r>
            <w:r w:rsidRPr="006F3B5C">
              <w:t xml:space="preserve">requisite service </w:t>
            </w:r>
            <w:r w:rsidR="004112C5" w:rsidRPr="006F3B5C">
              <w:t xml:space="preserve">specified </w:t>
            </w:r>
            <w:r w:rsidRPr="006F3B5C">
              <w:t xml:space="preserve">for Class II eligibility </w:t>
            </w:r>
            <w:r w:rsidR="004112C5" w:rsidRPr="006F3B5C">
              <w:t>under</w:t>
            </w:r>
            <w:r w:rsidRPr="006F3B5C">
              <w:t xml:space="preserve"> </w:t>
            </w:r>
            <w:hyperlink r:id="rId74" w:history="1">
              <w:r w:rsidRPr="006F3B5C">
                <w:rPr>
                  <w:rStyle w:val="Hyperlink"/>
                </w:rPr>
                <w:t>38 CFR 17.161(b)(1)(i)(A)</w:t>
              </w:r>
            </w:hyperlink>
            <w:r w:rsidRPr="006F3B5C">
              <w:t xml:space="preserve"> </w:t>
            </w:r>
            <w:r w:rsidR="004112C5" w:rsidRPr="006F3B5C">
              <w:t>and</w:t>
            </w:r>
            <w:r w:rsidRPr="006F3B5C">
              <w:t xml:space="preserve"> </w:t>
            </w:r>
            <w:hyperlink r:id="rId75" w:history="1">
              <w:r w:rsidRPr="006F3B5C">
                <w:rPr>
                  <w:rStyle w:val="Hyperlink"/>
                </w:rPr>
                <w:t>38 CFR 17.161(b)(1)(ii)</w:t>
              </w:r>
            </w:hyperlink>
          </w:p>
        </w:tc>
      </w:tr>
    </w:tbl>
    <w:p w14:paraId="65E40E65" w14:textId="77777777" w:rsidR="00112332" w:rsidRPr="006F3B5C" w:rsidRDefault="00D426E6" w:rsidP="00112332">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112332" w:rsidRPr="006F3B5C" w14:paraId="65E40E6A" w14:textId="77777777" w:rsidTr="00112332">
        <w:trPr>
          <w:trHeight w:val="2601"/>
        </w:trPr>
        <w:tc>
          <w:tcPr>
            <w:tcW w:w="1728" w:type="dxa"/>
            <w:shd w:val="clear" w:color="auto" w:fill="auto"/>
          </w:tcPr>
          <w:p w14:paraId="65E40E66" w14:textId="762DDD61" w:rsidR="00112332" w:rsidRPr="006F3B5C" w:rsidRDefault="00DC2E68" w:rsidP="00112332">
            <w:pPr>
              <w:pStyle w:val="Heading5"/>
            </w:pPr>
            <w:bookmarkStart w:id="22" w:name="_i._Separate_Consideration"/>
            <w:bookmarkEnd w:id="22"/>
            <w:r w:rsidRPr="006F3B5C">
              <w:t>i</w:t>
            </w:r>
            <w:r w:rsidR="00112332" w:rsidRPr="006F3B5C">
              <w:t>. Separate Consideration of Each Condition for Dental Treatment Purposes</w:t>
            </w:r>
          </w:p>
        </w:tc>
        <w:tc>
          <w:tcPr>
            <w:tcW w:w="7740" w:type="dxa"/>
            <w:shd w:val="clear" w:color="auto" w:fill="auto"/>
          </w:tcPr>
          <w:p w14:paraId="65E40E67" w14:textId="02A3A8EF" w:rsidR="00112332" w:rsidRPr="006F3B5C" w:rsidRDefault="00DD59CE" w:rsidP="00112332">
            <w:pPr>
              <w:pStyle w:val="BlockText"/>
            </w:pPr>
            <w:hyperlink r:id="rId76" w:history="1">
              <w:r w:rsidR="00112332" w:rsidRPr="006F3B5C">
                <w:rPr>
                  <w:rStyle w:val="Hyperlink"/>
                </w:rPr>
                <w:t>38 CFR 3.381(c)</w:t>
              </w:r>
            </w:hyperlink>
            <w:r w:rsidR="00112332" w:rsidRPr="006F3B5C">
              <w:t xml:space="preserve"> </w:t>
            </w:r>
            <w:r w:rsidR="008F3800" w:rsidRPr="006F3B5C">
              <w:t>specifies that the rating activity must consider each defective or missing tooth, each disease of the teeth and each periodontal tissue separately to determine whether the condition was incurred or aggrav</w:t>
            </w:r>
            <w:r w:rsidR="00E92A68" w:rsidRPr="006F3B5C">
              <w:t xml:space="preserve">ated in the line of duty </w:t>
            </w:r>
            <w:r w:rsidR="00112332" w:rsidRPr="006F3B5C">
              <w:t xml:space="preserve">for the purpose of Class II(a) or II treatment eligibility. </w:t>
            </w:r>
          </w:p>
          <w:p w14:paraId="65E40E68" w14:textId="77777777" w:rsidR="00112332" w:rsidRPr="006F3B5C" w:rsidRDefault="00112332" w:rsidP="00112332">
            <w:pPr>
              <w:pStyle w:val="BlockText"/>
            </w:pPr>
            <w:r w:rsidRPr="006F3B5C">
              <w:t xml:space="preserve"> </w:t>
            </w:r>
          </w:p>
          <w:p w14:paraId="65E40E69" w14:textId="77777777" w:rsidR="00112332" w:rsidRPr="006F3B5C" w:rsidRDefault="00112332" w:rsidP="00112332">
            <w:pPr>
              <w:pStyle w:val="BlockText"/>
            </w:pPr>
            <w:r w:rsidRPr="006F3B5C">
              <w:rPr>
                <w:b/>
                <w:i/>
              </w:rPr>
              <w:t>Note</w:t>
            </w:r>
            <w:r w:rsidRPr="006F3B5C">
              <w:t>: This includes determinations of whether there was combat related or other service trauma.</w:t>
            </w:r>
          </w:p>
        </w:tc>
      </w:tr>
    </w:tbl>
    <w:p w14:paraId="65E40E6B" w14:textId="77777777" w:rsidR="00112332" w:rsidRPr="006F3B5C" w:rsidRDefault="00D426E6" w:rsidP="00112332">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112332" w:rsidRPr="006F3B5C" w14:paraId="65E40E70" w14:textId="77777777" w:rsidTr="00112332">
        <w:tc>
          <w:tcPr>
            <w:tcW w:w="1728" w:type="dxa"/>
            <w:shd w:val="clear" w:color="auto" w:fill="auto"/>
          </w:tcPr>
          <w:p w14:paraId="65E40E6C" w14:textId="116124AA" w:rsidR="00112332" w:rsidRPr="006F3B5C" w:rsidRDefault="00DC2E68" w:rsidP="00112332">
            <w:pPr>
              <w:pStyle w:val="Heading5"/>
            </w:pPr>
            <w:bookmarkStart w:id="23" w:name="_j._Dental_Conditions"/>
            <w:bookmarkEnd w:id="23"/>
            <w:r w:rsidRPr="006F3B5C">
              <w:t>j</w:t>
            </w:r>
            <w:r w:rsidR="00112332" w:rsidRPr="006F3B5C">
              <w:t>. Dental Conditions on Service Entry and Aggravation - for Treatment Purposes</w:t>
            </w:r>
          </w:p>
        </w:tc>
        <w:tc>
          <w:tcPr>
            <w:tcW w:w="7740" w:type="dxa"/>
            <w:shd w:val="clear" w:color="auto" w:fill="auto"/>
          </w:tcPr>
          <w:p w14:paraId="65E40E6D" w14:textId="77777777" w:rsidR="00112332" w:rsidRPr="006F3B5C" w:rsidRDefault="00112332" w:rsidP="00112332">
            <w:pPr>
              <w:pStyle w:val="BlockText"/>
            </w:pPr>
            <w:r w:rsidRPr="006F3B5C">
              <w:t xml:space="preserve">Under </w:t>
            </w:r>
            <w:hyperlink r:id="rId77" w:history="1">
              <w:r w:rsidRPr="006F3B5C">
                <w:rPr>
                  <w:rStyle w:val="Hyperlink"/>
                </w:rPr>
                <w:t>38 CFR 3.381(d)</w:t>
              </w:r>
            </w:hyperlink>
            <w:r w:rsidRPr="006F3B5C">
              <w:t xml:space="preserve"> the condition of teeth and periodontal tissues at the time of entry into active duty must be considered.</w:t>
            </w:r>
          </w:p>
          <w:p w14:paraId="65E40E6E" w14:textId="77777777" w:rsidR="00112332" w:rsidRPr="006F3B5C" w:rsidRDefault="00112332" w:rsidP="00112332">
            <w:pPr>
              <w:pStyle w:val="BlockText"/>
            </w:pPr>
          </w:p>
          <w:p w14:paraId="65E40E6F" w14:textId="77777777" w:rsidR="00112332" w:rsidRPr="006F3B5C" w:rsidRDefault="00112332" w:rsidP="00112332">
            <w:pPr>
              <w:pStyle w:val="BlockText"/>
            </w:pPr>
            <w:r w:rsidRPr="006F3B5C">
              <w:t>Treatment during service, including filling or extraction of a tooth, or placement of a prosthesis, must not be considered evidence of aggravation of a condition that was noted at entry for treatment purposes, unless additional pathology developed after 180 days or more of active service.</w:t>
            </w:r>
          </w:p>
        </w:tc>
      </w:tr>
    </w:tbl>
    <w:p w14:paraId="65E40E73" w14:textId="77777777" w:rsidR="00AD0A41" w:rsidRPr="006F3B5C" w:rsidRDefault="00D426E6" w:rsidP="00112332">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AD0A41" w:rsidRPr="006F3B5C" w14:paraId="65E40E76" w14:textId="77777777" w:rsidTr="00AD0A41">
        <w:tc>
          <w:tcPr>
            <w:tcW w:w="1728" w:type="dxa"/>
            <w:shd w:val="clear" w:color="auto" w:fill="auto"/>
          </w:tcPr>
          <w:p w14:paraId="65E40E74" w14:textId="12732574" w:rsidR="00AD0A41" w:rsidRPr="006F3B5C" w:rsidRDefault="00DC2E68" w:rsidP="0055224C">
            <w:pPr>
              <w:pStyle w:val="Heading5"/>
            </w:pPr>
            <w:bookmarkStart w:id="24" w:name="_k._SC_for"/>
            <w:bookmarkEnd w:id="24"/>
            <w:r w:rsidRPr="006F3B5C">
              <w:t>k</w:t>
            </w:r>
            <w:r w:rsidR="005737CC" w:rsidRPr="006F3B5C">
              <w:t xml:space="preserve">. </w:t>
            </w:r>
            <w:r w:rsidR="005254FD" w:rsidRPr="006F3B5C">
              <w:t>S</w:t>
            </w:r>
            <w:r w:rsidR="006000B6" w:rsidRPr="006F3B5C">
              <w:t>ervice Connection</w:t>
            </w:r>
            <w:r w:rsidR="005254FD" w:rsidRPr="006F3B5C">
              <w:t xml:space="preserve"> for </w:t>
            </w:r>
            <w:r w:rsidR="0055224C" w:rsidRPr="006F3B5C">
              <w:t>D</w:t>
            </w:r>
            <w:r w:rsidR="005254FD" w:rsidRPr="006F3B5C">
              <w:t xml:space="preserve">ental </w:t>
            </w:r>
            <w:r w:rsidR="0055224C" w:rsidRPr="006F3B5C">
              <w:t>T</w:t>
            </w:r>
            <w:r w:rsidR="005254FD" w:rsidRPr="006F3B5C">
              <w:t xml:space="preserve">reatment - </w:t>
            </w:r>
            <w:r w:rsidR="0055224C" w:rsidRPr="006F3B5C">
              <w:t>N</w:t>
            </w:r>
            <w:r w:rsidR="005254FD" w:rsidRPr="006F3B5C">
              <w:t xml:space="preserve">oted at </w:t>
            </w:r>
            <w:r w:rsidR="0055224C" w:rsidRPr="006F3B5C">
              <w:t>E</w:t>
            </w:r>
            <w:r w:rsidR="005254FD" w:rsidRPr="006F3B5C">
              <w:t xml:space="preserve">ntry and </w:t>
            </w:r>
            <w:r w:rsidR="0055224C" w:rsidRPr="006F3B5C">
              <w:t>T</w:t>
            </w:r>
            <w:r w:rsidR="005254FD" w:rsidRPr="006F3B5C">
              <w:t xml:space="preserve">reated </w:t>
            </w:r>
            <w:r w:rsidR="0055224C" w:rsidRPr="006F3B5C">
              <w:t>D</w:t>
            </w:r>
            <w:r w:rsidR="005254FD" w:rsidRPr="006F3B5C">
              <w:t xml:space="preserve">uring </w:t>
            </w:r>
            <w:r w:rsidR="0055224C" w:rsidRPr="006F3B5C">
              <w:t>S</w:t>
            </w:r>
            <w:r w:rsidR="005254FD" w:rsidRPr="006F3B5C">
              <w:t>ervice</w:t>
            </w:r>
          </w:p>
        </w:tc>
        <w:tc>
          <w:tcPr>
            <w:tcW w:w="7740" w:type="dxa"/>
            <w:shd w:val="clear" w:color="auto" w:fill="auto"/>
          </w:tcPr>
          <w:p w14:paraId="65E40E75" w14:textId="66709AFF" w:rsidR="00AD0A41" w:rsidRPr="006F3B5C" w:rsidRDefault="00AD0A41" w:rsidP="00A4698C">
            <w:pPr>
              <w:pStyle w:val="BlockText"/>
            </w:pPr>
            <w:r w:rsidRPr="006F3B5C">
              <w:t xml:space="preserve">The </w:t>
            </w:r>
            <w:r w:rsidR="00A331F6" w:rsidRPr="006F3B5C">
              <w:t xml:space="preserve">table </w:t>
            </w:r>
            <w:proofErr w:type="gramStart"/>
            <w:r w:rsidR="00A331F6" w:rsidRPr="006F3B5C">
              <w:t>below</w:t>
            </w:r>
            <w:r w:rsidR="00926153" w:rsidRPr="006F3B5C">
              <w:t>,</w:t>
            </w:r>
            <w:proofErr w:type="gramEnd"/>
            <w:r w:rsidR="00926153" w:rsidRPr="006F3B5C">
              <w:t xml:space="preserve"> summarizes </w:t>
            </w:r>
            <w:hyperlink r:id="rId78" w:history="1">
              <w:r w:rsidR="00926153" w:rsidRPr="006F3B5C">
                <w:rPr>
                  <w:rStyle w:val="Hyperlink"/>
                </w:rPr>
                <w:t>38 CFR 3.381(e)</w:t>
              </w:r>
            </w:hyperlink>
            <w:r w:rsidR="00A4698C" w:rsidRPr="006F3B5C">
              <w:t xml:space="preserve"> guidance on </w:t>
            </w:r>
            <w:r w:rsidR="006000B6" w:rsidRPr="006F3B5C">
              <w:t>service connection</w:t>
            </w:r>
            <w:r w:rsidR="00926153" w:rsidRPr="006F3B5C">
              <w:t xml:space="preserve"> for </w:t>
            </w:r>
            <w:r w:rsidRPr="006F3B5C">
              <w:t>treatment purposes</w:t>
            </w:r>
            <w:r w:rsidR="00D61BED" w:rsidRPr="006F3B5C">
              <w:t xml:space="preserve"> of</w:t>
            </w:r>
            <w:r w:rsidRPr="006F3B5C">
              <w:t xml:space="preserve"> dental conditions noted at entry and treated during service.</w:t>
            </w:r>
          </w:p>
        </w:tc>
      </w:tr>
    </w:tbl>
    <w:p w14:paraId="65E40E77" w14:textId="77777777" w:rsidR="00AD0A41" w:rsidRPr="006F3B5C" w:rsidRDefault="00AD0A41" w:rsidP="00AD0A41"/>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2790"/>
        <w:gridCol w:w="2704"/>
      </w:tblGrid>
      <w:tr w:rsidR="00D61BED" w:rsidRPr="006F3B5C" w14:paraId="65E40E7B" w14:textId="77777777" w:rsidTr="00996D24">
        <w:tc>
          <w:tcPr>
            <w:tcW w:w="2106" w:type="dxa"/>
            <w:shd w:val="clear" w:color="auto" w:fill="auto"/>
          </w:tcPr>
          <w:p w14:paraId="65E40E78" w14:textId="77777777" w:rsidR="00D61BED" w:rsidRPr="006F3B5C" w:rsidRDefault="00D61BED" w:rsidP="00C31155">
            <w:pPr>
              <w:pStyle w:val="TableHeaderText"/>
              <w:jc w:val="left"/>
            </w:pPr>
            <w:r w:rsidRPr="006F3B5C">
              <w:t xml:space="preserve">If at entry </w:t>
            </w:r>
            <w:r w:rsidR="00C31155" w:rsidRPr="006F3B5C">
              <w:t xml:space="preserve">a tooth is </w:t>
            </w:r>
            <w:r w:rsidRPr="006F3B5C">
              <w:t>noted to be ...</w:t>
            </w:r>
          </w:p>
        </w:tc>
        <w:tc>
          <w:tcPr>
            <w:tcW w:w="2790" w:type="dxa"/>
            <w:shd w:val="clear" w:color="auto" w:fill="auto"/>
          </w:tcPr>
          <w:p w14:paraId="65E40E79" w14:textId="77777777" w:rsidR="00D61BED" w:rsidRPr="006F3B5C" w:rsidRDefault="00D61BED" w:rsidP="00D61BED">
            <w:pPr>
              <w:pStyle w:val="TableHeaderText"/>
              <w:jc w:val="left"/>
            </w:pPr>
            <w:r w:rsidRPr="006F3B5C">
              <w:t>And …</w:t>
            </w:r>
          </w:p>
        </w:tc>
        <w:tc>
          <w:tcPr>
            <w:tcW w:w="2704" w:type="dxa"/>
            <w:shd w:val="clear" w:color="auto" w:fill="auto"/>
          </w:tcPr>
          <w:p w14:paraId="65E40E7A" w14:textId="08F709E6" w:rsidR="00D61BED" w:rsidRPr="006F3B5C" w:rsidRDefault="00D61BED" w:rsidP="006000B6">
            <w:pPr>
              <w:pStyle w:val="TableHeaderText"/>
              <w:jc w:val="left"/>
            </w:pPr>
            <w:r w:rsidRPr="006F3B5C">
              <w:t xml:space="preserve">Then </w:t>
            </w:r>
            <w:r w:rsidR="006000B6" w:rsidRPr="006F3B5C">
              <w:t xml:space="preserve">service connection </w:t>
            </w:r>
            <w:r w:rsidRPr="006F3B5C">
              <w:t>for dental treatment purposes must be …</w:t>
            </w:r>
          </w:p>
        </w:tc>
      </w:tr>
      <w:tr w:rsidR="00D61BED" w:rsidRPr="006F3B5C" w14:paraId="65E40E81" w14:textId="77777777" w:rsidTr="00996D24">
        <w:tc>
          <w:tcPr>
            <w:tcW w:w="2106" w:type="dxa"/>
            <w:shd w:val="clear" w:color="auto" w:fill="auto"/>
          </w:tcPr>
          <w:p w14:paraId="65E40E7C" w14:textId="77777777" w:rsidR="00D61BED" w:rsidRPr="006F3B5C" w:rsidRDefault="00C31155" w:rsidP="00D61BED">
            <w:pPr>
              <w:pStyle w:val="TableText"/>
            </w:pPr>
            <w:r w:rsidRPr="006F3B5C">
              <w:t>n</w:t>
            </w:r>
            <w:r w:rsidR="00D61BED" w:rsidRPr="006F3B5C">
              <w:t>ormal</w:t>
            </w:r>
          </w:p>
        </w:tc>
        <w:tc>
          <w:tcPr>
            <w:tcW w:w="2790" w:type="dxa"/>
            <w:shd w:val="clear" w:color="auto" w:fill="auto"/>
          </w:tcPr>
          <w:p w14:paraId="65E40E7D" w14:textId="77777777" w:rsidR="00996D24" w:rsidRPr="006F3B5C" w:rsidRDefault="00996D24" w:rsidP="00996D24">
            <w:pPr>
              <w:pStyle w:val="TableText"/>
            </w:pPr>
            <w:r w:rsidRPr="006F3B5C">
              <w:t xml:space="preserve">after active service of 180 days or more </w:t>
            </w:r>
            <w:r w:rsidR="00C31155" w:rsidRPr="006F3B5C">
              <w:t xml:space="preserve">the previously normal </w:t>
            </w:r>
            <w:r w:rsidR="00D61BED" w:rsidRPr="006F3B5C">
              <w:t>t</w:t>
            </w:r>
            <w:r w:rsidR="00C31155" w:rsidRPr="006F3B5C">
              <w:t>ooth is</w:t>
            </w:r>
          </w:p>
          <w:p w14:paraId="65E40E7E" w14:textId="77777777" w:rsidR="00D61BED" w:rsidRPr="006F3B5C" w:rsidRDefault="00D61BED" w:rsidP="00996D24">
            <w:pPr>
              <w:pStyle w:val="BulletText1"/>
            </w:pPr>
            <w:r w:rsidRPr="006F3B5C">
              <w:t>filled</w:t>
            </w:r>
            <w:r w:rsidR="00996D24" w:rsidRPr="006F3B5C">
              <w:t>, or</w:t>
            </w:r>
            <w:r w:rsidRPr="006F3B5C">
              <w:t xml:space="preserve"> </w:t>
            </w:r>
          </w:p>
          <w:p w14:paraId="65E40E7F" w14:textId="77777777" w:rsidR="00996D24" w:rsidRPr="006F3B5C" w:rsidRDefault="00996D24" w:rsidP="00996D24">
            <w:pPr>
              <w:pStyle w:val="BulletText1"/>
            </w:pPr>
            <w:r w:rsidRPr="006F3B5C">
              <w:t>extracted</w:t>
            </w:r>
          </w:p>
        </w:tc>
        <w:tc>
          <w:tcPr>
            <w:tcW w:w="2704" w:type="dxa"/>
            <w:shd w:val="clear" w:color="auto" w:fill="auto"/>
          </w:tcPr>
          <w:p w14:paraId="65E40E80" w14:textId="77777777" w:rsidR="00D61BED" w:rsidRPr="006F3B5C" w:rsidRDefault="00D61BED" w:rsidP="00D61BED">
            <w:pPr>
              <w:pStyle w:val="TableText"/>
            </w:pPr>
            <w:r w:rsidRPr="006F3B5C">
              <w:t>established</w:t>
            </w:r>
            <w:proofErr w:type="gramStart"/>
            <w:r w:rsidRPr="006F3B5C">
              <w:t xml:space="preserve">. </w:t>
            </w:r>
            <w:proofErr w:type="gramEnd"/>
          </w:p>
        </w:tc>
      </w:tr>
      <w:tr w:rsidR="00D61BED" w:rsidRPr="006F3B5C" w14:paraId="65E40E87" w14:textId="77777777" w:rsidTr="00996D24">
        <w:tc>
          <w:tcPr>
            <w:tcW w:w="2106" w:type="dxa"/>
            <w:shd w:val="clear" w:color="auto" w:fill="auto"/>
          </w:tcPr>
          <w:p w14:paraId="65E40E82" w14:textId="77777777" w:rsidR="00D61BED" w:rsidRPr="006F3B5C" w:rsidRDefault="00C31155" w:rsidP="00D61BED">
            <w:pPr>
              <w:pStyle w:val="TableText"/>
            </w:pPr>
            <w:r w:rsidRPr="006F3B5C">
              <w:t>f</w:t>
            </w:r>
            <w:r w:rsidR="00996D24" w:rsidRPr="006F3B5C">
              <w:t>illed</w:t>
            </w:r>
          </w:p>
        </w:tc>
        <w:tc>
          <w:tcPr>
            <w:tcW w:w="2790" w:type="dxa"/>
            <w:shd w:val="clear" w:color="auto" w:fill="auto"/>
          </w:tcPr>
          <w:p w14:paraId="65E40E83" w14:textId="77777777" w:rsidR="00996D24" w:rsidRPr="006F3B5C" w:rsidRDefault="00996D24" w:rsidP="00996D24">
            <w:pPr>
              <w:pStyle w:val="TableText"/>
            </w:pPr>
            <w:r w:rsidRPr="006F3B5C">
              <w:t>after active service of 180 days or more</w:t>
            </w:r>
          </w:p>
          <w:p w14:paraId="65E40E84" w14:textId="77777777" w:rsidR="00996D24" w:rsidRPr="006F3B5C" w:rsidRDefault="00996D24" w:rsidP="00996D24">
            <w:pPr>
              <w:pStyle w:val="BulletText1"/>
            </w:pPr>
            <w:r w:rsidRPr="006F3B5C">
              <w:t>the filled t</w:t>
            </w:r>
            <w:r w:rsidR="00C31155" w:rsidRPr="006F3B5C">
              <w:t>ooth</w:t>
            </w:r>
            <w:r w:rsidRPr="006F3B5C">
              <w:t xml:space="preserve"> </w:t>
            </w:r>
            <w:r w:rsidR="00C31155" w:rsidRPr="006F3B5C">
              <w:t>is</w:t>
            </w:r>
            <w:r w:rsidRPr="006F3B5C">
              <w:t xml:space="preserve"> extracted, or</w:t>
            </w:r>
          </w:p>
          <w:p w14:paraId="65E40E85" w14:textId="77777777" w:rsidR="00D61BED" w:rsidRPr="006F3B5C" w:rsidRDefault="00C31155" w:rsidP="00996D24">
            <w:pPr>
              <w:pStyle w:val="BulletText1"/>
            </w:pPr>
            <w:proofErr w:type="gramStart"/>
            <w:r w:rsidRPr="006F3B5C">
              <w:t>the</w:t>
            </w:r>
            <w:proofErr w:type="gramEnd"/>
            <w:r w:rsidRPr="006F3B5C">
              <w:t xml:space="preserve"> existing filling i</w:t>
            </w:r>
            <w:r w:rsidR="00996D24" w:rsidRPr="006F3B5C">
              <w:t>s replaced.</w:t>
            </w:r>
          </w:p>
        </w:tc>
        <w:tc>
          <w:tcPr>
            <w:tcW w:w="2704" w:type="dxa"/>
            <w:shd w:val="clear" w:color="auto" w:fill="auto"/>
          </w:tcPr>
          <w:p w14:paraId="65E40E86" w14:textId="77777777" w:rsidR="00D61BED" w:rsidRPr="006F3B5C" w:rsidRDefault="00996D24" w:rsidP="00D61BED">
            <w:pPr>
              <w:pStyle w:val="TableText"/>
            </w:pPr>
            <w:proofErr w:type="gramStart"/>
            <w:r w:rsidRPr="006F3B5C">
              <w:t>established</w:t>
            </w:r>
            <w:proofErr w:type="gramEnd"/>
            <w:r w:rsidRPr="006F3B5C">
              <w:t>.</w:t>
            </w:r>
          </w:p>
        </w:tc>
      </w:tr>
      <w:tr w:rsidR="00D61BED" w:rsidRPr="006F3B5C" w14:paraId="65E40E8E" w14:textId="77777777" w:rsidTr="00996D24">
        <w:tc>
          <w:tcPr>
            <w:tcW w:w="2106" w:type="dxa"/>
            <w:shd w:val="clear" w:color="auto" w:fill="auto"/>
          </w:tcPr>
          <w:p w14:paraId="65E40E88" w14:textId="77777777" w:rsidR="00D61BED" w:rsidRPr="006F3B5C" w:rsidRDefault="00996D24" w:rsidP="00D61BED">
            <w:pPr>
              <w:pStyle w:val="TableText"/>
            </w:pPr>
            <w:r w:rsidRPr="006F3B5C">
              <w:t>carious but restorable</w:t>
            </w:r>
          </w:p>
        </w:tc>
        <w:tc>
          <w:tcPr>
            <w:tcW w:w="2790" w:type="dxa"/>
            <w:shd w:val="clear" w:color="auto" w:fill="auto"/>
          </w:tcPr>
          <w:p w14:paraId="65E40E89" w14:textId="77777777" w:rsidR="00996D24" w:rsidRPr="006F3B5C" w:rsidRDefault="00996D24" w:rsidP="00996D24">
            <w:pPr>
              <w:pStyle w:val="TableText"/>
            </w:pPr>
            <w:r w:rsidRPr="006F3B5C">
              <w:t xml:space="preserve">after active service of 180 days or more </w:t>
            </w:r>
          </w:p>
          <w:p w14:paraId="65E40E8A" w14:textId="40A67DBF" w:rsidR="00996D24" w:rsidRPr="006F3B5C" w:rsidRDefault="00996D24" w:rsidP="00996D24">
            <w:pPr>
              <w:pStyle w:val="BulletText1"/>
            </w:pPr>
            <w:r w:rsidRPr="006F3B5C">
              <w:t xml:space="preserve">extraction </w:t>
            </w:r>
            <w:r w:rsidR="00C31155" w:rsidRPr="006F3B5C">
              <w:t xml:space="preserve">of the tooth </w:t>
            </w:r>
            <w:r w:rsidRPr="006F3B5C">
              <w:t>is required</w:t>
            </w:r>
            <w:r w:rsidR="00C31155" w:rsidRPr="006F3B5C">
              <w:t>, or</w:t>
            </w:r>
          </w:p>
          <w:p w14:paraId="65E40E8B" w14:textId="170B48DA" w:rsidR="00996D24" w:rsidRPr="006F3B5C" w:rsidRDefault="00996D24" w:rsidP="00996D24">
            <w:pPr>
              <w:pStyle w:val="BulletText1"/>
            </w:pPr>
            <w:proofErr w:type="gramStart"/>
            <w:r w:rsidRPr="006F3B5C">
              <w:t>new</w:t>
            </w:r>
            <w:proofErr w:type="gramEnd"/>
            <w:r w:rsidRPr="006F3B5C">
              <w:t xml:space="preserve"> caries develop</w:t>
            </w:r>
            <w:r w:rsidR="00C31155" w:rsidRPr="006F3B5C">
              <w:t xml:space="preserve"> after the carious tooth is filled. </w:t>
            </w:r>
          </w:p>
          <w:p w14:paraId="65E40E8C" w14:textId="77777777" w:rsidR="00D61BED" w:rsidRPr="006F3B5C" w:rsidRDefault="00D61BED" w:rsidP="00D61BED">
            <w:pPr>
              <w:pStyle w:val="TableText"/>
            </w:pPr>
          </w:p>
        </w:tc>
        <w:tc>
          <w:tcPr>
            <w:tcW w:w="2704" w:type="dxa"/>
            <w:shd w:val="clear" w:color="auto" w:fill="auto"/>
          </w:tcPr>
          <w:p w14:paraId="65E40E8D" w14:textId="77777777" w:rsidR="00D61BED" w:rsidRPr="006F3B5C" w:rsidRDefault="00996D24" w:rsidP="00D61BED">
            <w:pPr>
              <w:pStyle w:val="TableText"/>
            </w:pPr>
            <w:proofErr w:type="gramStart"/>
            <w:r w:rsidRPr="006F3B5C">
              <w:t>established</w:t>
            </w:r>
            <w:proofErr w:type="gramEnd"/>
            <w:r w:rsidRPr="006F3B5C">
              <w:t>.</w:t>
            </w:r>
          </w:p>
        </w:tc>
      </w:tr>
      <w:tr w:rsidR="00D61BED" w:rsidRPr="006F3B5C" w14:paraId="65E40E92" w14:textId="77777777" w:rsidTr="00996D24">
        <w:tc>
          <w:tcPr>
            <w:tcW w:w="2106" w:type="dxa"/>
            <w:shd w:val="clear" w:color="auto" w:fill="auto"/>
          </w:tcPr>
          <w:p w14:paraId="65E40E8F" w14:textId="77777777" w:rsidR="00D61BED" w:rsidRPr="006F3B5C" w:rsidRDefault="00C31155" w:rsidP="00D61BED">
            <w:pPr>
              <w:pStyle w:val="TableText"/>
            </w:pPr>
            <w:r w:rsidRPr="006F3B5C">
              <w:t xml:space="preserve">carious and restorable </w:t>
            </w:r>
          </w:p>
        </w:tc>
        <w:tc>
          <w:tcPr>
            <w:tcW w:w="2790" w:type="dxa"/>
            <w:shd w:val="clear" w:color="auto" w:fill="auto"/>
          </w:tcPr>
          <w:p w14:paraId="65E40E90" w14:textId="77777777" w:rsidR="00D61BED" w:rsidRPr="006F3B5C" w:rsidRDefault="00C31155" w:rsidP="00C31155">
            <w:pPr>
              <w:pStyle w:val="TableText"/>
            </w:pPr>
            <w:proofErr w:type="gramStart"/>
            <w:r w:rsidRPr="006F3B5C">
              <w:t>the</w:t>
            </w:r>
            <w:proofErr w:type="gramEnd"/>
            <w:r w:rsidRPr="006F3B5C">
              <w:t xml:space="preserve"> carious tooth is merely filled in service.</w:t>
            </w:r>
          </w:p>
        </w:tc>
        <w:tc>
          <w:tcPr>
            <w:tcW w:w="2704" w:type="dxa"/>
            <w:shd w:val="clear" w:color="auto" w:fill="auto"/>
          </w:tcPr>
          <w:p w14:paraId="65E40E91" w14:textId="77777777" w:rsidR="00D61BED" w:rsidRPr="006F3B5C" w:rsidRDefault="00C31155" w:rsidP="00D61BED">
            <w:pPr>
              <w:pStyle w:val="TableText"/>
            </w:pPr>
            <w:proofErr w:type="gramStart"/>
            <w:r w:rsidRPr="006F3B5C">
              <w:t>denied</w:t>
            </w:r>
            <w:proofErr w:type="gramEnd"/>
            <w:r w:rsidRPr="006F3B5C">
              <w:t>.</w:t>
            </w:r>
          </w:p>
        </w:tc>
      </w:tr>
      <w:tr w:rsidR="00C31155" w:rsidRPr="006F3B5C" w14:paraId="65E40E96" w14:textId="77777777" w:rsidTr="00996D24">
        <w:tc>
          <w:tcPr>
            <w:tcW w:w="2106" w:type="dxa"/>
            <w:shd w:val="clear" w:color="auto" w:fill="auto"/>
          </w:tcPr>
          <w:p w14:paraId="65E40E93" w14:textId="77777777" w:rsidR="00C31155" w:rsidRPr="006F3B5C" w:rsidRDefault="00C31155" w:rsidP="00D61BED">
            <w:pPr>
              <w:pStyle w:val="TableText"/>
            </w:pPr>
            <w:r w:rsidRPr="006F3B5C">
              <w:t>non-restorable</w:t>
            </w:r>
          </w:p>
        </w:tc>
        <w:tc>
          <w:tcPr>
            <w:tcW w:w="2790" w:type="dxa"/>
            <w:shd w:val="clear" w:color="auto" w:fill="auto"/>
          </w:tcPr>
          <w:p w14:paraId="65E40E94" w14:textId="77777777" w:rsidR="00C31155" w:rsidRPr="006F3B5C" w:rsidRDefault="00C31155" w:rsidP="00C31155">
            <w:pPr>
              <w:pStyle w:val="TableText"/>
            </w:pPr>
            <w:r w:rsidRPr="006F3B5C">
              <w:t>N/A</w:t>
            </w:r>
          </w:p>
        </w:tc>
        <w:tc>
          <w:tcPr>
            <w:tcW w:w="2704" w:type="dxa"/>
            <w:shd w:val="clear" w:color="auto" w:fill="auto"/>
          </w:tcPr>
          <w:p w14:paraId="65E40E95" w14:textId="77777777" w:rsidR="00C31155" w:rsidRPr="006F3B5C" w:rsidRDefault="00C31155" w:rsidP="00D61BED">
            <w:pPr>
              <w:pStyle w:val="TableText"/>
            </w:pPr>
            <w:proofErr w:type="gramStart"/>
            <w:r w:rsidRPr="006F3B5C">
              <w:t>denied</w:t>
            </w:r>
            <w:proofErr w:type="gramEnd"/>
            <w:r w:rsidRPr="006F3B5C">
              <w:t>.</w:t>
            </w:r>
          </w:p>
        </w:tc>
      </w:tr>
      <w:tr w:rsidR="00C31155" w:rsidRPr="006F3B5C" w14:paraId="65E40E9A" w14:textId="77777777" w:rsidTr="00996D24">
        <w:tc>
          <w:tcPr>
            <w:tcW w:w="2106" w:type="dxa"/>
            <w:shd w:val="clear" w:color="auto" w:fill="auto"/>
          </w:tcPr>
          <w:p w14:paraId="65E40E97" w14:textId="77777777" w:rsidR="00C31155" w:rsidRPr="006F3B5C" w:rsidRDefault="00C31155" w:rsidP="00D61BED">
            <w:pPr>
              <w:pStyle w:val="TableText"/>
            </w:pPr>
            <w:r w:rsidRPr="006F3B5C">
              <w:t>missing</w:t>
            </w:r>
          </w:p>
        </w:tc>
        <w:tc>
          <w:tcPr>
            <w:tcW w:w="2790" w:type="dxa"/>
            <w:shd w:val="clear" w:color="auto" w:fill="auto"/>
          </w:tcPr>
          <w:p w14:paraId="65E40E98" w14:textId="77777777" w:rsidR="00C31155" w:rsidRPr="006F3B5C" w:rsidRDefault="00C31155" w:rsidP="00C31155">
            <w:pPr>
              <w:pStyle w:val="TableText"/>
            </w:pPr>
            <w:r w:rsidRPr="006F3B5C">
              <w:t>N/A</w:t>
            </w:r>
          </w:p>
        </w:tc>
        <w:tc>
          <w:tcPr>
            <w:tcW w:w="2704" w:type="dxa"/>
            <w:shd w:val="clear" w:color="auto" w:fill="auto"/>
          </w:tcPr>
          <w:p w14:paraId="65E40E99" w14:textId="77777777" w:rsidR="00C31155" w:rsidRPr="006F3B5C" w:rsidRDefault="00C31155" w:rsidP="00D61BED">
            <w:pPr>
              <w:pStyle w:val="TableText"/>
            </w:pPr>
            <w:proofErr w:type="gramStart"/>
            <w:r w:rsidRPr="006F3B5C">
              <w:t>denied</w:t>
            </w:r>
            <w:proofErr w:type="gramEnd"/>
            <w:r w:rsidRPr="006F3B5C">
              <w:t>.</w:t>
            </w:r>
          </w:p>
        </w:tc>
      </w:tr>
    </w:tbl>
    <w:p w14:paraId="65E40E9B" w14:textId="77777777" w:rsidR="00AD0A41" w:rsidRPr="006F3B5C" w:rsidRDefault="00AD0A41" w:rsidP="00AD0A41"/>
    <w:tbl>
      <w:tblPr>
        <w:tblW w:w="7732" w:type="dxa"/>
        <w:tblInd w:w="1728" w:type="dxa"/>
        <w:tblLayout w:type="fixed"/>
        <w:tblLook w:val="0000" w:firstRow="0" w:lastRow="0" w:firstColumn="0" w:lastColumn="0" w:noHBand="0" w:noVBand="0"/>
      </w:tblPr>
      <w:tblGrid>
        <w:gridCol w:w="7732"/>
      </w:tblGrid>
      <w:tr w:rsidR="00AD0A41" w:rsidRPr="006F3B5C" w14:paraId="65E40E9D" w14:textId="77777777" w:rsidTr="00AD0A41">
        <w:tc>
          <w:tcPr>
            <w:tcW w:w="5000" w:type="pct"/>
            <w:shd w:val="clear" w:color="auto" w:fill="auto"/>
          </w:tcPr>
          <w:p w14:paraId="65E40E9C" w14:textId="77777777" w:rsidR="00AD0A41" w:rsidRPr="006F3B5C" w:rsidRDefault="00CE4786" w:rsidP="005254FD">
            <w:pPr>
              <w:pStyle w:val="NoteText"/>
            </w:pPr>
            <w:r w:rsidRPr="006F3B5C">
              <w:rPr>
                <w:b/>
                <w:bCs/>
                <w:i/>
                <w:iCs/>
              </w:rPr>
              <w:t>Note</w:t>
            </w:r>
            <w:r w:rsidRPr="006F3B5C">
              <w:t xml:space="preserve">:  If service dental records are incomplete, consider the doctrine of reasonable doubt under </w:t>
            </w:r>
            <w:hyperlink r:id="rId79" w:history="1">
              <w:r w:rsidRPr="006F3B5C">
                <w:rPr>
                  <w:rStyle w:val="Hyperlink"/>
                </w:rPr>
                <w:t>38 CFR 3.102</w:t>
              </w:r>
            </w:hyperlink>
            <w:r w:rsidRPr="006F3B5C">
              <w:t>.</w:t>
            </w:r>
          </w:p>
        </w:tc>
      </w:tr>
    </w:tbl>
    <w:p w14:paraId="65E40EA1" w14:textId="77777777" w:rsidR="00C6457C" w:rsidRPr="006F3B5C" w:rsidRDefault="00D426E6" w:rsidP="00C6457C">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AD0A41" w:rsidRPr="006F3B5C" w14:paraId="65E40EA5" w14:textId="77777777" w:rsidTr="00AD0A41">
        <w:tc>
          <w:tcPr>
            <w:tcW w:w="1728" w:type="dxa"/>
            <w:shd w:val="clear" w:color="auto" w:fill="auto"/>
          </w:tcPr>
          <w:p w14:paraId="65E40EA2" w14:textId="08436731" w:rsidR="00AD0A41" w:rsidRPr="006F3B5C" w:rsidRDefault="00DC2E68" w:rsidP="0055224C">
            <w:pPr>
              <w:pStyle w:val="Heading5"/>
            </w:pPr>
            <w:bookmarkStart w:id="25" w:name="_l._SC_for"/>
            <w:bookmarkEnd w:id="25"/>
            <w:r w:rsidRPr="006F3B5C">
              <w:t>l</w:t>
            </w:r>
            <w:r w:rsidR="005254FD" w:rsidRPr="006F3B5C">
              <w:t xml:space="preserve">. </w:t>
            </w:r>
            <w:r w:rsidR="0055224C" w:rsidRPr="006F3B5C">
              <w:t>S</w:t>
            </w:r>
            <w:r w:rsidR="006000B6" w:rsidRPr="006F3B5C">
              <w:t>ervice Connection</w:t>
            </w:r>
            <w:r w:rsidR="0055224C" w:rsidRPr="006F3B5C">
              <w:t xml:space="preserve"> for Dental Treatment – Extracted Teeth from</w:t>
            </w:r>
            <w:r w:rsidR="005254FD" w:rsidRPr="006F3B5C">
              <w:t xml:space="preserve"> Chronic Peri</w:t>
            </w:r>
            <w:r w:rsidR="0055224C" w:rsidRPr="006F3B5C">
              <w:t>o</w:t>
            </w:r>
            <w:r w:rsidR="005254FD" w:rsidRPr="006F3B5C">
              <w:t>dontal Disease</w:t>
            </w:r>
          </w:p>
        </w:tc>
        <w:tc>
          <w:tcPr>
            <w:tcW w:w="7740" w:type="dxa"/>
            <w:shd w:val="clear" w:color="auto" w:fill="auto"/>
          </w:tcPr>
          <w:p w14:paraId="65E40EA3" w14:textId="26F68EEA" w:rsidR="005254FD" w:rsidRPr="006F3B5C" w:rsidRDefault="00DD59CE" w:rsidP="00AD0A41">
            <w:pPr>
              <w:pStyle w:val="BlockText"/>
            </w:pPr>
            <w:hyperlink r:id="rId80" w:history="1">
              <w:r w:rsidR="005254FD" w:rsidRPr="006F3B5C">
                <w:rPr>
                  <w:rStyle w:val="Hyperlink"/>
                </w:rPr>
                <w:t>38 CFR 3.381(g)</w:t>
              </w:r>
            </w:hyperlink>
            <w:r w:rsidR="005254FD" w:rsidRPr="006F3B5C">
              <w:t xml:space="preserve"> </w:t>
            </w:r>
            <w:r w:rsidR="008F3800" w:rsidRPr="006F3B5C">
              <w:t xml:space="preserve">states </w:t>
            </w:r>
            <w:r w:rsidR="005254FD" w:rsidRPr="006F3B5C">
              <w:t xml:space="preserve">that teeth extracted because of chronic periodontal disease may be </w:t>
            </w:r>
            <w:r w:rsidR="00A4698C" w:rsidRPr="006F3B5C">
              <w:t xml:space="preserve">SC </w:t>
            </w:r>
            <w:r w:rsidR="005254FD" w:rsidRPr="006F3B5C">
              <w:t xml:space="preserve">for treatment </w:t>
            </w:r>
            <w:proofErr w:type="gramStart"/>
            <w:r w:rsidR="005254FD" w:rsidRPr="006F3B5C">
              <w:t>purposes  if</w:t>
            </w:r>
            <w:proofErr w:type="gramEnd"/>
            <w:r w:rsidR="005254FD" w:rsidRPr="006F3B5C">
              <w:t xml:space="preserve"> they were extracted after 180 days or more of active service, per </w:t>
            </w:r>
            <w:hyperlink r:id="rId81" w:history="1">
              <w:r w:rsidR="005254FD" w:rsidRPr="006F3B5C">
                <w:rPr>
                  <w:rStyle w:val="Hyperlink"/>
                </w:rPr>
                <w:t>38 U.S.C. 1712</w:t>
              </w:r>
            </w:hyperlink>
            <w:r w:rsidR="005254FD" w:rsidRPr="006F3B5C">
              <w:t>.</w:t>
            </w:r>
          </w:p>
          <w:p w14:paraId="65E40EA4" w14:textId="77777777" w:rsidR="00AD0A41" w:rsidRPr="006F3B5C" w:rsidRDefault="00AD0A41" w:rsidP="00AD0A41">
            <w:pPr>
              <w:pStyle w:val="BlockText"/>
            </w:pPr>
          </w:p>
        </w:tc>
      </w:tr>
    </w:tbl>
    <w:p w14:paraId="65E40EA6" w14:textId="77777777" w:rsidR="00926153" w:rsidRPr="006F3B5C" w:rsidRDefault="00D426E6" w:rsidP="00926153">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926153" w:rsidRPr="006F3B5C" w14:paraId="65E40EAB" w14:textId="77777777" w:rsidTr="00926153">
        <w:tc>
          <w:tcPr>
            <w:tcW w:w="1728" w:type="dxa"/>
            <w:shd w:val="clear" w:color="auto" w:fill="auto"/>
          </w:tcPr>
          <w:p w14:paraId="65E40EA7" w14:textId="1544D715" w:rsidR="00926153" w:rsidRPr="006F3B5C" w:rsidRDefault="00DC2E68" w:rsidP="005254FD">
            <w:pPr>
              <w:pStyle w:val="Heading5"/>
            </w:pPr>
            <w:bookmarkStart w:id="26" w:name="_m._Handling_Dental"/>
            <w:bookmarkEnd w:id="26"/>
            <w:r w:rsidRPr="006F3B5C">
              <w:t>m</w:t>
            </w:r>
            <w:r w:rsidR="005254FD" w:rsidRPr="006F3B5C">
              <w:t xml:space="preserve">. Handling Dental Treatment Claims Involving </w:t>
            </w:r>
            <w:proofErr w:type="gramStart"/>
            <w:r w:rsidR="005254FD" w:rsidRPr="006F3B5C">
              <w:t xml:space="preserve">Multiple  </w:t>
            </w:r>
            <w:r w:rsidR="005254FD" w:rsidRPr="006F3B5C">
              <w:lastRenderedPageBreak/>
              <w:t>Periods</w:t>
            </w:r>
            <w:proofErr w:type="gramEnd"/>
            <w:r w:rsidR="005254FD" w:rsidRPr="006F3B5C">
              <w:t xml:space="preserve"> of Service</w:t>
            </w:r>
          </w:p>
        </w:tc>
        <w:tc>
          <w:tcPr>
            <w:tcW w:w="7740" w:type="dxa"/>
            <w:shd w:val="clear" w:color="auto" w:fill="auto"/>
          </w:tcPr>
          <w:p w14:paraId="65E40EA8" w14:textId="77777777" w:rsidR="005254FD" w:rsidRPr="006F3B5C" w:rsidRDefault="005254FD" w:rsidP="005254FD">
            <w:pPr>
              <w:pStyle w:val="BlockText"/>
            </w:pPr>
            <w:r w:rsidRPr="006F3B5C">
              <w:lastRenderedPageBreak/>
              <w:t>If a Veteran has two periods of service and, during the second period of service, incurs a new condition in the same tooth or aggravates a dental condition that was</w:t>
            </w:r>
            <w:r w:rsidR="00A4698C" w:rsidRPr="006F3B5C">
              <w:t xml:space="preserve"> already</w:t>
            </w:r>
            <w:r w:rsidRPr="006F3B5C">
              <w:t xml:space="preserve"> </w:t>
            </w:r>
            <w:r w:rsidR="00A4698C" w:rsidRPr="006F3B5C">
              <w:t>SC</w:t>
            </w:r>
            <w:r w:rsidRPr="006F3B5C">
              <w:t xml:space="preserve"> based on the first period of service, show the incurrence of the new condition or the aggravation of the preexisting condition in the second period of service.  </w:t>
            </w:r>
          </w:p>
          <w:p w14:paraId="65E40EA9" w14:textId="77777777" w:rsidR="005254FD" w:rsidRPr="006F3B5C" w:rsidRDefault="005254FD" w:rsidP="005254FD">
            <w:pPr>
              <w:pStyle w:val="BlockText"/>
            </w:pPr>
          </w:p>
          <w:p w14:paraId="65E40EAA" w14:textId="77777777" w:rsidR="00926153" w:rsidRPr="006F3B5C" w:rsidRDefault="005254FD" w:rsidP="005254FD">
            <w:pPr>
              <w:pStyle w:val="BlockText"/>
            </w:pPr>
            <w:r w:rsidRPr="006F3B5C">
              <w:t>This is done to ensure the Veteran’s entitlement to treatment based on the subsequent service.</w:t>
            </w:r>
          </w:p>
        </w:tc>
      </w:tr>
    </w:tbl>
    <w:p w14:paraId="65E40EAC" w14:textId="77777777" w:rsidR="00C6457C" w:rsidRPr="006F3B5C" w:rsidRDefault="00D426E6" w:rsidP="00C6457C">
      <w:pPr>
        <w:pStyle w:val="BlockLine"/>
      </w:pPr>
      <w:r w:rsidRPr="006F3B5C">
        <w:lastRenderedPageBreak/>
        <w:fldChar w:fldCharType="begin"/>
      </w:r>
      <w:r w:rsidRPr="006F3B5C">
        <w:instrText xml:space="preserve"> PRIVATE INFOTYPE="CONCEPT" </w:instrText>
      </w:r>
      <w:r w:rsidRPr="006F3B5C">
        <w:fldChar w:fldCharType="end"/>
      </w:r>
    </w:p>
    <w:tbl>
      <w:tblPr>
        <w:tblW w:w="0" w:type="auto"/>
        <w:tblLayout w:type="fixed"/>
        <w:tblLook w:val="0000" w:firstRow="0" w:lastRow="0" w:firstColumn="0" w:lastColumn="0" w:noHBand="0" w:noVBand="0"/>
      </w:tblPr>
      <w:tblGrid>
        <w:gridCol w:w="1728"/>
        <w:gridCol w:w="7740"/>
      </w:tblGrid>
      <w:tr w:rsidR="00C6457C" w:rsidRPr="006F3B5C" w14:paraId="65E40EAF" w14:textId="77777777" w:rsidTr="00C6457C">
        <w:tc>
          <w:tcPr>
            <w:tcW w:w="1728" w:type="dxa"/>
            <w:shd w:val="clear" w:color="auto" w:fill="auto"/>
          </w:tcPr>
          <w:p w14:paraId="65E40EAD" w14:textId="3B4EA4C5" w:rsidR="00C6457C" w:rsidRPr="006F3B5C" w:rsidRDefault="00DC2E68" w:rsidP="00C6457C">
            <w:pPr>
              <w:pStyle w:val="Heading5"/>
            </w:pPr>
            <w:bookmarkStart w:id="27" w:name="_n._Tooth_Numbering"/>
            <w:bookmarkEnd w:id="27"/>
            <w:r w:rsidRPr="006F3B5C">
              <w:t>n</w:t>
            </w:r>
            <w:r w:rsidR="00C6457C" w:rsidRPr="006F3B5C">
              <w:t>. Tooth Numbering Systems</w:t>
            </w:r>
          </w:p>
        </w:tc>
        <w:tc>
          <w:tcPr>
            <w:tcW w:w="7740" w:type="dxa"/>
            <w:shd w:val="clear" w:color="auto" w:fill="auto"/>
          </w:tcPr>
          <w:p w14:paraId="65E40EAE" w14:textId="77777777" w:rsidR="00C6457C" w:rsidRPr="006F3B5C" w:rsidRDefault="00C6457C" w:rsidP="00C6457C">
            <w:pPr>
              <w:pStyle w:val="BlockText"/>
            </w:pPr>
            <w:r w:rsidRPr="006F3B5C">
              <w:t>Tooth numbering by VA and service departments has been the same since 1953, but differed previously.  Listed below are the numbering systems for the service departments prior to 1953 and the VA numbering system.</w:t>
            </w:r>
          </w:p>
        </w:tc>
      </w:tr>
    </w:tbl>
    <w:p w14:paraId="65E40EB0" w14:textId="77777777" w:rsidR="00C6457C" w:rsidRPr="006F3B5C" w:rsidRDefault="00C6457C" w:rsidP="00C6457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6"/>
        <w:gridCol w:w="2700"/>
        <w:gridCol w:w="3154"/>
      </w:tblGrid>
      <w:tr w:rsidR="00C6457C" w:rsidRPr="006F3B5C" w14:paraId="65E40EB4" w14:textId="77777777" w:rsidTr="00510367">
        <w:tc>
          <w:tcPr>
            <w:tcW w:w="1746" w:type="dxa"/>
            <w:shd w:val="clear" w:color="auto" w:fill="auto"/>
          </w:tcPr>
          <w:p w14:paraId="65E40EB1" w14:textId="77777777" w:rsidR="00C6457C" w:rsidRPr="006F3B5C" w:rsidRDefault="00C6457C" w:rsidP="00510367">
            <w:pPr>
              <w:pStyle w:val="TableHeaderText"/>
            </w:pPr>
          </w:p>
        </w:tc>
        <w:tc>
          <w:tcPr>
            <w:tcW w:w="2700" w:type="dxa"/>
            <w:shd w:val="clear" w:color="auto" w:fill="auto"/>
          </w:tcPr>
          <w:p w14:paraId="65E40EB2" w14:textId="77777777" w:rsidR="00C6457C" w:rsidRPr="006F3B5C" w:rsidRDefault="00C6457C" w:rsidP="00510367">
            <w:pPr>
              <w:pStyle w:val="TableHeaderText"/>
            </w:pPr>
            <w:r w:rsidRPr="006F3B5C">
              <w:t>Upper</w:t>
            </w:r>
          </w:p>
        </w:tc>
        <w:tc>
          <w:tcPr>
            <w:tcW w:w="3154" w:type="dxa"/>
            <w:shd w:val="clear" w:color="auto" w:fill="auto"/>
          </w:tcPr>
          <w:p w14:paraId="65E40EB3" w14:textId="77777777" w:rsidR="00C6457C" w:rsidRPr="006F3B5C" w:rsidRDefault="00C6457C" w:rsidP="00510367">
            <w:pPr>
              <w:rPr>
                <w:b/>
              </w:rPr>
            </w:pPr>
          </w:p>
        </w:tc>
      </w:tr>
      <w:tr w:rsidR="00C6457C" w:rsidRPr="006F3B5C" w14:paraId="65E40EB8" w14:textId="77777777" w:rsidTr="00510367">
        <w:tc>
          <w:tcPr>
            <w:tcW w:w="1746" w:type="dxa"/>
            <w:shd w:val="clear" w:color="auto" w:fill="auto"/>
          </w:tcPr>
          <w:p w14:paraId="65E40EB5" w14:textId="77777777" w:rsidR="00C6457C" w:rsidRPr="006F3B5C" w:rsidRDefault="00C6457C" w:rsidP="00510367">
            <w:pPr>
              <w:pStyle w:val="TableText"/>
            </w:pPr>
          </w:p>
        </w:tc>
        <w:tc>
          <w:tcPr>
            <w:tcW w:w="2700" w:type="dxa"/>
            <w:shd w:val="clear" w:color="auto" w:fill="auto"/>
          </w:tcPr>
          <w:p w14:paraId="65E40EB6" w14:textId="77777777" w:rsidR="00C6457C" w:rsidRPr="006F3B5C" w:rsidRDefault="00C6457C" w:rsidP="00510367">
            <w:pPr>
              <w:pStyle w:val="TableText"/>
            </w:pPr>
            <w:r w:rsidRPr="006F3B5C">
              <w:t>Right</w:t>
            </w:r>
          </w:p>
        </w:tc>
        <w:tc>
          <w:tcPr>
            <w:tcW w:w="3154" w:type="dxa"/>
            <w:shd w:val="clear" w:color="auto" w:fill="auto"/>
          </w:tcPr>
          <w:p w14:paraId="65E40EB7" w14:textId="77777777" w:rsidR="00C6457C" w:rsidRPr="006F3B5C" w:rsidRDefault="00C6457C" w:rsidP="00510367">
            <w:r w:rsidRPr="006F3B5C">
              <w:t>Left</w:t>
            </w:r>
          </w:p>
        </w:tc>
      </w:tr>
      <w:tr w:rsidR="00C6457C" w:rsidRPr="006F3B5C" w14:paraId="65E40EBC" w14:textId="77777777" w:rsidTr="00510367">
        <w:tc>
          <w:tcPr>
            <w:tcW w:w="1746" w:type="dxa"/>
            <w:shd w:val="clear" w:color="auto" w:fill="auto"/>
          </w:tcPr>
          <w:p w14:paraId="65E40EB9" w14:textId="77777777" w:rsidR="00C6457C" w:rsidRPr="006F3B5C" w:rsidRDefault="00C6457C" w:rsidP="00510367">
            <w:pPr>
              <w:pStyle w:val="TableText"/>
            </w:pPr>
            <w:r w:rsidRPr="006F3B5C">
              <w:t>VA</w:t>
            </w:r>
          </w:p>
        </w:tc>
        <w:tc>
          <w:tcPr>
            <w:tcW w:w="2700" w:type="dxa"/>
            <w:shd w:val="clear" w:color="auto" w:fill="auto"/>
          </w:tcPr>
          <w:p w14:paraId="65E40EBA" w14:textId="77777777" w:rsidR="00C6457C" w:rsidRPr="006F3B5C" w:rsidRDefault="00C6457C" w:rsidP="00510367">
            <w:pPr>
              <w:pStyle w:val="TableText"/>
            </w:pPr>
            <w:r w:rsidRPr="006F3B5C">
              <w:t>1 2 3 4 5 6 7 8</w:t>
            </w:r>
          </w:p>
        </w:tc>
        <w:tc>
          <w:tcPr>
            <w:tcW w:w="3154" w:type="dxa"/>
            <w:shd w:val="clear" w:color="auto" w:fill="auto"/>
          </w:tcPr>
          <w:p w14:paraId="65E40EBB" w14:textId="77777777" w:rsidR="00C6457C" w:rsidRPr="006F3B5C" w:rsidRDefault="00C6457C" w:rsidP="00510367">
            <w:r w:rsidRPr="006F3B5C">
              <w:t>9 10 11 12 13 14 15 16</w:t>
            </w:r>
          </w:p>
        </w:tc>
      </w:tr>
      <w:tr w:rsidR="00C6457C" w:rsidRPr="006F3B5C" w14:paraId="65E40EC0" w14:textId="77777777" w:rsidTr="00510367">
        <w:tc>
          <w:tcPr>
            <w:tcW w:w="1746" w:type="dxa"/>
            <w:shd w:val="clear" w:color="auto" w:fill="auto"/>
          </w:tcPr>
          <w:p w14:paraId="65E40EBD" w14:textId="77777777" w:rsidR="00C6457C" w:rsidRPr="006F3B5C" w:rsidRDefault="00C6457C" w:rsidP="00510367">
            <w:pPr>
              <w:pStyle w:val="TableText"/>
            </w:pPr>
            <w:r w:rsidRPr="006F3B5C">
              <w:t>Army (WWI)</w:t>
            </w:r>
          </w:p>
        </w:tc>
        <w:tc>
          <w:tcPr>
            <w:tcW w:w="2700" w:type="dxa"/>
            <w:shd w:val="clear" w:color="auto" w:fill="auto"/>
          </w:tcPr>
          <w:p w14:paraId="65E40EBE" w14:textId="77777777" w:rsidR="00C6457C" w:rsidRPr="006F3B5C" w:rsidRDefault="00C6457C" w:rsidP="00510367">
            <w:pPr>
              <w:pStyle w:val="TableText"/>
            </w:pPr>
            <w:r w:rsidRPr="006F3B5C">
              <w:t>8 7 6 5 4 3 2 1</w:t>
            </w:r>
          </w:p>
        </w:tc>
        <w:tc>
          <w:tcPr>
            <w:tcW w:w="3154" w:type="dxa"/>
            <w:shd w:val="clear" w:color="auto" w:fill="auto"/>
          </w:tcPr>
          <w:p w14:paraId="65E40EBF" w14:textId="77777777" w:rsidR="00C6457C" w:rsidRPr="006F3B5C" w:rsidRDefault="00C6457C" w:rsidP="00510367">
            <w:r w:rsidRPr="006F3B5C">
              <w:t>1   2   3   4   5   6   7   8</w:t>
            </w:r>
          </w:p>
        </w:tc>
      </w:tr>
      <w:tr w:rsidR="00C6457C" w:rsidRPr="006F3B5C" w14:paraId="65E40EC4" w14:textId="77777777" w:rsidTr="00510367">
        <w:tc>
          <w:tcPr>
            <w:tcW w:w="1746" w:type="dxa"/>
            <w:shd w:val="clear" w:color="auto" w:fill="auto"/>
          </w:tcPr>
          <w:p w14:paraId="65E40EC1" w14:textId="77777777" w:rsidR="00C6457C" w:rsidRPr="006F3B5C" w:rsidRDefault="00C6457C" w:rsidP="00510367">
            <w:pPr>
              <w:pStyle w:val="TableText"/>
            </w:pPr>
            <w:r w:rsidRPr="006F3B5C">
              <w:t>Army (WWII)</w:t>
            </w:r>
          </w:p>
        </w:tc>
        <w:tc>
          <w:tcPr>
            <w:tcW w:w="2700" w:type="dxa"/>
            <w:shd w:val="clear" w:color="auto" w:fill="auto"/>
          </w:tcPr>
          <w:p w14:paraId="65E40EC2" w14:textId="77777777" w:rsidR="00C6457C" w:rsidRPr="006F3B5C" w:rsidRDefault="00C6457C" w:rsidP="00510367">
            <w:pPr>
              <w:pStyle w:val="TableText"/>
            </w:pPr>
            <w:r w:rsidRPr="006F3B5C">
              <w:t>8 7 6 5 4 3 2 1</w:t>
            </w:r>
          </w:p>
        </w:tc>
        <w:tc>
          <w:tcPr>
            <w:tcW w:w="3154" w:type="dxa"/>
            <w:shd w:val="clear" w:color="auto" w:fill="auto"/>
          </w:tcPr>
          <w:p w14:paraId="65E40EC3" w14:textId="77777777" w:rsidR="00C6457C" w:rsidRPr="006F3B5C" w:rsidRDefault="00C6457C" w:rsidP="00510367">
            <w:r w:rsidRPr="006F3B5C">
              <w:t>1   2   3   4   5   6   7   8</w:t>
            </w:r>
          </w:p>
        </w:tc>
      </w:tr>
      <w:tr w:rsidR="00C6457C" w:rsidRPr="006F3B5C" w14:paraId="65E40EC8" w14:textId="77777777" w:rsidTr="00510367">
        <w:tc>
          <w:tcPr>
            <w:tcW w:w="1746" w:type="dxa"/>
            <w:shd w:val="clear" w:color="auto" w:fill="auto"/>
          </w:tcPr>
          <w:p w14:paraId="65E40EC5" w14:textId="77777777" w:rsidR="00C6457C" w:rsidRPr="006F3B5C" w:rsidRDefault="00C6457C" w:rsidP="00510367">
            <w:pPr>
              <w:pStyle w:val="TableText"/>
            </w:pPr>
            <w:r w:rsidRPr="006F3B5C">
              <w:t>Navy</w:t>
            </w:r>
          </w:p>
        </w:tc>
        <w:tc>
          <w:tcPr>
            <w:tcW w:w="2700" w:type="dxa"/>
            <w:shd w:val="clear" w:color="auto" w:fill="auto"/>
          </w:tcPr>
          <w:p w14:paraId="65E40EC6" w14:textId="77777777" w:rsidR="00C6457C" w:rsidRPr="006F3B5C" w:rsidRDefault="00C6457C" w:rsidP="00510367">
            <w:pPr>
              <w:pStyle w:val="TableText"/>
            </w:pPr>
            <w:r w:rsidRPr="006F3B5C">
              <w:t xml:space="preserve">1 2 3 4 5 6 7 8 </w:t>
            </w:r>
          </w:p>
        </w:tc>
        <w:tc>
          <w:tcPr>
            <w:tcW w:w="3154" w:type="dxa"/>
            <w:shd w:val="clear" w:color="auto" w:fill="auto"/>
          </w:tcPr>
          <w:p w14:paraId="65E40EC7" w14:textId="77777777" w:rsidR="00C6457C" w:rsidRPr="006F3B5C" w:rsidRDefault="00C6457C" w:rsidP="00510367">
            <w:r w:rsidRPr="006F3B5C">
              <w:t>9 10 11 12 13 14 15 16</w:t>
            </w:r>
          </w:p>
        </w:tc>
      </w:tr>
      <w:tr w:rsidR="00C6457C" w:rsidRPr="006F3B5C" w14:paraId="65E40ECC" w14:textId="77777777" w:rsidTr="00510367">
        <w:tc>
          <w:tcPr>
            <w:tcW w:w="1746" w:type="dxa"/>
            <w:shd w:val="clear" w:color="auto" w:fill="auto"/>
          </w:tcPr>
          <w:p w14:paraId="65E40EC9" w14:textId="77777777" w:rsidR="00C6457C" w:rsidRPr="006F3B5C" w:rsidRDefault="00C6457C" w:rsidP="00510367">
            <w:pPr>
              <w:pStyle w:val="TableText"/>
            </w:pPr>
          </w:p>
        </w:tc>
        <w:tc>
          <w:tcPr>
            <w:tcW w:w="2700" w:type="dxa"/>
            <w:shd w:val="clear" w:color="auto" w:fill="auto"/>
          </w:tcPr>
          <w:p w14:paraId="65E40ECA" w14:textId="77777777" w:rsidR="00C6457C" w:rsidRPr="006F3B5C" w:rsidRDefault="00C6457C" w:rsidP="00510367">
            <w:pPr>
              <w:pStyle w:val="TableText"/>
            </w:pPr>
          </w:p>
        </w:tc>
        <w:tc>
          <w:tcPr>
            <w:tcW w:w="3154" w:type="dxa"/>
            <w:shd w:val="clear" w:color="auto" w:fill="auto"/>
          </w:tcPr>
          <w:p w14:paraId="65E40ECB" w14:textId="77777777" w:rsidR="00C6457C" w:rsidRPr="006F3B5C" w:rsidRDefault="00C6457C" w:rsidP="00510367"/>
        </w:tc>
      </w:tr>
      <w:tr w:rsidR="00C6457C" w:rsidRPr="006F3B5C" w14:paraId="65E40ED0" w14:textId="77777777" w:rsidTr="00510367">
        <w:tc>
          <w:tcPr>
            <w:tcW w:w="1746" w:type="dxa"/>
            <w:shd w:val="clear" w:color="auto" w:fill="auto"/>
          </w:tcPr>
          <w:p w14:paraId="65E40ECD" w14:textId="77777777" w:rsidR="00C6457C" w:rsidRPr="006F3B5C" w:rsidRDefault="00C6457C" w:rsidP="00510367">
            <w:pPr>
              <w:pStyle w:val="TableHeaderText"/>
            </w:pPr>
          </w:p>
        </w:tc>
        <w:tc>
          <w:tcPr>
            <w:tcW w:w="2700" w:type="dxa"/>
            <w:shd w:val="clear" w:color="auto" w:fill="auto"/>
          </w:tcPr>
          <w:p w14:paraId="65E40ECE" w14:textId="77777777" w:rsidR="00C6457C" w:rsidRPr="006F3B5C" w:rsidRDefault="00C6457C" w:rsidP="00510367">
            <w:pPr>
              <w:pStyle w:val="TableHeaderText"/>
            </w:pPr>
            <w:r w:rsidRPr="006F3B5C">
              <w:t>Lower</w:t>
            </w:r>
          </w:p>
        </w:tc>
        <w:tc>
          <w:tcPr>
            <w:tcW w:w="3154" w:type="dxa"/>
            <w:shd w:val="clear" w:color="auto" w:fill="auto"/>
          </w:tcPr>
          <w:p w14:paraId="65E40ECF" w14:textId="77777777" w:rsidR="00C6457C" w:rsidRPr="006F3B5C" w:rsidRDefault="00C6457C" w:rsidP="00510367"/>
        </w:tc>
      </w:tr>
      <w:tr w:rsidR="00C6457C" w:rsidRPr="006F3B5C" w14:paraId="65E40ED4" w14:textId="77777777" w:rsidTr="00510367">
        <w:tc>
          <w:tcPr>
            <w:tcW w:w="1746" w:type="dxa"/>
            <w:shd w:val="clear" w:color="auto" w:fill="auto"/>
          </w:tcPr>
          <w:p w14:paraId="65E40ED1" w14:textId="77777777" w:rsidR="00C6457C" w:rsidRPr="006F3B5C" w:rsidRDefault="00C6457C" w:rsidP="00510367">
            <w:pPr>
              <w:pStyle w:val="TableText"/>
            </w:pPr>
          </w:p>
        </w:tc>
        <w:tc>
          <w:tcPr>
            <w:tcW w:w="2700" w:type="dxa"/>
            <w:shd w:val="clear" w:color="auto" w:fill="auto"/>
          </w:tcPr>
          <w:p w14:paraId="65E40ED2" w14:textId="77777777" w:rsidR="00C6457C" w:rsidRPr="006F3B5C" w:rsidRDefault="00C6457C" w:rsidP="00510367">
            <w:pPr>
              <w:pStyle w:val="TableText"/>
            </w:pPr>
            <w:r w:rsidRPr="006F3B5C">
              <w:t>Right</w:t>
            </w:r>
          </w:p>
        </w:tc>
        <w:tc>
          <w:tcPr>
            <w:tcW w:w="3154" w:type="dxa"/>
            <w:shd w:val="clear" w:color="auto" w:fill="auto"/>
          </w:tcPr>
          <w:p w14:paraId="65E40ED3" w14:textId="77777777" w:rsidR="00C6457C" w:rsidRPr="006F3B5C" w:rsidRDefault="00C6457C" w:rsidP="00510367">
            <w:r w:rsidRPr="006F3B5C">
              <w:t>Left</w:t>
            </w:r>
          </w:p>
        </w:tc>
      </w:tr>
      <w:tr w:rsidR="00C6457C" w:rsidRPr="006F3B5C" w14:paraId="65E40ED8" w14:textId="77777777" w:rsidTr="00510367">
        <w:tc>
          <w:tcPr>
            <w:tcW w:w="1746" w:type="dxa"/>
            <w:shd w:val="clear" w:color="auto" w:fill="auto"/>
          </w:tcPr>
          <w:p w14:paraId="65E40ED5" w14:textId="77777777" w:rsidR="00C6457C" w:rsidRPr="006F3B5C" w:rsidRDefault="00C6457C" w:rsidP="00510367">
            <w:pPr>
              <w:pStyle w:val="TableText"/>
            </w:pPr>
            <w:r w:rsidRPr="006F3B5C">
              <w:t>VA</w:t>
            </w:r>
          </w:p>
        </w:tc>
        <w:tc>
          <w:tcPr>
            <w:tcW w:w="2700" w:type="dxa"/>
            <w:shd w:val="clear" w:color="auto" w:fill="auto"/>
          </w:tcPr>
          <w:p w14:paraId="65E40ED6" w14:textId="77777777" w:rsidR="00C6457C" w:rsidRPr="006F3B5C" w:rsidRDefault="00C6457C" w:rsidP="00510367">
            <w:pPr>
              <w:pStyle w:val="TableText"/>
            </w:pPr>
            <w:r w:rsidRPr="006F3B5C">
              <w:t xml:space="preserve">32 31 30 29 28 27 26 25 </w:t>
            </w:r>
          </w:p>
        </w:tc>
        <w:tc>
          <w:tcPr>
            <w:tcW w:w="3154" w:type="dxa"/>
            <w:shd w:val="clear" w:color="auto" w:fill="auto"/>
          </w:tcPr>
          <w:p w14:paraId="65E40ED7" w14:textId="77777777" w:rsidR="00C6457C" w:rsidRPr="006F3B5C" w:rsidRDefault="00C6457C" w:rsidP="00510367">
            <w:r w:rsidRPr="006F3B5C">
              <w:t>24 23 22 21 20 19 18 17</w:t>
            </w:r>
          </w:p>
        </w:tc>
      </w:tr>
      <w:tr w:rsidR="00C6457C" w:rsidRPr="006F3B5C" w14:paraId="65E40EDC" w14:textId="77777777" w:rsidTr="00510367">
        <w:tc>
          <w:tcPr>
            <w:tcW w:w="1746" w:type="dxa"/>
            <w:shd w:val="clear" w:color="auto" w:fill="auto"/>
          </w:tcPr>
          <w:p w14:paraId="65E40ED9" w14:textId="77777777" w:rsidR="00C6457C" w:rsidRPr="006F3B5C" w:rsidRDefault="00C6457C" w:rsidP="00510367">
            <w:pPr>
              <w:pStyle w:val="TableText"/>
            </w:pPr>
            <w:r w:rsidRPr="006F3B5C">
              <w:t>Army (WWI)</w:t>
            </w:r>
          </w:p>
        </w:tc>
        <w:tc>
          <w:tcPr>
            <w:tcW w:w="2700" w:type="dxa"/>
            <w:shd w:val="clear" w:color="auto" w:fill="auto"/>
          </w:tcPr>
          <w:p w14:paraId="65E40EDA" w14:textId="77777777" w:rsidR="00C6457C" w:rsidRPr="006F3B5C" w:rsidRDefault="00C6457C" w:rsidP="00510367">
            <w:pPr>
              <w:pStyle w:val="TableText"/>
            </w:pPr>
            <w:r w:rsidRPr="006F3B5C">
              <w:t xml:space="preserve">  8   7   6   5   4   3   2   1</w:t>
            </w:r>
          </w:p>
        </w:tc>
        <w:tc>
          <w:tcPr>
            <w:tcW w:w="3154" w:type="dxa"/>
            <w:shd w:val="clear" w:color="auto" w:fill="auto"/>
          </w:tcPr>
          <w:p w14:paraId="65E40EDB" w14:textId="77777777" w:rsidR="00C6457C" w:rsidRPr="006F3B5C" w:rsidRDefault="00C6457C" w:rsidP="00510367">
            <w:r w:rsidRPr="006F3B5C">
              <w:t>1   2   3   4   5   6   7   8</w:t>
            </w:r>
          </w:p>
        </w:tc>
      </w:tr>
      <w:tr w:rsidR="00C6457C" w:rsidRPr="006F3B5C" w14:paraId="65E40EE0" w14:textId="77777777" w:rsidTr="00510367">
        <w:tc>
          <w:tcPr>
            <w:tcW w:w="1746" w:type="dxa"/>
            <w:shd w:val="clear" w:color="auto" w:fill="auto"/>
          </w:tcPr>
          <w:p w14:paraId="65E40EDD" w14:textId="77777777" w:rsidR="00C6457C" w:rsidRPr="006F3B5C" w:rsidRDefault="00C6457C" w:rsidP="00510367">
            <w:pPr>
              <w:pStyle w:val="TableText"/>
            </w:pPr>
            <w:r w:rsidRPr="006F3B5C">
              <w:t>Army (WWII)</w:t>
            </w:r>
          </w:p>
        </w:tc>
        <w:tc>
          <w:tcPr>
            <w:tcW w:w="2700" w:type="dxa"/>
            <w:shd w:val="clear" w:color="auto" w:fill="auto"/>
          </w:tcPr>
          <w:p w14:paraId="65E40EDE" w14:textId="77777777" w:rsidR="00C6457C" w:rsidRPr="006F3B5C" w:rsidRDefault="00C6457C" w:rsidP="00510367">
            <w:pPr>
              <w:pStyle w:val="TableText"/>
            </w:pPr>
            <w:r w:rsidRPr="006F3B5C">
              <w:t>16 15 14 13 12 11 10 9</w:t>
            </w:r>
          </w:p>
        </w:tc>
        <w:tc>
          <w:tcPr>
            <w:tcW w:w="3154" w:type="dxa"/>
            <w:shd w:val="clear" w:color="auto" w:fill="auto"/>
          </w:tcPr>
          <w:p w14:paraId="65E40EDF" w14:textId="77777777" w:rsidR="00C6457C" w:rsidRPr="006F3B5C" w:rsidRDefault="00C6457C" w:rsidP="00510367">
            <w:r w:rsidRPr="006F3B5C">
              <w:t>9 10 11 12 13 14 15 16</w:t>
            </w:r>
          </w:p>
        </w:tc>
      </w:tr>
      <w:tr w:rsidR="00C6457C" w:rsidRPr="006F3B5C" w14:paraId="65E40EE4" w14:textId="77777777" w:rsidTr="00510367">
        <w:tc>
          <w:tcPr>
            <w:tcW w:w="1746" w:type="dxa"/>
            <w:shd w:val="clear" w:color="auto" w:fill="auto"/>
          </w:tcPr>
          <w:p w14:paraId="65E40EE1" w14:textId="77777777" w:rsidR="00C6457C" w:rsidRPr="006F3B5C" w:rsidRDefault="00C6457C" w:rsidP="00510367">
            <w:pPr>
              <w:pStyle w:val="TableText"/>
            </w:pPr>
            <w:r w:rsidRPr="006F3B5C">
              <w:t>Navy</w:t>
            </w:r>
          </w:p>
        </w:tc>
        <w:tc>
          <w:tcPr>
            <w:tcW w:w="2700" w:type="dxa"/>
            <w:shd w:val="clear" w:color="auto" w:fill="auto"/>
          </w:tcPr>
          <w:p w14:paraId="65E40EE2" w14:textId="77777777" w:rsidR="00C6457C" w:rsidRPr="006F3B5C" w:rsidRDefault="00C6457C" w:rsidP="00510367">
            <w:pPr>
              <w:pStyle w:val="TableText"/>
            </w:pPr>
            <w:r w:rsidRPr="006F3B5C">
              <w:t xml:space="preserve">17 18 19 20 21 22 23 24 </w:t>
            </w:r>
          </w:p>
        </w:tc>
        <w:tc>
          <w:tcPr>
            <w:tcW w:w="3154" w:type="dxa"/>
            <w:shd w:val="clear" w:color="auto" w:fill="auto"/>
          </w:tcPr>
          <w:p w14:paraId="65E40EE3" w14:textId="77777777" w:rsidR="00C6457C" w:rsidRPr="006F3B5C" w:rsidRDefault="00C6457C" w:rsidP="00510367">
            <w:r w:rsidRPr="006F3B5C">
              <w:t>25 26 27 28 29 30 31 32</w:t>
            </w:r>
          </w:p>
        </w:tc>
      </w:tr>
    </w:tbl>
    <w:p w14:paraId="65E40EE5" w14:textId="77777777" w:rsidR="00C6457C" w:rsidRPr="006F3B5C" w:rsidRDefault="00C6457C" w:rsidP="00C6457C"/>
    <w:tbl>
      <w:tblPr>
        <w:tblW w:w="7732" w:type="dxa"/>
        <w:tblInd w:w="1728" w:type="dxa"/>
        <w:tblLayout w:type="fixed"/>
        <w:tblLook w:val="0000" w:firstRow="0" w:lastRow="0" w:firstColumn="0" w:lastColumn="0" w:noHBand="0" w:noVBand="0"/>
      </w:tblPr>
      <w:tblGrid>
        <w:gridCol w:w="7732"/>
      </w:tblGrid>
      <w:tr w:rsidR="00C6457C" w:rsidRPr="006F3B5C" w14:paraId="65E40EE7" w14:textId="77777777" w:rsidTr="00C6457C">
        <w:tc>
          <w:tcPr>
            <w:tcW w:w="5000" w:type="pct"/>
            <w:shd w:val="clear" w:color="auto" w:fill="auto"/>
          </w:tcPr>
          <w:p w14:paraId="65E40EE6" w14:textId="77777777" w:rsidR="00C6457C" w:rsidRPr="006F3B5C" w:rsidRDefault="00C6457C" w:rsidP="00C6457C">
            <w:pPr>
              <w:pStyle w:val="NoteText"/>
            </w:pPr>
            <w:r w:rsidRPr="006F3B5C">
              <w:rPr>
                <w:b/>
                <w:i/>
              </w:rPr>
              <w:t>Note</w:t>
            </w:r>
            <w:r w:rsidRPr="006F3B5C">
              <w:t>:  The Coast Guard and Public Health Service (PHS) have the same tooth numbering system as VA.</w:t>
            </w:r>
          </w:p>
        </w:tc>
      </w:tr>
    </w:tbl>
    <w:p w14:paraId="65E40EEA" w14:textId="77777777" w:rsidR="006565C3" w:rsidRPr="006F3B5C" w:rsidRDefault="00D426E6" w:rsidP="006565C3">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6565C3" w:rsidRPr="006F3B5C" w14:paraId="65E40EEF" w14:textId="77777777" w:rsidTr="006565C3">
        <w:tc>
          <w:tcPr>
            <w:tcW w:w="1728" w:type="dxa"/>
            <w:shd w:val="clear" w:color="auto" w:fill="auto"/>
          </w:tcPr>
          <w:p w14:paraId="65E40EEB" w14:textId="403CA524" w:rsidR="006565C3" w:rsidRPr="006F3B5C" w:rsidRDefault="00DC2E68" w:rsidP="006565C3">
            <w:pPr>
              <w:pStyle w:val="Heading5"/>
            </w:pPr>
            <w:bookmarkStart w:id="28" w:name="_o._Use_of"/>
            <w:bookmarkEnd w:id="28"/>
            <w:r w:rsidRPr="006F3B5C">
              <w:t>o</w:t>
            </w:r>
            <w:r w:rsidR="005737CC" w:rsidRPr="006F3B5C">
              <w:t xml:space="preserve">. </w:t>
            </w:r>
            <w:r w:rsidR="006565C3" w:rsidRPr="006F3B5C">
              <w:t>Use of Navy Dental Records</w:t>
            </w:r>
          </w:p>
        </w:tc>
        <w:tc>
          <w:tcPr>
            <w:tcW w:w="7740" w:type="dxa"/>
            <w:shd w:val="clear" w:color="auto" w:fill="auto"/>
          </w:tcPr>
          <w:p w14:paraId="65E40EEC" w14:textId="77777777" w:rsidR="006565C3" w:rsidRPr="006F3B5C" w:rsidRDefault="006565C3" w:rsidP="006565C3">
            <w:pPr>
              <w:pStyle w:val="BlockText"/>
            </w:pPr>
            <w:r w:rsidRPr="006F3B5C">
              <w:t xml:space="preserve">Copies of dental records have not always been usable for rating purposes because, prior to 1953, different colored markings on the original Naval records represented either disease or fillings and these markings could not be distinguished on photocopies. </w:t>
            </w:r>
          </w:p>
          <w:p w14:paraId="65E40EED" w14:textId="77777777" w:rsidR="006565C3" w:rsidRPr="006F3B5C" w:rsidRDefault="006565C3" w:rsidP="006565C3">
            <w:pPr>
              <w:pStyle w:val="BlockText"/>
            </w:pPr>
          </w:p>
          <w:p w14:paraId="65E40EEE" w14:textId="1CDA83D7" w:rsidR="006565C3" w:rsidRPr="006F3B5C" w:rsidRDefault="006565C3" w:rsidP="006000B6">
            <w:pPr>
              <w:pStyle w:val="BlockText"/>
            </w:pPr>
            <w:r w:rsidRPr="006F3B5C">
              <w:t xml:space="preserve">Accept the record of subsequent dental operations on the bottom of </w:t>
            </w:r>
            <w:r w:rsidRPr="006F3B5C">
              <w:rPr>
                <w:i/>
              </w:rPr>
              <w:t>Navy</w:t>
            </w:r>
            <w:r w:rsidRPr="006F3B5C">
              <w:t xml:space="preserve"> </w:t>
            </w:r>
            <w:r w:rsidRPr="006F3B5C">
              <w:rPr>
                <w:i/>
              </w:rPr>
              <w:t>Form H-4, Navy Dental Records (Examination)</w:t>
            </w:r>
            <w:r w:rsidRPr="006F3B5C">
              <w:t xml:space="preserve">, as sufficient to authorize </w:t>
            </w:r>
            <w:r w:rsidR="006000B6" w:rsidRPr="006F3B5C">
              <w:t>service connection</w:t>
            </w:r>
            <w:r w:rsidRPr="006F3B5C">
              <w:t>, even though the reverse side of that form may not record the insertion of fillings.</w:t>
            </w:r>
          </w:p>
        </w:tc>
      </w:tr>
    </w:tbl>
    <w:p w14:paraId="65E40EF0" w14:textId="77777777" w:rsidR="00C6457C" w:rsidRPr="006F3B5C" w:rsidRDefault="00D426E6" w:rsidP="00C6457C">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C6457C" w:rsidRPr="006F3B5C" w14:paraId="65E40EF7" w14:textId="77777777" w:rsidTr="00510367">
        <w:tc>
          <w:tcPr>
            <w:tcW w:w="1728" w:type="dxa"/>
            <w:shd w:val="clear" w:color="auto" w:fill="auto"/>
          </w:tcPr>
          <w:p w14:paraId="65E40EF1" w14:textId="77E8CB3A" w:rsidR="00C6457C" w:rsidRPr="006F3B5C" w:rsidRDefault="00DC2E68" w:rsidP="00510367">
            <w:pPr>
              <w:pStyle w:val="Heading5"/>
            </w:pPr>
            <w:bookmarkStart w:id="29" w:name="_p._Use_of"/>
            <w:bookmarkEnd w:id="29"/>
            <w:r w:rsidRPr="006F3B5C">
              <w:t>p</w:t>
            </w:r>
            <w:r w:rsidR="00C6457C" w:rsidRPr="006F3B5C">
              <w:t>. Use of Army Dental Records</w:t>
            </w:r>
          </w:p>
        </w:tc>
        <w:tc>
          <w:tcPr>
            <w:tcW w:w="7740" w:type="dxa"/>
            <w:shd w:val="clear" w:color="auto" w:fill="auto"/>
          </w:tcPr>
          <w:p w14:paraId="65E40EF2" w14:textId="77777777" w:rsidR="00C6457C" w:rsidRPr="006F3B5C" w:rsidRDefault="00C6457C" w:rsidP="00510367">
            <w:pPr>
              <w:pStyle w:val="BlockText"/>
            </w:pPr>
            <w:r w:rsidRPr="006F3B5C">
              <w:t xml:space="preserve">Army regulations require that every individual entering active service for more than 60 days have an initial dental examination within 60 days of entry on active service.  </w:t>
            </w:r>
          </w:p>
          <w:p w14:paraId="65E40EF3" w14:textId="77777777" w:rsidR="00C6457C" w:rsidRPr="006F3B5C" w:rsidRDefault="00C6457C" w:rsidP="00510367">
            <w:pPr>
              <w:pStyle w:val="BlockText"/>
            </w:pPr>
          </w:p>
          <w:p w14:paraId="65E40EF4" w14:textId="77777777" w:rsidR="00C6457C" w:rsidRPr="006F3B5C" w:rsidRDefault="00C6457C" w:rsidP="00510367">
            <w:pPr>
              <w:pStyle w:val="BlockText"/>
            </w:pPr>
            <w:r w:rsidRPr="006F3B5C">
              <w:t>In the absence of a suitable enlistment examination, for example, if the only examination notation was indefinite, such as “</w:t>
            </w:r>
            <w:r w:rsidRPr="006F3B5C">
              <w:rPr>
                <w:i/>
              </w:rPr>
              <w:t>acceptable</w:t>
            </w:r>
            <w:r w:rsidRPr="006F3B5C">
              <w:t>,” “</w:t>
            </w:r>
            <w:r w:rsidRPr="006F3B5C">
              <w:rPr>
                <w:i/>
              </w:rPr>
              <w:t>non-disqualifying</w:t>
            </w:r>
            <w:r w:rsidRPr="006F3B5C">
              <w:t>,” or “</w:t>
            </w:r>
            <w:r w:rsidRPr="006F3B5C">
              <w:rPr>
                <w:i/>
              </w:rPr>
              <w:t>not examined</w:t>
            </w:r>
            <w:r w:rsidRPr="006F3B5C">
              <w:t>,” accept the first examination within a reasonable period after entrance on active duty as recording the missing or defective teeth at enlistment.</w:t>
            </w:r>
          </w:p>
          <w:p w14:paraId="65E40EF5" w14:textId="77777777" w:rsidR="00C6457C" w:rsidRPr="006F3B5C" w:rsidRDefault="00C6457C" w:rsidP="00510367">
            <w:pPr>
              <w:pStyle w:val="BlockText"/>
            </w:pPr>
          </w:p>
          <w:p w14:paraId="65E40EF6" w14:textId="77777777" w:rsidR="00C6457C" w:rsidRPr="006F3B5C" w:rsidRDefault="00C6457C" w:rsidP="00510367">
            <w:pPr>
              <w:pStyle w:val="BlockText"/>
            </w:pPr>
            <w:r w:rsidRPr="006F3B5C">
              <w:rPr>
                <w:b/>
                <w:i/>
              </w:rPr>
              <w:lastRenderedPageBreak/>
              <w:t>Note</w:t>
            </w:r>
            <w:r w:rsidRPr="006F3B5C">
              <w:t xml:space="preserve">:  Facts in individual cases, such as when a first examination report is </w:t>
            </w:r>
            <w:r w:rsidRPr="006F3B5C">
              <w:rPr>
                <w:i/>
              </w:rPr>
              <w:t>more</w:t>
            </w:r>
            <w:r w:rsidRPr="006F3B5C">
              <w:t xml:space="preserve"> than 90 days after enlistment, may warrant an exception to this general rule.</w:t>
            </w:r>
          </w:p>
        </w:tc>
      </w:tr>
    </w:tbl>
    <w:p w14:paraId="65E40EF8" w14:textId="77777777" w:rsidR="00C6457C" w:rsidRPr="006F3B5C" w:rsidRDefault="00D426E6" w:rsidP="00C6457C">
      <w:pPr>
        <w:pStyle w:val="BlockLine"/>
      </w:pPr>
      <w:r w:rsidRPr="006F3B5C">
        <w:lastRenderedPageBreak/>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C6457C" w:rsidRPr="006F3B5C" w14:paraId="65E40EFC" w14:textId="77777777" w:rsidTr="00510367">
        <w:tc>
          <w:tcPr>
            <w:tcW w:w="1728" w:type="dxa"/>
            <w:shd w:val="clear" w:color="auto" w:fill="auto"/>
          </w:tcPr>
          <w:p w14:paraId="65E40EF9" w14:textId="23077DA0" w:rsidR="00C6457C" w:rsidRPr="006F3B5C" w:rsidRDefault="00DC2E68" w:rsidP="00510367">
            <w:pPr>
              <w:pStyle w:val="Heading5"/>
            </w:pPr>
            <w:bookmarkStart w:id="30" w:name="_q._Dental_Examinations"/>
            <w:bookmarkEnd w:id="30"/>
            <w:r w:rsidRPr="006F3B5C">
              <w:t>q</w:t>
            </w:r>
            <w:r w:rsidR="00C6457C" w:rsidRPr="006F3B5C">
              <w:t>. Dental Examinations in Treatment Claims</w:t>
            </w:r>
          </w:p>
        </w:tc>
        <w:tc>
          <w:tcPr>
            <w:tcW w:w="7740" w:type="dxa"/>
            <w:shd w:val="clear" w:color="auto" w:fill="auto"/>
          </w:tcPr>
          <w:p w14:paraId="65E40EFA" w14:textId="606FB3D4" w:rsidR="00C6457C" w:rsidRPr="006F3B5C" w:rsidRDefault="00C6457C" w:rsidP="00510367">
            <w:pPr>
              <w:pStyle w:val="BlockText"/>
            </w:pPr>
            <w:r w:rsidRPr="006F3B5C">
              <w:t xml:space="preserve">Generally, a claim for dental treatment may be rated on service records without a dental examination. However, a dental examination may be required to identify teeth or chronic periodontal disease for which </w:t>
            </w:r>
            <w:r w:rsidR="003D11AA" w:rsidRPr="006F3B5C">
              <w:t xml:space="preserve">service connection </w:t>
            </w:r>
            <w:r w:rsidRPr="006F3B5C">
              <w:t xml:space="preserve">for treatment or examination purposes may be in order under </w:t>
            </w:r>
            <w:hyperlink r:id="rId82" w:history="1">
              <w:r w:rsidRPr="006F3B5C">
                <w:rPr>
                  <w:rStyle w:val="Hyperlink"/>
                </w:rPr>
                <w:t>38 CFR 17.160</w:t>
              </w:r>
            </w:hyperlink>
            <w:r w:rsidRPr="006F3B5C">
              <w:t>.</w:t>
            </w:r>
          </w:p>
          <w:p w14:paraId="65E40EFB" w14:textId="77777777" w:rsidR="00C6457C" w:rsidRPr="006F3B5C" w:rsidRDefault="00C6457C" w:rsidP="00510367">
            <w:pPr>
              <w:pStyle w:val="BlockText"/>
            </w:pPr>
          </w:p>
        </w:tc>
      </w:tr>
    </w:tbl>
    <w:p w14:paraId="65E40EFD" w14:textId="77777777" w:rsidR="00C6457C" w:rsidRPr="006F3B5C" w:rsidRDefault="00565A9F" w:rsidP="00EA24A2">
      <w:r w:rsidRPr="006F3B5C">
        <w:br w:type="page"/>
      </w:r>
    </w:p>
    <w:p w14:paraId="65E40EFE" w14:textId="12332A6A" w:rsidR="00E7406A" w:rsidRPr="006F3B5C" w:rsidRDefault="00E7406A" w:rsidP="009735A3">
      <w:pPr>
        <w:pStyle w:val="Heading4"/>
      </w:pPr>
      <w:r w:rsidRPr="006F3B5C">
        <w:lastRenderedPageBreak/>
        <w:t xml:space="preserve">3.  </w:t>
      </w:r>
      <w:r w:rsidR="00986504" w:rsidRPr="006F3B5C">
        <w:t xml:space="preserve">Service Connected </w:t>
      </w:r>
      <w:r w:rsidR="009735A3" w:rsidRPr="006F3B5C">
        <w:t xml:space="preserve">(SC) </w:t>
      </w:r>
      <w:r w:rsidR="00986504" w:rsidRPr="006F3B5C">
        <w:t xml:space="preserve">Compensation for </w:t>
      </w:r>
      <w:r w:rsidRPr="006F3B5C">
        <w:t xml:space="preserve">Dental </w:t>
      </w:r>
      <w:r w:rsidR="00986504" w:rsidRPr="006F3B5C">
        <w:t>Disabilities</w:t>
      </w:r>
    </w:p>
    <w:p w14:paraId="65E40EFF" w14:textId="77777777" w:rsidR="00E7406A" w:rsidRPr="006F3B5C" w:rsidRDefault="00E7406A">
      <w:pPr>
        <w:pStyle w:val="BlockLine"/>
      </w:pPr>
      <w:r w:rsidRPr="006F3B5C">
        <w:fldChar w:fldCharType="begin"/>
      </w:r>
      <w:r w:rsidRPr="006F3B5C">
        <w:instrText xml:space="preserve"> PRIVATE INFOTYPE="OTHER"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0F08" w14:textId="77777777" w:rsidTr="0087122C">
        <w:trPr>
          <w:cantSplit/>
        </w:trPr>
        <w:tc>
          <w:tcPr>
            <w:tcW w:w="1728" w:type="dxa"/>
            <w:shd w:val="clear" w:color="auto" w:fill="auto"/>
          </w:tcPr>
          <w:p w14:paraId="65E40F00" w14:textId="77777777" w:rsidR="00E7406A" w:rsidRPr="006F3B5C" w:rsidRDefault="00E7406A">
            <w:pPr>
              <w:pStyle w:val="Heading5"/>
            </w:pPr>
            <w:r w:rsidRPr="006F3B5C">
              <w:t>Introduction</w:t>
            </w:r>
          </w:p>
        </w:tc>
        <w:tc>
          <w:tcPr>
            <w:tcW w:w="7740" w:type="dxa"/>
            <w:shd w:val="clear" w:color="auto" w:fill="auto"/>
          </w:tcPr>
          <w:p w14:paraId="65E40F01" w14:textId="0B4468C9" w:rsidR="00E7406A" w:rsidRPr="006F3B5C" w:rsidRDefault="00E7406A" w:rsidP="0087122C">
            <w:pPr>
              <w:pStyle w:val="BlockText"/>
            </w:pPr>
            <w:r w:rsidRPr="006F3B5C">
              <w:t>This</w:t>
            </w:r>
            <w:r w:rsidR="00C65DEF" w:rsidRPr="006F3B5C">
              <w:t xml:space="preserve"> topic contains information on </w:t>
            </w:r>
            <w:r w:rsidR="00A4698C" w:rsidRPr="006F3B5C">
              <w:t xml:space="preserve">SC </w:t>
            </w:r>
            <w:r w:rsidR="00C65DEF" w:rsidRPr="006F3B5C">
              <w:t>compensation for dental disabilities including</w:t>
            </w:r>
          </w:p>
          <w:p w14:paraId="65E40F02" w14:textId="77777777" w:rsidR="00E7406A" w:rsidRPr="006F3B5C" w:rsidRDefault="00E7406A" w:rsidP="0087122C">
            <w:pPr>
              <w:pStyle w:val="BlockText"/>
            </w:pPr>
          </w:p>
          <w:p w14:paraId="65E40F03" w14:textId="3852B7B0" w:rsidR="008823C8" w:rsidRPr="006F3B5C" w:rsidRDefault="00DD59CE" w:rsidP="007F342D">
            <w:pPr>
              <w:pStyle w:val="BulletText1"/>
            </w:pPr>
            <w:hyperlink w:anchor="_a._Service_ConnectionC" w:history="1">
              <w:r w:rsidR="009735A3" w:rsidRPr="006F3B5C">
                <w:rPr>
                  <w:rStyle w:val="Hyperlink"/>
                </w:rPr>
                <w:t>service connection</w:t>
              </w:r>
              <w:r w:rsidR="007F342D" w:rsidRPr="006F3B5C">
                <w:rPr>
                  <w:rStyle w:val="Hyperlink"/>
                </w:rPr>
                <w:t xml:space="preserve"> of dental/oral disabilities for compensation purposes</w:t>
              </w:r>
            </w:hyperlink>
          </w:p>
          <w:p w14:paraId="65E40F04" w14:textId="1AA62ADA" w:rsidR="007F342D" w:rsidRPr="006F3B5C" w:rsidRDefault="00DD59CE" w:rsidP="007F342D">
            <w:pPr>
              <w:pStyle w:val="BulletText1"/>
            </w:pPr>
            <w:hyperlink w:anchor="_b._Dental_Exams" w:history="1">
              <w:r w:rsidR="009735A3" w:rsidRPr="006F3B5C">
                <w:rPr>
                  <w:rStyle w:val="Hyperlink"/>
                </w:rPr>
                <w:t>d</w:t>
              </w:r>
              <w:r w:rsidR="007F342D" w:rsidRPr="006F3B5C">
                <w:rPr>
                  <w:rStyle w:val="Hyperlink"/>
                </w:rPr>
                <w:t>ental exams in compensation cases</w:t>
              </w:r>
            </w:hyperlink>
          </w:p>
          <w:p w14:paraId="65E40F05" w14:textId="73C6B3A0" w:rsidR="007F342D" w:rsidRPr="006F3B5C" w:rsidRDefault="00DD59CE" w:rsidP="007F342D">
            <w:pPr>
              <w:pStyle w:val="BulletText1"/>
            </w:pPr>
            <w:hyperlink w:anchor="_c._Denying_Dental" w:history="1">
              <w:r w:rsidR="009735A3" w:rsidRPr="006F3B5C">
                <w:rPr>
                  <w:rStyle w:val="Hyperlink"/>
                </w:rPr>
                <w:t>d</w:t>
              </w:r>
              <w:r w:rsidR="007F342D" w:rsidRPr="006F3B5C">
                <w:rPr>
                  <w:rStyle w:val="Hyperlink"/>
                </w:rPr>
                <w:t xml:space="preserve">enying dental claims for </w:t>
              </w:r>
              <w:r w:rsidR="00A4698C" w:rsidRPr="006F3B5C">
                <w:rPr>
                  <w:rStyle w:val="Hyperlink"/>
                </w:rPr>
                <w:t>SC</w:t>
              </w:r>
              <w:r w:rsidR="007F342D" w:rsidRPr="006F3B5C">
                <w:rPr>
                  <w:rStyle w:val="Hyperlink"/>
                </w:rPr>
                <w:t xml:space="preserve"> compensation</w:t>
              </w:r>
            </w:hyperlink>
          </w:p>
          <w:p w14:paraId="65E40F06" w14:textId="28E5F770" w:rsidR="007F342D" w:rsidRPr="006F3B5C" w:rsidRDefault="00DD59CE" w:rsidP="007F342D">
            <w:pPr>
              <w:pStyle w:val="BulletText1"/>
            </w:pPr>
            <w:hyperlink w:anchor="_d.__Rating" w:history="1">
              <w:r w:rsidR="009735A3" w:rsidRPr="006F3B5C">
                <w:rPr>
                  <w:rStyle w:val="Hyperlink"/>
                </w:rPr>
                <w:t>r</w:t>
              </w:r>
              <w:r w:rsidR="007F342D" w:rsidRPr="006F3B5C">
                <w:rPr>
                  <w:rStyle w:val="Hyperlink"/>
                </w:rPr>
                <w:t>ating bony abnormalities of the jaw</w:t>
              </w:r>
            </w:hyperlink>
          </w:p>
          <w:p w14:paraId="65E40F07" w14:textId="06C6E222" w:rsidR="007F342D" w:rsidRPr="006F3B5C" w:rsidRDefault="007F342D" w:rsidP="00A23E38">
            <w:pPr>
              <w:pStyle w:val="BlockText"/>
            </w:pPr>
          </w:p>
        </w:tc>
      </w:tr>
    </w:tbl>
    <w:p w14:paraId="65E40F09" w14:textId="77777777" w:rsidR="00E7406A" w:rsidRPr="006F3B5C"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0F0C" w14:textId="77777777" w:rsidTr="0087122C">
        <w:trPr>
          <w:cantSplit/>
        </w:trPr>
        <w:tc>
          <w:tcPr>
            <w:tcW w:w="1728" w:type="dxa"/>
            <w:shd w:val="clear" w:color="auto" w:fill="auto"/>
          </w:tcPr>
          <w:p w14:paraId="65E40F0A" w14:textId="77777777" w:rsidR="00E7406A" w:rsidRPr="006F3B5C" w:rsidRDefault="00E7406A">
            <w:pPr>
              <w:pStyle w:val="Heading5"/>
            </w:pPr>
            <w:r w:rsidRPr="006F3B5C">
              <w:t>Change Date</w:t>
            </w:r>
          </w:p>
        </w:tc>
        <w:tc>
          <w:tcPr>
            <w:tcW w:w="7740" w:type="dxa"/>
            <w:shd w:val="clear" w:color="auto" w:fill="auto"/>
          </w:tcPr>
          <w:p w14:paraId="65E40F0B" w14:textId="59CB2C76" w:rsidR="00E7406A" w:rsidRPr="006F3B5C" w:rsidRDefault="006F3B5C" w:rsidP="0087122C">
            <w:pPr>
              <w:pStyle w:val="BlockText"/>
            </w:pPr>
            <w:r w:rsidRPr="006F3B5C">
              <w:t>January 20, 2015</w:t>
            </w:r>
          </w:p>
        </w:tc>
      </w:tr>
    </w:tbl>
    <w:p w14:paraId="65E40F0D" w14:textId="77777777" w:rsidR="00E7406A" w:rsidRPr="006F3B5C" w:rsidRDefault="00D76FF0" w:rsidP="00C65DEF">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C65DEF" w:rsidRPr="006F3B5C" w14:paraId="65E40F17" w14:textId="77777777" w:rsidTr="00C65DEF">
        <w:tc>
          <w:tcPr>
            <w:tcW w:w="1728" w:type="dxa"/>
            <w:shd w:val="clear" w:color="auto" w:fill="auto"/>
          </w:tcPr>
          <w:p w14:paraId="65E40F0E" w14:textId="585DB573" w:rsidR="00C65DEF" w:rsidRPr="006F3B5C" w:rsidRDefault="005737CC" w:rsidP="00EA24A2">
            <w:pPr>
              <w:pStyle w:val="Heading5"/>
            </w:pPr>
            <w:bookmarkStart w:id="31" w:name="_a._Service_ConnectionC"/>
            <w:bookmarkEnd w:id="31"/>
            <w:r w:rsidRPr="006F3B5C">
              <w:t xml:space="preserve">a. </w:t>
            </w:r>
            <w:r w:rsidR="007F342D" w:rsidRPr="006F3B5C">
              <w:t>S</w:t>
            </w:r>
            <w:r w:rsidR="009735A3" w:rsidRPr="006F3B5C">
              <w:t>ervice Connection</w:t>
            </w:r>
            <w:r w:rsidR="00874DEC" w:rsidRPr="006F3B5C">
              <w:t xml:space="preserve"> of Dental/Oral Disabilities for Compensation</w:t>
            </w:r>
            <w:r w:rsidR="007F342D" w:rsidRPr="006F3B5C">
              <w:t xml:space="preserve"> Purposes</w:t>
            </w:r>
          </w:p>
        </w:tc>
        <w:tc>
          <w:tcPr>
            <w:tcW w:w="7740" w:type="dxa"/>
            <w:shd w:val="clear" w:color="auto" w:fill="auto"/>
          </w:tcPr>
          <w:p w14:paraId="65E40F0F" w14:textId="09D12124" w:rsidR="006565C3" w:rsidRPr="006F3B5C" w:rsidRDefault="007C27BC" w:rsidP="00FA7452">
            <w:pPr>
              <w:pStyle w:val="BlockText"/>
            </w:pPr>
            <w:r w:rsidRPr="006F3B5C">
              <w:t>C</w:t>
            </w:r>
            <w:r w:rsidR="00FA7452" w:rsidRPr="006F3B5C">
              <w:t xml:space="preserve">laims for </w:t>
            </w:r>
            <w:r w:rsidR="009735A3" w:rsidRPr="006F3B5C">
              <w:t>service connection</w:t>
            </w:r>
            <w:r w:rsidR="00FA7452" w:rsidRPr="006F3B5C">
              <w:t xml:space="preserve"> for </w:t>
            </w:r>
            <w:r w:rsidR="00FA7452" w:rsidRPr="006F3B5C">
              <w:rPr>
                <w:b/>
                <w:i/>
              </w:rPr>
              <w:t>dental disabilities</w:t>
            </w:r>
            <w:r w:rsidR="00FA7452" w:rsidRPr="006F3B5C">
              <w:t xml:space="preserve"> are </w:t>
            </w:r>
            <w:r w:rsidR="006F2185" w:rsidRPr="006F3B5C">
              <w:t xml:space="preserve">developed and decided in line </w:t>
            </w:r>
            <w:proofErr w:type="gramStart"/>
            <w:r w:rsidR="006F2185" w:rsidRPr="006F3B5C">
              <w:t>with</w:t>
            </w:r>
            <w:r w:rsidR="00907CB1" w:rsidRPr="006F3B5C">
              <w:t xml:space="preserve"> </w:t>
            </w:r>
            <w:r w:rsidR="006F2185" w:rsidRPr="006F3B5C">
              <w:t xml:space="preserve"> policies</w:t>
            </w:r>
            <w:proofErr w:type="gramEnd"/>
            <w:r w:rsidR="006F2185" w:rsidRPr="006F3B5C">
              <w:t xml:space="preserve"> and procedures</w:t>
            </w:r>
            <w:r w:rsidR="00FA7452" w:rsidRPr="006F3B5C">
              <w:t xml:space="preserve"> that apply to</w:t>
            </w:r>
            <w:r w:rsidR="00CE45DB" w:rsidRPr="006F3B5C">
              <w:t xml:space="preserve"> </w:t>
            </w:r>
            <w:r w:rsidR="009735A3" w:rsidRPr="006F3B5C">
              <w:t>service connection</w:t>
            </w:r>
            <w:r w:rsidR="006F2185" w:rsidRPr="006F3B5C">
              <w:t xml:space="preserve"> for compensation purposes of conditions of other body systems.  </w:t>
            </w:r>
          </w:p>
          <w:p w14:paraId="1C914563" w14:textId="77777777" w:rsidR="006F2185" w:rsidRPr="006F3B5C" w:rsidRDefault="006F2185" w:rsidP="006F2185">
            <w:pPr>
              <w:pStyle w:val="BlockText"/>
            </w:pPr>
          </w:p>
          <w:p w14:paraId="47FE991C" w14:textId="36F10D50" w:rsidR="006F2185" w:rsidRPr="006F3B5C" w:rsidRDefault="006F2185" w:rsidP="006F2185">
            <w:pPr>
              <w:pStyle w:val="BlockText"/>
            </w:pPr>
            <w:r w:rsidRPr="006F3B5C">
              <w:t>Notify VHA when the rating</w:t>
            </w:r>
            <w:r w:rsidR="0063578A" w:rsidRPr="006F3B5C">
              <w:t xml:space="preserve"> establishing </w:t>
            </w:r>
            <w:r w:rsidR="009735A3" w:rsidRPr="006F3B5C">
              <w:t xml:space="preserve">service connection </w:t>
            </w:r>
            <w:r w:rsidR="0063578A" w:rsidRPr="006F3B5C">
              <w:t xml:space="preserve">of a compensable dental disability for compensation </w:t>
            </w:r>
            <w:proofErr w:type="gramStart"/>
            <w:r w:rsidR="0063578A" w:rsidRPr="006F3B5C">
              <w:t xml:space="preserve">purposes </w:t>
            </w:r>
            <w:r w:rsidRPr="006F3B5C">
              <w:t xml:space="preserve"> is</w:t>
            </w:r>
            <w:proofErr w:type="gramEnd"/>
            <w:r w:rsidRPr="006F3B5C">
              <w:t xml:space="preserve"> prepared.</w:t>
            </w:r>
            <w:r w:rsidR="0063578A" w:rsidRPr="006F3B5C">
              <w:t xml:space="preserve"> </w:t>
            </w:r>
          </w:p>
          <w:p w14:paraId="65E40F12" w14:textId="77777777" w:rsidR="00FA7452" w:rsidRPr="006F3B5C" w:rsidRDefault="00FA7452" w:rsidP="00FA7452">
            <w:pPr>
              <w:pStyle w:val="BlockText"/>
            </w:pPr>
          </w:p>
          <w:p w14:paraId="0C1F9A4B" w14:textId="6F31C731" w:rsidR="006F2185" w:rsidRPr="006F3B5C" w:rsidRDefault="006F2185" w:rsidP="00FA7452">
            <w:pPr>
              <w:pStyle w:val="BlockText"/>
            </w:pPr>
            <w:r w:rsidRPr="006F3B5C">
              <w:rPr>
                <w:b/>
                <w:i/>
              </w:rPr>
              <w:t>Reference</w:t>
            </w:r>
            <w:r w:rsidRPr="006F3B5C">
              <w:t xml:space="preserve">: For </w:t>
            </w:r>
            <w:r w:rsidR="00907CB1" w:rsidRPr="006F3B5C">
              <w:t xml:space="preserve">more information on interpreting claims raising dental issues and the </w:t>
            </w:r>
            <w:r w:rsidRPr="006F3B5C">
              <w:t xml:space="preserve"> definition of a dental disability, see </w:t>
            </w:r>
            <w:hyperlink r:id="rId83" w:history="1">
              <w:r w:rsidRPr="006F3B5C">
                <w:rPr>
                  <w:rStyle w:val="Hyperlink"/>
                </w:rPr>
                <w:t>M21-1MR, Part IX, Subpart ii, 2.2.</w:t>
              </w:r>
              <w:r w:rsidR="0063578A" w:rsidRPr="006F3B5C">
                <w:rPr>
                  <w:rStyle w:val="Hyperlink"/>
                </w:rPr>
                <w:t>a</w:t>
              </w:r>
            </w:hyperlink>
          </w:p>
          <w:p w14:paraId="65E40F16" w14:textId="77777777" w:rsidR="00594F6E" w:rsidRPr="006F3B5C" w:rsidRDefault="00594F6E" w:rsidP="006F2185">
            <w:pPr>
              <w:pStyle w:val="BlockText"/>
            </w:pPr>
          </w:p>
        </w:tc>
      </w:tr>
    </w:tbl>
    <w:p w14:paraId="65E40F18" w14:textId="77777777" w:rsidR="00287A82" w:rsidRPr="006F3B5C" w:rsidRDefault="00D426E6" w:rsidP="00606B4E">
      <w:pPr>
        <w:pStyle w:val="BlockLine"/>
      </w:pPr>
      <w:r w:rsidRPr="006F3B5C">
        <w:fldChar w:fldCharType="begin"/>
      </w:r>
      <w:r w:rsidRPr="006F3B5C">
        <w:instrText xml:space="preserve"> PRIVATE INFOTYPE="CONCEPT" </w:instrText>
      </w:r>
      <w:r w:rsidRPr="006F3B5C">
        <w:fldChar w:fldCharType="end"/>
      </w:r>
    </w:p>
    <w:tbl>
      <w:tblPr>
        <w:tblW w:w="0" w:type="auto"/>
        <w:tblLayout w:type="fixed"/>
        <w:tblLook w:val="0000" w:firstRow="0" w:lastRow="0" w:firstColumn="0" w:lastColumn="0" w:noHBand="0" w:noVBand="0"/>
      </w:tblPr>
      <w:tblGrid>
        <w:gridCol w:w="1728"/>
        <w:gridCol w:w="7740"/>
      </w:tblGrid>
      <w:tr w:rsidR="00606B4E" w:rsidRPr="006F3B5C" w14:paraId="65E40F1B" w14:textId="77777777" w:rsidTr="00606B4E">
        <w:tc>
          <w:tcPr>
            <w:tcW w:w="1728" w:type="dxa"/>
            <w:shd w:val="clear" w:color="auto" w:fill="auto"/>
          </w:tcPr>
          <w:p w14:paraId="65E40F19" w14:textId="77777777" w:rsidR="00606B4E" w:rsidRPr="006F3B5C" w:rsidRDefault="005737CC" w:rsidP="00606B4E">
            <w:pPr>
              <w:pStyle w:val="Heading5"/>
            </w:pPr>
            <w:bookmarkStart w:id="32" w:name="_b._Dental_Exams"/>
            <w:bookmarkEnd w:id="32"/>
            <w:r w:rsidRPr="006F3B5C">
              <w:t xml:space="preserve">b. </w:t>
            </w:r>
            <w:r w:rsidR="00606B4E" w:rsidRPr="006F3B5C">
              <w:t>Dental Exams in Compensation Claims</w:t>
            </w:r>
          </w:p>
        </w:tc>
        <w:tc>
          <w:tcPr>
            <w:tcW w:w="7740" w:type="dxa"/>
            <w:shd w:val="clear" w:color="auto" w:fill="auto"/>
          </w:tcPr>
          <w:p w14:paraId="65E40F1A" w14:textId="140BAA6A" w:rsidR="00606B4E" w:rsidRPr="006F3B5C" w:rsidRDefault="00606B4E" w:rsidP="00606B4E">
            <w:pPr>
              <w:pStyle w:val="BlockText"/>
            </w:pPr>
            <w:r w:rsidRPr="006F3B5C">
              <w:rPr>
                <w:b/>
                <w:i/>
              </w:rPr>
              <w:t>Reference</w:t>
            </w:r>
            <w:r w:rsidRPr="006F3B5C">
              <w:t xml:space="preserve">: For more information on when an examination is necessary under the duty to assist see </w:t>
            </w:r>
            <w:hyperlink r:id="rId84" w:history="1">
              <w:r w:rsidRPr="006F3B5C">
                <w:rPr>
                  <w:rStyle w:val="Hyperlink"/>
                </w:rPr>
                <w:t>M21-1MR Part I, Subpart 1, C</w:t>
              </w:r>
            </w:hyperlink>
            <w:r w:rsidR="0063578A" w:rsidRPr="006F3B5C">
              <w:rPr>
                <w:rStyle w:val="Hyperlink"/>
              </w:rPr>
              <w:t>.7</w:t>
            </w:r>
            <w:r w:rsidRPr="006F3B5C">
              <w:t>.</w:t>
            </w:r>
          </w:p>
        </w:tc>
      </w:tr>
    </w:tbl>
    <w:p w14:paraId="65E40F1F" w14:textId="77777777" w:rsidR="00D426E6" w:rsidRPr="006F3B5C" w:rsidRDefault="008B7568" w:rsidP="00D426E6">
      <w:pPr>
        <w:pStyle w:val="BlockLine"/>
      </w:pPr>
      <w:r w:rsidRPr="006F3B5C">
        <w:fldChar w:fldCharType="begin"/>
      </w:r>
      <w:r w:rsidRPr="006F3B5C">
        <w:instrText xml:space="preserve"> PRIVATE INFOTYPE="PROCEDURE" </w:instrText>
      </w:r>
      <w:r w:rsidRPr="006F3B5C">
        <w:fldChar w:fldCharType="end"/>
      </w:r>
    </w:p>
    <w:tbl>
      <w:tblPr>
        <w:tblW w:w="0" w:type="auto"/>
        <w:tblLayout w:type="fixed"/>
        <w:tblLook w:val="0000" w:firstRow="0" w:lastRow="0" w:firstColumn="0" w:lastColumn="0" w:noHBand="0" w:noVBand="0"/>
      </w:tblPr>
      <w:tblGrid>
        <w:gridCol w:w="1728"/>
        <w:gridCol w:w="7740"/>
      </w:tblGrid>
      <w:tr w:rsidR="00287A82" w:rsidRPr="006F3B5C" w14:paraId="65E40F2A" w14:textId="77777777" w:rsidTr="006565C3">
        <w:trPr>
          <w:trHeight w:val="2808"/>
        </w:trPr>
        <w:tc>
          <w:tcPr>
            <w:tcW w:w="1728" w:type="dxa"/>
            <w:shd w:val="clear" w:color="auto" w:fill="auto"/>
          </w:tcPr>
          <w:p w14:paraId="65E40F20" w14:textId="77777777" w:rsidR="00287A82" w:rsidRPr="006F3B5C" w:rsidRDefault="005737CC" w:rsidP="001150F4">
            <w:pPr>
              <w:pStyle w:val="Heading5"/>
            </w:pPr>
            <w:bookmarkStart w:id="33" w:name="_c._Denying_Dental"/>
            <w:bookmarkEnd w:id="33"/>
            <w:r w:rsidRPr="006F3B5C">
              <w:t xml:space="preserve">c. </w:t>
            </w:r>
            <w:r w:rsidR="00712C7B" w:rsidRPr="006F3B5C">
              <w:t xml:space="preserve">Denying Dental Claims for </w:t>
            </w:r>
            <w:r w:rsidR="001150F4" w:rsidRPr="006F3B5C">
              <w:t>SC</w:t>
            </w:r>
            <w:r w:rsidR="007F342D" w:rsidRPr="006F3B5C">
              <w:t xml:space="preserve"> Compensation</w:t>
            </w:r>
          </w:p>
        </w:tc>
        <w:tc>
          <w:tcPr>
            <w:tcW w:w="7740" w:type="dxa"/>
            <w:shd w:val="clear" w:color="auto" w:fill="auto"/>
          </w:tcPr>
          <w:p w14:paraId="65E40F21" w14:textId="6EB8CF64" w:rsidR="00712C7B" w:rsidRPr="006F3B5C" w:rsidRDefault="00712C7B" w:rsidP="007F342D">
            <w:pPr>
              <w:pStyle w:val="BlockText"/>
            </w:pPr>
            <w:r w:rsidRPr="006F3B5C">
              <w:t xml:space="preserve">Consider the issue of </w:t>
            </w:r>
            <w:r w:rsidR="009735A3" w:rsidRPr="006F3B5C">
              <w:t xml:space="preserve">service connection </w:t>
            </w:r>
            <w:r w:rsidRPr="006F3B5C">
              <w:t xml:space="preserve">for </w:t>
            </w:r>
            <w:r w:rsidR="005737CC" w:rsidRPr="006F3B5C">
              <w:t xml:space="preserve">compensation purposes for </w:t>
            </w:r>
            <w:r w:rsidRPr="006F3B5C">
              <w:t>the conditions listed in</w:t>
            </w:r>
            <w:r w:rsidR="005737CC" w:rsidRPr="006F3B5C">
              <w:t xml:space="preserve"> </w:t>
            </w:r>
            <w:hyperlink r:id="rId85" w:history="1">
              <w:r w:rsidR="007F342D" w:rsidRPr="006F3B5C">
                <w:rPr>
                  <w:rStyle w:val="Hyperlink"/>
                </w:rPr>
                <w:t>38 CFR 3.381(b)</w:t>
              </w:r>
            </w:hyperlink>
            <w:r w:rsidR="007F342D" w:rsidRPr="006F3B5C">
              <w:t xml:space="preserve"> </w:t>
            </w:r>
            <w:r w:rsidRPr="006F3B5C">
              <w:t xml:space="preserve">in a formal rating and deny the claim if </w:t>
            </w:r>
          </w:p>
          <w:p w14:paraId="65E40F22" w14:textId="77777777" w:rsidR="00712C7B" w:rsidRPr="006F3B5C" w:rsidRDefault="00712C7B" w:rsidP="00712C7B">
            <w:pPr>
              <w:pStyle w:val="BlockText"/>
            </w:pPr>
          </w:p>
          <w:p w14:paraId="65E40F23" w14:textId="77777777" w:rsidR="00712C7B" w:rsidRPr="006F3B5C" w:rsidRDefault="00712C7B" w:rsidP="00712C7B">
            <w:pPr>
              <w:pStyle w:val="BulletText1"/>
            </w:pPr>
            <w:r w:rsidRPr="006F3B5C">
              <w:t>a Veteran claims compensation for one of these conditi</w:t>
            </w:r>
            <w:r w:rsidR="005737CC" w:rsidRPr="006F3B5C">
              <w:t xml:space="preserve">ons </w:t>
            </w:r>
            <w:r w:rsidRPr="006F3B5C">
              <w:t>and</w:t>
            </w:r>
          </w:p>
          <w:p w14:paraId="65E40F24" w14:textId="42F92112" w:rsidR="00712C7B" w:rsidRPr="006F3B5C" w:rsidRDefault="00712C7B" w:rsidP="00712C7B">
            <w:pPr>
              <w:pStyle w:val="BulletText1"/>
            </w:pPr>
            <w:proofErr w:type="gramStart"/>
            <w:r w:rsidRPr="006F3B5C">
              <w:t>the</w:t>
            </w:r>
            <w:proofErr w:type="gramEnd"/>
            <w:r w:rsidRPr="006F3B5C">
              <w:t xml:space="preserve"> record shows no complicating condition </w:t>
            </w:r>
            <w:r w:rsidR="005737CC" w:rsidRPr="006F3B5C">
              <w:t>that</w:t>
            </w:r>
            <w:r w:rsidR="00EF1516" w:rsidRPr="006F3B5C">
              <w:t xml:space="preserve"> is </w:t>
            </w:r>
            <w:r w:rsidR="001150F4" w:rsidRPr="006F3B5C">
              <w:t xml:space="preserve">subject to </w:t>
            </w:r>
            <w:r w:rsidR="009735A3" w:rsidRPr="006F3B5C">
              <w:t>service connection</w:t>
            </w:r>
            <w:r w:rsidRPr="006F3B5C">
              <w:t>.</w:t>
            </w:r>
          </w:p>
          <w:p w14:paraId="65E40F25" w14:textId="77777777" w:rsidR="00EA25E6" w:rsidRPr="006F3B5C" w:rsidRDefault="00EA25E6" w:rsidP="00EA25E6">
            <w:pPr>
              <w:pStyle w:val="BlockText"/>
            </w:pPr>
          </w:p>
          <w:p w14:paraId="65E40F29" w14:textId="6A767F09" w:rsidR="00287A82" w:rsidRPr="006F3B5C" w:rsidRDefault="00EA25E6" w:rsidP="0063578A">
            <w:pPr>
              <w:pStyle w:val="BlockText"/>
            </w:pPr>
            <w:r w:rsidRPr="006F3B5C">
              <w:t>In the narrative</w:t>
            </w:r>
            <w:r w:rsidRPr="006F3B5C">
              <w:rPr>
                <w:i/>
              </w:rPr>
              <w:t xml:space="preserve"> </w:t>
            </w:r>
            <w:r w:rsidRPr="006F3B5C">
              <w:t xml:space="preserve">of the rating decision, discuss that under the regulation </w:t>
            </w:r>
            <w:r w:rsidR="009735A3" w:rsidRPr="006F3B5C">
              <w:t>service connection</w:t>
            </w:r>
            <w:r w:rsidRPr="006F3B5C">
              <w:t xml:space="preserve"> for such conditions can be established only for treatment </w:t>
            </w:r>
            <w:proofErr w:type="gramStart"/>
            <w:r w:rsidRPr="006F3B5C">
              <w:t>purposes,</w:t>
            </w:r>
            <w:proofErr w:type="gramEnd"/>
            <w:r w:rsidRPr="006F3B5C">
              <w:t xml:space="preserve"> and note if dental treatment in service was limited to conditions affecting only the teeth or gums.</w:t>
            </w:r>
          </w:p>
        </w:tc>
      </w:tr>
    </w:tbl>
    <w:p w14:paraId="65E40F2B" w14:textId="77777777" w:rsidR="00287A82" w:rsidRPr="006F3B5C" w:rsidRDefault="008B7568" w:rsidP="00287A82">
      <w:pPr>
        <w:pStyle w:val="BlockLine"/>
      </w:pPr>
      <w:r w:rsidRPr="006F3B5C">
        <w:lastRenderedPageBreak/>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0F2E" w14:textId="77777777" w:rsidTr="0087122C">
        <w:trPr>
          <w:cantSplit/>
        </w:trPr>
        <w:tc>
          <w:tcPr>
            <w:tcW w:w="1728" w:type="dxa"/>
            <w:shd w:val="clear" w:color="auto" w:fill="auto"/>
          </w:tcPr>
          <w:p w14:paraId="65E40F2C" w14:textId="77777777" w:rsidR="00E7406A" w:rsidRPr="006F3B5C" w:rsidRDefault="005737CC">
            <w:pPr>
              <w:pStyle w:val="Heading5"/>
            </w:pPr>
            <w:bookmarkStart w:id="34" w:name="_d.__Rating"/>
            <w:bookmarkEnd w:id="34"/>
            <w:proofErr w:type="gramStart"/>
            <w:r w:rsidRPr="006F3B5C">
              <w:t>d</w:t>
            </w:r>
            <w:r w:rsidR="00E7406A" w:rsidRPr="006F3B5C">
              <w:t>.  Rating</w:t>
            </w:r>
            <w:proofErr w:type="gramEnd"/>
            <w:r w:rsidR="00E7406A" w:rsidRPr="006F3B5C">
              <w:t xml:space="preserve"> Bony Abnormalities of the Jaw</w:t>
            </w:r>
          </w:p>
        </w:tc>
        <w:tc>
          <w:tcPr>
            <w:tcW w:w="7740" w:type="dxa"/>
            <w:shd w:val="clear" w:color="auto" w:fill="auto"/>
          </w:tcPr>
          <w:p w14:paraId="65E40F2D" w14:textId="5EF471C1" w:rsidR="00E7406A" w:rsidRPr="006F3B5C" w:rsidRDefault="00E7406A" w:rsidP="001150F4">
            <w:pPr>
              <w:pStyle w:val="BlockText"/>
            </w:pPr>
            <w:r w:rsidRPr="006F3B5C">
              <w:t xml:space="preserve">Rate bony abnormalities of the jaw that are subject to </w:t>
            </w:r>
            <w:r w:rsidR="009735A3" w:rsidRPr="006F3B5C">
              <w:t>service connection</w:t>
            </w:r>
            <w:r w:rsidRPr="006F3B5C">
              <w:t xml:space="preserve"> according to the 99</w:t>
            </w:r>
            <w:r w:rsidR="003369C7" w:rsidRPr="006F3B5C">
              <w:t>00-</w:t>
            </w:r>
            <w:r w:rsidRPr="006F3B5C">
              <w:t xml:space="preserve">series </w:t>
            </w:r>
            <w:r w:rsidR="003369C7" w:rsidRPr="006F3B5C">
              <w:t>DCs</w:t>
            </w:r>
            <w:r w:rsidRPr="006F3B5C">
              <w:t>.</w:t>
            </w:r>
          </w:p>
        </w:tc>
      </w:tr>
    </w:tbl>
    <w:p w14:paraId="65E40F2F" w14:textId="31988009" w:rsidR="00E7406A" w:rsidRPr="006F3B5C" w:rsidRDefault="00E7406A" w:rsidP="008823C8">
      <w:pPr>
        <w:pStyle w:val="BlockLine"/>
      </w:pPr>
    </w:p>
    <w:p w14:paraId="65E40F37" w14:textId="77777777" w:rsidR="00E7406A" w:rsidRPr="006F3B5C" w:rsidRDefault="00E7406A">
      <w:pPr>
        <w:pStyle w:val="Heading4"/>
      </w:pPr>
      <w:r w:rsidRPr="006F3B5C">
        <w:br w:type="page"/>
      </w:r>
      <w:r w:rsidRPr="006F3B5C">
        <w:lastRenderedPageBreak/>
        <w:t>4.  Rating for Medical Care</w:t>
      </w:r>
    </w:p>
    <w:p w14:paraId="65E40F38" w14:textId="77777777" w:rsidR="00E7406A" w:rsidRPr="006F3B5C" w:rsidRDefault="00E7406A">
      <w:pPr>
        <w:pStyle w:val="BlockLine"/>
      </w:pPr>
      <w:r w:rsidRPr="006F3B5C">
        <w:fldChar w:fldCharType="begin"/>
      </w:r>
      <w:r w:rsidRPr="006F3B5C">
        <w:instrText xml:space="preserve"> PRIVATE INFOTYPE="OTHER"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0F3E" w14:textId="77777777" w:rsidTr="0087122C">
        <w:trPr>
          <w:cantSplit/>
        </w:trPr>
        <w:tc>
          <w:tcPr>
            <w:tcW w:w="1728" w:type="dxa"/>
            <w:shd w:val="clear" w:color="auto" w:fill="auto"/>
          </w:tcPr>
          <w:p w14:paraId="65E40F39" w14:textId="77777777" w:rsidR="00E7406A" w:rsidRPr="006F3B5C" w:rsidRDefault="00E7406A">
            <w:pPr>
              <w:pStyle w:val="Heading5"/>
            </w:pPr>
            <w:r w:rsidRPr="006F3B5C">
              <w:t>Introduction</w:t>
            </w:r>
          </w:p>
        </w:tc>
        <w:tc>
          <w:tcPr>
            <w:tcW w:w="7740" w:type="dxa"/>
            <w:shd w:val="clear" w:color="auto" w:fill="auto"/>
          </w:tcPr>
          <w:p w14:paraId="65E40F3A" w14:textId="77777777" w:rsidR="00E7406A" w:rsidRPr="006F3B5C" w:rsidRDefault="00E7406A" w:rsidP="0087122C">
            <w:pPr>
              <w:pStyle w:val="BlockText"/>
            </w:pPr>
            <w:r w:rsidRPr="006F3B5C">
              <w:t xml:space="preserve">This topic contains information on rating for medical care, including </w:t>
            </w:r>
          </w:p>
          <w:p w14:paraId="65E40F3B" w14:textId="77777777" w:rsidR="00E7406A" w:rsidRPr="006F3B5C" w:rsidRDefault="00E7406A" w:rsidP="0087122C">
            <w:pPr>
              <w:pStyle w:val="BlockText"/>
            </w:pPr>
          </w:p>
          <w:p w14:paraId="65E40F3C" w14:textId="77777777" w:rsidR="00E7406A" w:rsidRPr="006F3B5C" w:rsidRDefault="00E7406A">
            <w:pPr>
              <w:pStyle w:val="BulletText1"/>
            </w:pPr>
            <w:r w:rsidRPr="006F3B5C">
              <w:t>receiving requests for eligibility determinations</w:t>
            </w:r>
            <w:r w:rsidR="00F46252" w:rsidRPr="006F3B5C">
              <w:t xml:space="preserve"> for medical care</w:t>
            </w:r>
            <w:r w:rsidRPr="006F3B5C">
              <w:t>, and</w:t>
            </w:r>
          </w:p>
          <w:p w14:paraId="65E40F3D" w14:textId="77777777" w:rsidR="00E7406A" w:rsidRPr="006F3B5C" w:rsidRDefault="00E7406A">
            <w:pPr>
              <w:pStyle w:val="BulletText1"/>
            </w:pPr>
            <w:proofErr w:type="gramStart"/>
            <w:r w:rsidRPr="006F3B5C">
              <w:t>the</w:t>
            </w:r>
            <w:proofErr w:type="gramEnd"/>
            <w:r w:rsidRPr="006F3B5C">
              <w:t xml:space="preserve"> action to take after eligibility </w:t>
            </w:r>
            <w:r w:rsidR="00F46252" w:rsidRPr="006F3B5C">
              <w:t xml:space="preserve">for medical care </w:t>
            </w:r>
            <w:r w:rsidRPr="006F3B5C">
              <w:t>is determined.</w:t>
            </w:r>
          </w:p>
        </w:tc>
      </w:tr>
    </w:tbl>
    <w:p w14:paraId="65E40F3F" w14:textId="77777777" w:rsidR="00E7406A" w:rsidRPr="006F3B5C"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0F42" w14:textId="77777777" w:rsidTr="0087122C">
        <w:trPr>
          <w:cantSplit/>
        </w:trPr>
        <w:tc>
          <w:tcPr>
            <w:tcW w:w="1728" w:type="dxa"/>
            <w:shd w:val="clear" w:color="auto" w:fill="auto"/>
          </w:tcPr>
          <w:p w14:paraId="65E40F40" w14:textId="77777777" w:rsidR="00E7406A" w:rsidRPr="006F3B5C" w:rsidRDefault="00E7406A">
            <w:pPr>
              <w:pStyle w:val="Heading5"/>
            </w:pPr>
            <w:r w:rsidRPr="006F3B5C">
              <w:t>Change Date</w:t>
            </w:r>
          </w:p>
        </w:tc>
        <w:tc>
          <w:tcPr>
            <w:tcW w:w="7740" w:type="dxa"/>
            <w:shd w:val="clear" w:color="auto" w:fill="auto"/>
          </w:tcPr>
          <w:p w14:paraId="65E40F41" w14:textId="77777777" w:rsidR="00E7406A" w:rsidRPr="006F3B5C" w:rsidRDefault="00E7406A" w:rsidP="0087122C">
            <w:pPr>
              <w:pStyle w:val="BlockText"/>
            </w:pPr>
            <w:r w:rsidRPr="006F3B5C">
              <w:t>April 13, 2009</w:t>
            </w:r>
          </w:p>
        </w:tc>
      </w:tr>
    </w:tbl>
    <w:p w14:paraId="65E40F43" w14:textId="77777777" w:rsidR="00E7406A" w:rsidRPr="006F3B5C" w:rsidRDefault="00D76FF0">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0F4B" w14:textId="77777777" w:rsidTr="0087122C">
        <w:trPr>
          <w:cantSplit/>
        </w:trPr>
        <w:tc>
          <w:tcPr>
            <w:tcW w:w="1728" w:type="dxa"/>
            <w:shd w:val="clear" w:color="auto" w:fill="auto"/>
          </w:tcPr>
          <w:p w14:paraId="65E40F44" w14:textId="77777777" w:rsidR="00E7406A" w:rsidRPr="006F3B5C" w:rsidRDefault="00E7406A" w:rsidP="00F46252">
            <w:pPr>
              <w:pStyle w:val="Heading5"/>
            </w:pPr>
            <w:proofErr w:type="gramStart"/>
            <w:r w:rsidRPr="006F3B5C">
              <w:t>a.  Receiving</w:t>
            </w:r>
            <w:proofErr w:type="gramEnd"/>
            <w:r w:rsidRPr="006F3B5C">
              <w:t xml:space="preserve"> Requests for Eligibility Determinations</w:t>
            </w:r>
            <w:r w:rsidR="00F46252" w:rsidRPr="006F3B5C">
              <w:t xml:space="preserve"> for Medical Care</w:t>
            </w:r>
          </w:p>
        </w:tc>
        <w:tc>
          <w:tcPr>
            <w:tcW w:w="7740" w:type="dxa"/>
            <w:shd w:val="clear" w:color="auto" w:fill="auto"/>
          </w:tcPr>
          <w:p w14:paraId="65E40F45" w14:textId="77777777" w:rsidR="00E7406A" w:rsidRPr="006F3B5C" w:rsidRDefault="00E7406A" w:rsidP="0087122C">
            <w:pPr>
              <w:pStyle w:val="BlockText"/>
            </w:pPr>
            <w:r w:rsidRPr="006F3B5C">
              <w:t xml:space="preserve">VHA submits requests for eligibility determinations under </w:t>
            </w:r>
            <w:hyperlink r:id="rId86" w:history="1">
              <w:r w:rsidR="00F93E37" w:rsidRPr="006F3B5C">
                <w:rPr>
                  <w:rStyle w:val="Hyperlink"/>
                </w:rPr>
                <w:t>38 U.S.C. 1</w:t>
              </w:r>
              <w:r w:rsidRPr="006F3B5C">
                <w:rPr>
                  <w:rStyle w:val="Hyperlink"/>
                </w:rPr>
                <w:t>710</w:t>
              </w:r>
            </w:hyperlink>
            <w:r w:rsidRPr="006F3B5C">
              <w:t xml:space="preserve"> advising what information is required</w:t>
            </w:r>
          </w:p>
          <w:p w14:paraId="65E40F46" w14:textId="77777777" w:rsidR="00E7406A" w:rsidRPr="006F3B5C" w:rsidRDefault="00E7406A" w:rsidP="0087122C">
            <w:pPr>
              <w:pStyle w:val="BlockText"/>
            </w:pPr>
          </w:p>
          <w:p w14:paraId="65E40F47" w14:textId="77777777" w:rsidR="00E7406A" w:rsidRPr="006F3B5C" w:rsidRDefault="00E7406A">
            <w:pPr>
              <w:pStyle w:val="BulletText1"/>
            </w:pPr>
            <w:r w:rsidRPr="006F3B5C">
              <w:t>via CAPRI, or</w:t>
            </w:r>
          </w:p>
          <w:p w14:paraId="65E40F48" w14:textId="77777777" w:rsidR="00E7406A" w:rsidRPr="006F3B5C" w:rsidRDefault="00E7406A">
            <w:pPr>
              <w:pStyle w:val="BulletText1"/>
            </w:pPr>
            <w:proofErr w:type="gramStart"/>
            <w:r w:rsidRPr="006F3B5C">
              <w:t>on</w:t>
            </w:r>
            <w:proofErr w:type="gramEnd"/>
            <w:r w:rsidRPr="006F3B5C">
              <w:t xml:space="preserve"> </w:t>
            </w:r>
            <w:r w:rsidRPr="006F3B5C">
              <w:rPr>
                <w:i/>
              </w:rPr>
              <w:t>VA Form 10-7131</w:t>
            </w:r>
            <w:r w:rsidRPr="006F3B5C">
              <w:t>.</w:t>
            </w:r>
          </w:p>
          <w:p w14:paraId="65E40F49" w14:textId="77777777" w:rsidR="00E7406A" w:rsidRPr="006F3B5C" w:rsidRDefault="00E7406A" w:rsidP="0087122C">
            <w:pPr>
              <w:pStyle w:val="BlockText"/>
            </w:pPr>
          </w:p>
          <w:p w14:paraId="65E40F4A" w14:textId="77777777" w:rsidR="00E7406A" w:rsidRPr="006F3B5C" w:rsidRDefault="00E7406A" w:rsidP="0087122C">
            <w:pPr>
              <w:pStyle w:val="BlockText"/>
            </w:pPr>
            <w:r w:rsidRPr="006F3B5C">
              <w:rPr>
                <w:b/>
                <w:i/>
              </w:rPr>
              <w:t>Reference</w:t>
            </w:r>
            <w:r w:rsidRPr="006F3B5C">
              <w:t xml:space="preserve">:  For more information on eligibility for VA treatment, see </w:t>
            </w:r>
            <w:hyperlink r:id="rId87" w:history="1">
              <w:r w:rsidR="001E010F" w:rsidRPr="006F3B5C">
                <w:rPr>
                  <w:rStyle w:val="Hyperlink"/>
                </w:rPr>
                <w:t>M21-1MR, Part III, Subpart v, 7.A</w:t>
              </w:r>
            </w:hyperlink>
            <w:r w:rsidRPr="006F3B5C">
              <w:t>.</w:t>
            </w:r>
          </w:p>
        </w:tc>
      </w:tr>
    </w:tbl>
    <w:p w14:paraId="65E40F4C" w14:textId="77777777" w:rsidR="00E7406A" w:rsidRPr="006F3B5C" w:rsidRDefault="00D76FF0">
      <w:pPr>
        <w:pStyle w:val="BlockLine"/>
      </w:pPr>
      <w:r w:rsidRPr="006F3B5C">
        <w:fldChar w:fldCharType="begin"/>
      </w:r>
      <w:r w:rsidRPr="006F3B5C">
        <w:instrText xml:space="preserve"> PRIVATE INFOTYPE="PROCEDURE"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0F51" w14:textId="77777777" w:rsidTr="0087122C">
        <w:trPr>
          <w:cantSplit/>
        </w:trPr>
        <w:tc>
          <w:tcPr>
            <w:tcW w:w="1728" w:type="dxa"/>
            <w:shd w:val="clear" w:color="auto" w:fill="auto"/>
          </w:tcPr>
          <w:p w14:paraId="65E40F4D" w14:textId="77777777" w:rsidR="00E7406A" w:rsidRPr="006F3B5C" w:rsidRDefault="00E7406A">
            <w:pPr>
              <w:pStyle w:val="Heading5"/>
            </w:pPr>
            <w:proofErr w:type="gramStart"/>
            <w:r w:rsidRPr="006F3B5C">
              <w:t>b.  Action</w:t>
            </w:r>
            <w:proofErr w:type="gramEnd"/>
            <w:r w:rsidRPr="006F3B5C">
              <w:t xml:space="preserve"> to Take After Eligibility </w:t>
            </w:r>
            <w:r w:rsidR="00F46252" w:rsidRPr="006F3B5C">
              <w:t xml:space="preserve">for Medical Care </w:t>
            </w:r>
            <w:r w:rsidRPr="006F3B5C">
              <w:t>Is Determined</w:t>
            </w:r>
          </w:p>
        </w:tc>
        <w:tc>
          <w:tcPr>
            <w:tcW w:w="7740" w:type="dxa"/>
            <w:shd w:val="clear" w:color="auto" w:fill="auto"/>
          </w:tcPr>
          <w:p w14:paraId="65E40F4E" w14:textId="77777777" w:rsidR="00E7406A" w:rsidRPr="006F3B5C" w:rsidRDefault="00E7406A" w:rsidP="0087122C">
            <w:pPr>
              <w:pStyle w:val="BlockText"/>
            </w:pPr>
            <w:r w:rsidRPr="006F3B5C">
              <w:t xml:space="preserve">If the authorization activity has already made a determination of eligibility, furnish the requested information as provided in </w:t>
            </w:r>
            <w:hyperlink r:id="rId88" w:history="1">
              <w:r w:rsidR="001E010F" w:rsidRPr="006F3B5C">
                <w:rPr>
                  <w:rStyle w:val="Hyperlink"/>
                </w:rPr>
                <w:t>M21-1MR, Part III, Subpart v, 7.A</w:t>
              </w:r>
            </w:hyperlink>
            <w:r w:rsidRPr="006F3B5C">
              <w:t>.</w:t>
            </w:r>
          </w:p>
          <w:p w14:paraId="65E40F4F" w14:textId="77777777" w:rsidR="00E7406A" w:rsidRPr="006F3B5C" w:rsidRDefault="00E7406A" w:rsidP="0087122C">
            <w:pPr>
              <w:pStyle w:val="BlockText"/>
            </w:pPr>
          </w:p>
          <w:p w14:paraId="65E40F50" w14:textId="77777777" w:rsidR="00E7406A" w:rsidRPr="006F3B5C" w:rsidRDefault="00E7406A" w:rsidP="0087122C">
            <w:pPr>
              <w:pStyle w:val="BlockText"/>
              <w:rPr>
                <w:b/>
              </w:rPr>
            </w:pPr>
            <w:r w:rsidRPr="006F3B5C">
              <w:t>For any condition not covered in a prior rating decision, prepare a rating using the following statement under the part “</w:t>
            </w:r>
            <w:r w:rsidRPr="006F3B5C">
              <w:rPr>
                <w:iCs/>
              </w:rPr>
              <w:t>Decision”</w:t>
            </w:r>
            <w:r w:rsidRPr="006F3B5C">
              <w:t>:  “</w:t>
            </w:r>
            <w:r w:rsidRPr="006F3B5C">
              <w:rPr>
                <w:i/>
              </w:rPr>
              <w:t xml:space="preserve">Eligibility for medical care under </w:t>
            </w:r>
            <w:r w:rsidR="00F93E37" w:rsidRPr="006F3B5C">
              <w:rPr>
                <w:i/>
              </w:rPr>
              <w:t>38 U.S.C. 1</w:t>
            </w:r>
            <w:r w:rsidRPr="006F3B5C">
              <w:rPr>
                <w:i/>
              </w:rPr>
              <w:t xml:space="preserve">710 </w:t>
            </w:r>
            <w:r w:rsidRPr="006F3B5C">
              <w:rPr>
                <w:b/>
              </w:rPr>
              <w:t>[is] [is not]</w:t>
            </w:r>
            <w:r w:rsidRPr="006F3B5C">
              <w:rPr>
                <w:i/>
              </w:rPr>
              <w:t xml:space="preserve"> established.</w:t>
            </w:r>
            <w:r w:rsidRPr="006F3B5C">
              <w:t>”</w:t>
            </w:r>
          </w:p>
        </w:tc>
      </w:tr>
    </w:tbl>
    <w:p w14:paraId="65E40F52" w14:textId="77777777" w:rsidR="00E7406A" w:rsidRPr="006F3B5C" w:rsidRDefault="00E7406A">
      <w:pPr>
        <w:pStyle w:val="BlockLine"/>
      </w:pPr>
    </w:p>
    <w:p w14:paraId="65E40F53" w14:textId="77777777" w:rsidR="00E7406A" w:rsidRPr="006F3B5C" w:rsidRDefault="00E7406A">
      <w:pPr>
        <w:pStyle w:val="Heading4"/>
      </w:pPr>
      <w:r w:rsidRPr="006F3B5C">
        <w:br w:type="page"/>
      </w:r>
      <w:r w:rsidRPr="006F3B5C">
        <w:lastRenderedPageBreak/>
        <w:t xml:space="preserve">5.  Rating for Service Connection for Mental Disorders Under </w:t>
      </w:r>
      <w:r w:rsidR="00F93E37" w:rsidRPr="006F3B5C">
        <w:t>38 U.S.C. 1</w:t>
      </w:r>
      <w:r w:rsidRPr="006F3B5C">
        <w:t>702</w:t>
      </w:r>
    </w:p>
    <w:p w14:paraId="65E40F54" w14:textId="77777777" w:rsidR="00E7406A" w:rsidRPr="006F3B5C" w:rsidRDefault="00E7406A">
      <w:pPr>
        <w:pStyle w:val="BlockLine"/>
      </w:pPr>
      <w:r w:rsidRPr="006F3B5C">
        <w:fldChar w:fldCharType="begin"/>
      </w:r>
      <w:r w:rsidRPr="006F3B5C">
        <w:instrText xml:space="preserve"> PRIVATE INFOTYPE="OTHER"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0F5E" w14:textId="77777777" w:rsidTr="0087122C">
        <w:trPr>
          <w:cantSplit/>
        </w:trPr>
        <w:tc>
          <w:tcPr>
            <w:tcW w:w="1728" w:type="dxa"/>
            <w:shd w:val="clear" w:color="auto" w:fill="auto"/>
          </w:tcPr>
          <w:p w14:paraId="65E40F55" w14:textId="77777777" w:rsidR="00E7406A" w:rsidRPr="006F3B5C" w:rsidRDefault="00E7406A">
            <w:pPr>
              <w:pStyle w:val="Heading5"/>
            </w:pPr>
            <w:r w:rsidRPr="006F3B5C">
              <w:t>Introduction</w:t>
            </w:r>
          </w:p>
        </w:tc>
        <w:tc>
          <w:tcPr>
            <w:tcW w:w="7740" w:type="dxa"/>
            <w:shd w:val="clear" w:color="auto" w:fill="auto"/>
          </w:tcPr>
          <w:p w14:paraId="65E40F56" w14:textId="62BCF21F" w:rsidR="00E7406A" w:rsidRPr="006F3B5C" w:rsidRDefault="00E7406A" w:rsidP="0087122C">
            <w:pPr>
              <w:pStyle w:val="BlockText"/>
            </w:pPr>
            <w:r w:rsidRPr="006F3B5C">
              <w:t xml:space="preserve">This topic contains information on rating to determine </w:t>
            </w:r>
            <w:r w:rsidR="009735A3" w:rsidRPr="006F3B5C">
              <w:t>service connection</w:t>
            </w:r>
            <w:r w:rsidRPr="006F3B5C">
              <w:t xml:space="preserve"> for mental disorders under </w:t>
            </w:r>
            <w:r w:rsidR="00D65B12" w:rsidRPr="006F3B5C">
              <w:t>38 U.S.C.</w:t>
            </w:r>
            <w:r w:rsidR="00F93E37" w:rsidRPr="006F3B5C">
              <w:t xml:space="preserve"> 1</w:t>
            </w:r>
            <w:r w:rsidRPr="006F3B5C">
              <w:t>702, including</w:t>
            </w:r>
          </w:p>
          <w:p w14:paraId="65E40F57" w14:textId="77777777" w:rsidR="00E7406A" w:rsidRPr="006F3B5C" w:rsidRDefault="00E7406A" w:rsidP="0087122C">
            <w:pPr>
              <w:pStyle w:val="BlockText"/>
            </w:pPr>
          </w:p>
          <w:p w14:paraId="65E40F58" w14:textId="05A17684" w:rsidR="0028511C" w:rsidRPr="006F3B5C" w:rsidRDefault="00DD59CE">
            <w:pPr>
              <w:pStyle w:val="BulletText1"/>
            </w:pPr>
            <w:hyperlink w:anchor="_a.__Service" w:history="1">
              <w:r w:rsidR="009735A3" w:rsidRPr="006F3B5C">
                <w:rPr>
                  <w:rStyle w:val="Hyperlink"/>
                </w:rPr>
                <w:t>service connection</w:t>
              </w:r>
              <w:r w:rsidR="0028511C" w:rsidRPr="006F3B5C">
                <w:rPr>
                  <w:rStyle w:val="Hyperlink"/>
                </w:rPr>
                <w:t xml:space="preserve"> for mental disorders for treatment purposes under 38 U.S.C. 1702</w:t>
              </w:r>
              <w:r w:rsidR="00DB42BA" w:rsidRPr="006F3B5C">
                <w:rPr>
                  <w:rStyle w:val="Hyperlink"/>
                </w:rPr>
                <w:t>, generally</w:t>
              </w:r>
            </w:hyperlink>
          </w:p>
          <w:p w14:paraId="65E40F59" w14:textId="73CA4EB7" w:rsidR="00494024" w:rsidRPr="006F3B5C" w:rsidRDefault="00DD59CE">
            <w:pPr>
              <w:pStyle w:val="BulletText1"/>
            </w:pPr>
            <w:hyperlink w:anchor="_b.__When" w:history="1">
              <w:r w:rsidR="00494024" w:rsidRPr="006F3B5C">
                <w:rPr>
                  <w:rStyle w:val="Hyperlink"/>
                </w:rPr>
                <w:t xml:space="preserve">when VBA must decide the issue of </w:t>
              </w:r>
              <w:r w:rsidR="009735A3" w:rsidRPr="006F3B5C">
                <w:rPr>
                  <w:rStyle w:val="Hyperlink"/>
                </w:rPr>
                <w:t xml:space="preserve">service connection </w:t>
              </w:r>
              <w:r w:rsidR="00494024" w:rsidRPr="006F3B5C">
                <w:rPr>
                  <w:rStyle w:val="Hyperlink"/>
                </w:rPr>
                <w:t>under 38 U.S.C. 1702</w:t>
              </w:r>
            </w:hyperlink>
          </w:p>
          <w:p w14:paraId="65E40F5A" w14:textId="6D1B2A0C" w:rsidR="00494024" w:rsidRPr="006F3B5C" w:rsidRDefault="00DD59CE" w:rsidP="00C75E8C">
            <w:pPr>
              <w:pStyle w:val="BulletText1"/>
            </w:pPr>
            <w:hyperlink w:anchor="_c.__38" w:history="1">
              <w:r w:rsidR="00494024" w:rsidRPr="006F3B5C">
                <w:rPr>
                  <w:rStyle w:val="Hyperlink"/>
                </w:rPr>
                <w:t xml:space="preserve">38 U.S.C. 1702 criteria for </w:t>
              </w:r>
              <w:r w:rsidR="009735A3" w:rsidRPr="006F3B5C">
                <w:rPr>
                  <w:rStyle w:val="Hyperlink"/>
                </w:rPr>
                <w:t xml:space="preserve">service connection </w:t>
              </w:r>
              <w:r w:rsidR="00494024" w:rsidRPr="006F3B5C">
                <w:rPr>
                  <w:rStyle w:val="Hyperlink"/>
                </w:rPr>
                <w:t>for mental disorders</w:t>
              </w:r>
            </w:hyperlink>
            <w:r w:rsidR="00494024" w:rsidRPr="006F3B5C">
              <w:t xml:space="preserve"> </w:t>
            </w:r>
          </w:p>
          <w:p w14:paraId="65E40F5B" w14:textId="295112D0" w:rsidR="00494024" w:rsidRPr="006F3B5C" w:rsidRDefault="00DD59CE" w:rsidP="00C75E8C">
            <w:pPr>
              <w:pStyle w:val="BulletText1"/>
            </w:pPr>
            <w:hyperlink w:anchor="_d.__VHA" w:history="1">
              <w:r w:rsidR="00494024" w:rsidRPr="006F3B5C">
                <w:rPr>
                  <w:rStyle w:val="Hyperlink"/>
                </w:rPr>
                <w:t>VHA Requests for 38 U.S.C. 1702 Determinations</w:t>
              </w:r>
            </w:hyperlink>
            <w:r w:rsidR="00494024" w:rsidRPr="006F3B5C">
              <w:t xml:space="preserve"> </w:t>
            </w:r>
          </w:p>
          <w:p w14:paraId="65E40F5C" w14:textId="672DF951" w:rsidR="00E7406A" w:rsidRPr="006F3B5C" w:rsidRDefault="00DD59CE" w:rsidP="00C75E8C">
            <w:pPr>
              <w:pStyle w:val="BulletText1"/>
            </w:pPr>
            <w:hyperlink w:anchor="_e.__Addressing" w:history="1">
              <w:r w:rsidR="00494024" w:rsidRPr="006F3B5C">
                <w:rPr>
                  <w:rStyle w:val="Hyperlink"/>
                </w:rPr>
                <w:t>addressing a VHA requested 38 U.S.C. 1702 determination in the rating decision</w:t>
              </w:r>
            </w:hyperlink>
            <w:r w:rsidR="00C75E8C" w:rsidRPr="006F3B5C">
              <w:t>, and</w:t>
            </w:r>
          </w:p>
          <w:p w14:paraId="65E40F5D" w14:textId="5423110D" w:rsidR="00C75E8C" w:rsidRPr="006F3B5C" w:rsidRDefault="00DD59CE" w:rsidP="008E2A45">
            <w:pPr>
              <w:pStyle w:val="BulletText1"/>
            </w:pPr>
            <w:hyperlink w:anchor="_f.__Addressing" w:history="1">
              <w:r w:rsidR="00494024" w:rsidRPr="006F3B5C">
                <w:rPr>
                  <w:rStyle w:val="Hyperlink"/>
                </w:rPr>
                <w:t xml:space="preserve">addressing the </w:t>
              </w:r>
              <w:r w:rsidR="008E2A45" w:rsidRPr="006F3B5C">
                <w:rPr>
                  <w:rStyle w:val="Hyperlink"/>
                </w:rPr>
                <w:t>subordinate</w:t>
              </w:r>
              <w:r w:rsidR="00494024" w:rsidRPr="006F3B5C">
                <w:rPr>
                  <w:rStyle w:val="Hyperlink"/>
                </w:rPr>
                <w:t xml:space="preserve"> issue of 38 U.S.C. 1702 in the rating decision</w:t>
              </w:r>
            </w:hyperlink>
          </w:p>
        </w:tc>
      </w:tr>
    </w:tbl>
    <w:p w14:paraId="65E40F5F" w14:textId="77777777" w:rsidR="00E7406A" w:rsidRPr="006F3B5C"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0F62" w14:textId="77777777" w:rsidTr="0087122C">
        <w:trPr>
          <w:cantSplit/>
        </w:trPr>
        <w:tc>
          <w:tcPr>
            <w:tcW w:w="1728" w:type="dxa"/>
            <w:shd w:val="clear" w:color="auto" w:fill="auto"/>
          </w:tcPr>
          <w:p w14:paraId="65E40F60" w14:textId="77777777" w:rsidR="00E7406A" w:rsidRPr="006F3B5C" w:rsidRDefault="00E7406A">
            <w:pPr>
              <w:pStyle w:val="Heading5"/>
            </w:pPr>
            <w:r w:rsidRPr="006F3B5C">
              <w:t>Change Date</w:t>
            </w:r>
          </w:p>
        </w:tc>
        <w:tc>
          <w:tcPr>
            <w:tcW w:w="7740" w:type="dxa"/>
            <w:shd w:val="clear" w:color="auto" w:fill="auto"/>
          </w:tcPr>
          <w:p w14:paraId="65E40F61" w14:textId="62757F89" w:rsidR="00E7406A" w:rsidRPr="006F3B5C" w:rsidRDefault="006F3B5C" w:rsidP="0087122C">
            <w:pPr>
              <w:pStyle w:val="BlockText"/>
            </w:pPr>
            <w:r w:rsidRPr="006F3B5C">
              <w:t>January 20, 2015</w:t>
            </w:r>
          </w:p>
        </w:tc>
      </w:tr>
    </w:tbl>
    <w:p w14:paraId="65E40F63" w14:textId="77777777" w:rsidR="00E35B41" w:rsidRPr="006F3B5C" w:rsidRDefault="008B7568" w:rsidP="00E35B41">
      <w:pPr>
        <w:pStyle w:val="BlockLine"/>
      </w:pPr>
      <w:r w:rsidRPr="006F3B5C">
        <w:fldChar w:fldCharType="begin"/>
      </w:r>
      <w:r w:rsidRPr="006F3B5C">
        <w:instrText xml:space="preserve"> PRIVATE INFOTYPE="CONCEPT" </w:instrText>
      </w:r>
      <w:r w:rsidRPr="006F3B5C">
        <w:fldChar w:fldCharType="end"/>
      </w:r>
    </w:p>
    <w:tbl>
      <w:tblPr>
        <w:tblW w:w="0" w:type="auto"/>
        <w:tblLayout w:type="fixed"/>
        <w:tblLook w:val="0000" w:firstRow="0" w:lastRow="0" w:firstColumn="0" w:lastColumn="0" w:noHBand="0" w:noVBand="0"/>
      </w:tblPr>
      <w:tblGrid>
        <w:gridCol w:w="1728"/>
        <w:gridCol w:w="7740"/>
      </w:tblGrid>
      <w:tr w:rsidR="00E35B41" w:rsidRPr="006F3B5C" w14:paraId="65E40F6E" w14:textId="77777777" w:rsidTr="00E35B41">
        <w:tc>
          <w:tcPr>
            <w:tcW w:w="1728" w:type="dxa"/>
            <w:shd w:val="clear" w:color="auto" w:fill="auto"/>
          </w:tcPr>
          <w:p w14:paraId="65E40F64" w14:textId="46290233" w:rsidR="00E35B41" w:rsidRPr="006F3B5C" w:rsidRDefault="00E35B41" w:rsidP="00CE45DB">
            <w:pPr>
              <w:pStyle w:val="Heading5"/>
            </w:pPr>
            <w:bookmarkStart w:id="35" w:name="_a.__Service"/>
            <w:bookmarkEnd w:id="35"/>
            <w:proofErr w:type="gramStart"/>
            <w:r w:rsidRPr="006F3B5C">
              <w:t xml:space="preserve">a. </w:t>
            </w:r>
            <w:r w:rsidR="00131F05" w:rsidRPr="006F3B5C">
              <w:t xml:space="preserve"> </w:t>
            </w:r>
            <w:r w:rsidR="009735A3" w:rsidRPr="006F3B5C">
              <w:t>Service</w:t>
            </w:r>
            <w:proofErr w:type="gramEnd"/>
            <w:r w:rsidR="009735A3" w:rsidRPr="006F3B5C">
              <w:t xml:space="preserve"> Connection</w:t>
            </w:r>
            <w:r w:rsidR="00CE45DB" w:rsidRPr="006F3B5C">
              <w:t xml:space="preserve"> f</w:t>
            </w:r>
            <w:r w:rsidRPr="006F3B5C">
              <w:t>or Mental Disorders for Treatment Purposes Under 38 U.S.C. 1702</w:t>
            </w:r>
            <w:r w:rsidR="00DB42BA" w:rsidRPr="006F3B5C">
              <w:t>, Generally</w:t>
            </w:r>
          </w:p>
        </w:tc>
        <w:tc>
          <w:tcPr>
            <w:tcW w:w="7740" w:type="dxa"/>
            <w:shd w:val="clear" w:color="auto" w:fill="auto"/>
          </w:tcPr>
          <w:p w14:paraId="65E40F65" w14:textId="02F6E860" w:rsidR="00E35B41" w:rsidRPr="006F3B5C" w:rsidRDefault="00DD59CE" w:rsidP="0087122C">
            <w:pPr>
              <w:pStyle w:val="BlockText"/>
            </w:pPr>
            <w:hyperlink r:id="rId89" w:history="1">
              <w:r w:rsidR="00E35B41" w:rsidRPr="006F3B5C">
                <w:rPr>
                  <w:rStyle w:val="Hyperlink"/>
                </w:rPr>
                <w:t>38 U.S.C. 1702</w:t>
              </w:r>
            </w:hyperlink>
            <w:r w:rsidR="00E35B41" w:rsidRPr="006F3B5C">
              <w:t xml:space="preserve"> </w:t>
            </w:r>
            <w:r w:rsidR="00131F05" w:rsidRPr="006F3B5C">
              <w:t>create</w:t>
            </w:r>
            <w:r w:rsidR="00ED7FFE" w:rsidRPr="006F3B5C">
              <w:t>s</w:t>
            </w:r>
            <w:r w:rsidR="00E35B41" w:rsidRPr="006F3B5C">
              <w:t xml:space="preserve"> a presumption of </w:t>
            </w:r>
            <w:r w:rsidR="009735A3" w:rsidRPr="006F3B5C">
              <w:t>service connection</w:t>
            </w:r>
            <w:r w:rsidR="00E35B41" w:rsidRPr="006F3B5C">
              <w:t xml:space="preserve"> for </w:t>
            </w:r>
            <w:r w:rsidR="00ED7FFE" w:rsidRPr="006F3B5C">
              <w:t>the purpose of eligibility for VA</w:t>
            </w:r>
            <w:r w:rsidR="00131F05" w:rsidRPr="006F3B5C">
              <w:t xml:space="preserve"> treatment for</w:t>
            </w:r>
          </w:p>
          <w:p w14:paraId="65E40F66" w14:textId="77777777" w:rsidR="00E35B41" w:rsidRPr="006F3B5C" w:rsidRDefault="00E35B41" w:rsidP="0087122C">
            <w:pPr>
              <w:pStyle w:val="BlockText"/>
            </w:pPr>
          </w:p>
          <w:p w14:paraId="65E40F67" w14:textId="77777777" w:rsidR="00E35B41" w:rsidRPr="006F3B5C" w:rsidRDefault="00E35B41" w:rsidP="00E35B41">
            <w:pPr>
              <w:pStyle w:val="BulletText1"/>
            </w:pPr>
            <w:r w:rsidRPr="006F3B5C">
              <w:t>psychos</w:t>
            </w:r>
            <w:r w:rsidR="00131F05" w:rsidRPr="006F3B5C">
              <w:t>e</w:t>
            </w:r>
            <w:r w:rsidRPr="006F3B5C">
              <w:t xml:space="preserve">s based on </w:t>
            </w:r>
            <w:r w:rsidR="00131F05" w:rsidRPr="006F3B5C">
              <w:t>wartime service,</w:t>
            </w:r>
            <w:r w:rsidR="00AE1937" w:rsidRPr="006F3B5C">
              <w:t xml:space="preserve"> </w:t>
            </w:r>
            <w:r w:rsidRPr="006F3B5C">
              <w:t>or</w:t>
            </w:r>
          </w:p>
          <w:p w14:paraId="65E40F68" w14:textId="77777777" w:rsidR="00E35B41" w:rsidRPr="006F3B5C" w:rsidRDefault="00E35B41" w:rsidP="00E35B41">
            <w:pPr>
              <w:pStyle w:val="BulletText1"/>
            </w:pPr>
            <w:proofErr w:type="gramStart"/>
            <w:r w:rsidRPr="006F3B5C">
              <w:t>any</w:t>
            </w:r>
            <w:proofErr w:type="gramEnd"/>
            <w:r w:rsidRPr="006F3B5C">
              <w:t xml:space="preserve"> mental disorder based on Gulf War service</w:t>
            </w:r>
            <w:r w:rsidR="0095102A" w:rsidRPr="006F3B5C">
              <w:t>.</w:t>
            </w:r>
          </w:p>
          <w:p w14:paraId="65E40F69" w14:textId="77777777" w:rsidR="00DB42BA" w:rsidRPr="006F3B5C" w:rsidRDefault="00DB42BA" w:rsidP="0087122C">
            <w:pPr>
              <w:pStyle w:val="BlockText"/>
            </w:pPr>
          </w:p>
          <w:p w14:paraId="65E40F6A" w14:textId="7DB497F7" w:rsidR="00C936AB" w:rsidRPr="006F3B5C" w:rsidRDefault="00DB42BA" w:rsidP="0087122C">
            <w:pPr>
              <w:pStyle w:val="BlockText"/>
            </w:pPr>
            <w:r w:rsidRPr="006F3B5C">
              <w:t xml:space="preserve">Claims for medical or psychological treatment are normally </w:t>
            </w:r>
            <w:r w:rsidR="009F352A" w:rsidRPr="006F3B5C">
              <w:t xml:space="preserve">determined </w:t>
            </w:r>
            <w:r w:rsidRPr="006F3B5C">
              <w:t xml:space="preserve">by VHA without referral to VBA.  However a medical facility may require information or a determination from VBA.  </w:t>
            </w:r>
          </w:p>
          <w:p w14:paraId="65E40F6B" w14:textId="77777777" w:rsidR="00DB42BA" w:rsidRPr="006F3B5C" w:rsidRDefault="00DB42BA" w:rsidP="0087122C">
            <w:pPr>
              <w:pStyle w:val="BlockText"/>
            </w:pPr>
          </w:p>
          <w:p w14:paraId="65E40F6C" w14:textId="77777777" w:rsidR="00DB42BA" w:rsidRPr="006F3B5C" w:rsidRDefault="00DB42BA" w:rsidP="00DB42BA">
            <w:pPr>
              <w:pStyle w:val="BlockText"/>
            </w:pPr>
            <w:r w:rsidRPr="006F3B5C">
              <w:rPr>
                <w:b/>
                <w:i/>
              </w:rPr>
              <w:t>Reference</w:t>
            </w:r>
            <w:r w:rsidRPr="006F3B5C">
              <w:t xml:space="preserve">: For more information on determining eligibility for medical care see </w:t>
            </w:r>
            <w:hyperlink r:id="rId90" w:history="1">
              <w:r w:rsidRPr="006F3B5C">
                <w:rPr>
                  <w:rStyle w:val="Hyperlink"/>
                </w:rPr>
                <w:t>M21-1MR, Part III, Subpart v, 7.A.1</w:t>
              </w:r>
            </w:hyperlink>
            <w:r w:rsidRPr="006F3B5C">
              <w:t>.</w:t>
            </w:r>
          </w:p>
          <w:p w14:paraId="65E40F6D" w14:textId="77777777" w:rsidR="00DB42BA" w:rsidRPr="006F3B5C" w:rsidRDefault="00DB42BA" w:rsidP="00DB42BA">
            <w:pPr>
              <w:pStyle w:val="BlockText"/>
            </w:pPr>
          </w:p>
        </w:tc>
      </w:tr>
    </w:tbl>
    <w:p w14:paraId="65E40F71" w14:textId="77777777" w:rsidR="00131F05" w:rsidRPr="006F3B5C" w:rsidRDefault="008B7568" w:rsidP="00684C75">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131F05" w:rsidRPr="006F3B5C" w14:paraId="65E40F7E" w14:textId="77777777" w:rsidTr="00131F05">
        <w:tc>
          <w:tcPr>
            <w:tcW w:w="1728" w:type="dxa"/>
            <w:shd w:val="clear" w:color="auto" w:fill="auto"/>
          </w:tcPr>
          <w:p w14:paraId="65E40F72" w14:textId="5CF2A9DF" w:rsidR="00131F05" w:rsidRPr="006F3B5C" w:rsidRDefault="00131F05" w:rsidP="00CE45DB">
            <w:pPr>
              <w:pStyle w:val="Heading5"/>
            </w:pPr>
            <w:bookmarkStart w:id="36" w:name="_b.__When"/>
            <w:bookmarkEnd w:id="36"/>
            <w:proofErr w:type="gramStart"/>
            <w:r w:rsidRPr="006F3B5C">
              <w:t>b.  When</w:t>
            </w:r>
            <w:proofErr w:type="gramEnd"/>
            <w:r w:rsidRPr="006F3B5C">
              <w:t xml:space="preserve"> </w:t>
            </w:r>
            <w:r w:rsidR="006B295A" w:rsidRPr="006F3B5C">
              <w:t xml:space="preserve">VBA </w:t>
            </w:r>
            <w:r w:rsidR="00494024" w:rsidRPr="006F3B5C">
              <w:t>M</w:t>
            </w:r>
            <w:r w:rsidR="006B295A" w:rsidRPr="006F3B5C">
              <w:t xml:space="preserve">ust </w:t>
            </w:r>
            <w:r w:rsidR="00494024" w:rsidRPr="006F3B5C">
              <w:t>D</w:t>
            </w:r>
            <w:r w:rsidR="006B295A" w:rsidRPr="006F3B5C">
              <w:t>ecide the</w:t>
            </w:r>
            <w:r w:rsidR="00ED7FFE" w:rsidRPr="006F3B5C">
              <w:t xml:space="preserve"> </w:t>
            </w:r>
            <w:r w:rsidR="00494024" w:rsidRPr="006F3B5C">
              <w:t>I</w:t>
            </w:r>
            <w:r w:rsidR="00ED7FFE" w:rsidRPr="006F3B5C">
              <w:t xml:space="preserve">ssue of </w:t>
            </w:r>
            <w:r w:rsidR="00CE45DB" w:rsidRPr="006F3B5C">
              <w:t>S</w:t>
            </w:r>
            <w:r w:rsidR="00074DCC" w:rsidRPr="006F3B5C">
              <w:t xml:space="preserve">ervice </w:t>
            </w:r>
            <w:r w:rsidR="00CE45DB" w:rsidRPr="006F3B5C">
              <w:t>C</w:t>
            </w:r>
            <w:r w:rsidR="00074DCC" w:rsidRPr="006F3B5C">
              <w:t>onnection</w:t>
            </w:r>
            <w:r w:rsidR="00ED7FFE" w:rsidRPr="006F3B5C">
              <w:t xml:space="preserve"> </w:t>
            </w:r>
            <w:r w:rsidR="00494024" w:rsidRPr="006F3B5C">
              <w:t>U</w:t>
            </w:r>
            <w:r w:rsidR="00ED7FFE" w:rsidRPr="006F3B5C">
              <w:t xml:space="preserve">nder </w:t>
            </w:r>
            <w:r w:rsidRPr="006F3B5C">
              <w:t>38 U.S.C. 170</w:t>
            </w:r>
            <w:r w:rsidR="006B295A" w:rsidRPr="006F3B5C">
              <w:t>2</w:t>
            </w:r>
          </w:p>
        </w:tc>
        <w:tc>
          <w:tcPr>
            <w:tcW w:w="7740" w:type="dxa"/>
            <w:shd w:val="clear" w:color="auto" w:fill="auto"/>
          </w:tcPr>
          <w:p w14:paraId="65E40F73" w14:textId="2E463153" w:rsidR="00131F05" w:rsidRPr="006F3B5C" w:rsidRDefault="00ED7FFE" w:rsidP="0087122C">
            <w:pPr>
              <w:pStyle w:val="BlockText"/>
            </w:pPr>
            <w:r w:rsidRPr="006F3B5C">
              <w:t xml:space="preserve">VBA must </w:t>
            </w:r>
            <w:r w:rsidR="008823E5" w:rsidRPr="006F3B5C">
              <w:t>decide the issue of</w:t>
            </w:r>
            <w:r w:rsidRPr="006F3B5C">
              <w:t xml:space="preserve"> </w:t>
            </w:r>
            <w:r w:rsidR="00074DCC" w:rsidRPr="006F3B5C">
              <w:t>service connection</w:t>
            </w:r>
            <w:r w:rsidR="00131F05" w:rsidRPr="006F3B5C">
              <w:t xml:space="preserve"> </w:t>
            </w:r>
            <w:r w:rsidR="00C936AB" w:rsidRPr="006F3B5C">
              <w:t xml:space="preserve">for a psychosis or other mental disorder </w:t>
            </w:r>
            <w:r w:rsidRPr="006F3B5C">
              <w:t xml:space="preserve">under </w:t>
            </w:r>
            <w:hyperlink r:id="rId91" w:history="1">
              <w:r w:rsidRPr="006F3B5C">
                <w:rPr>
                  <w:rStyle w:val="Hyperlink"/>
                </w:rPr>
                <w:t>38 U.S.C. 1702</w:t>
              </w:r>
            </w:hyperlink>
            <w:r w:rsidR="0095102A" w:rsidRPr="006F3B5C">
              <w:t xml:space="preserve"> </w:t>
            </w:r>
            <w:r w:rsidR="00131F05" w:rsidRPr="006F3B5C">
              <w:t xml:space="preserve">when </w:t>
            </w:r>
          </w:p>
          <w:p w14:paraId="65E40F74" w14:textId="77777777" w:rsidR="00131F05" w:rsidRPr="006F3B5C" w:rsidRDefault="00131F05" w:rsidP="00131F05">
            <w:pPr>
              <w:pStyle w:val="BulletText1"/>
            </w:pPr>
            <w:r w:rsidRPr="006F3B5C">
              <w:t xml:space="preserve">requested by VHA or </w:t>
            </w:r>
          </w:p>
          <w:p w14:paraId="65E40F75" w14:textId="55DF0BFA" w:rsidR="00131F05" w:rsidRPr="006F3B5C" w:rsidRDefault="00131F05" w:rsidP="00131F05">
            <w:pPr>
              <w:pStyle w:val="BulletText1"/>
            </w:pPr>
            <w:r w:rsidRPr="006F3B5C">
              <w:t xml:space="preserve">when a decision maker finds the facts </w:t>
            </w:r>
            <w:r w:rsidRPr="006F3B5C">
              <w:rPr>
                <w:b/>
                <w:i/>
              </w:rPr>
              <w:t>support</w:t>
            </w:r>
            <w:r w:rsidRPr="006F3B5C">
              <w:t xml:space="preserve"> the </w:t>
            </w:r>
            <w:hyperlink r:id="rId92" w:history="1">
              <w:r w:rsidRPr="006F3B5C">
                <w:rPr>
                  <w:rStyle w:val="Hyperlink"/>
                </w:rPr>
                <w:t>38 U.S.C. 1702</w:t>
              </w:r>
            </w:hyperlink>
            <w:r w:rsidRPr="006F3B5C">
              <w:t xml:space="preserve"> criteria in the course of denying </w:t>
            </w:r>
            <w:r w:rsidR="00074DCC" w:rsidRPr="006F3B5C">
              <w:t>service connection</w:t>
            </w:r>
            <w:r w:rsidRPr="006F3B5C">
              <w:t xml:space="preserve"> for compensation purposes for</w:t>
            </w:r>
          </w:p>
          <w:p w14:paraId="65E40F76" w14:textId="77777777" w:rsidR="00131F05" w:rsidRPr="006F3B5C" w:rsidRDefault="00131F05" w:rsidP="00131F05">
            <w:pPr>
              <w:pStyle w:val="BulletText2"/>
            </w:pPr>
            <w:r w:rsidRPr="006F3B5C">
              <w:t xml:space="preserve">a psychosis based on wartime service or </w:t>
            </w:r>
          </w:p>
          <w:p w14:paraId="65E40F77" w14:textId="77777777" w:rsidR="00131F05" w:rsidRPr="006F3B5C" w:rsidRDefault="00131F05" w:rsidP="00131F05">
            <w:pPr>
              <w:pStyle w:val="BulletText2"/>
            </w:pPr>
            <w:proofErr w:type="gramStart"/>
            <w:r w:rsidRPr="006F3B5C">
              <w:t>any</w:t>
            </w:r>
            <w:proofErr w:type="gramEnd"/>
            <w:r w:rsidRPr="006F3B5C">
              <w:t xml:space="preserve"> mental disorder based on Gulf War service</w:t>
            </w:r>
            <w:r w:rsidR="008823E5" w:rsidRPr="006F3B5C">
              <w:t>.</w:t>
            </w:r>
            <w:r w:rsidRPr="006F3B5C">
              <w:t xml:space="preserve"> </w:t>
            </w:r>
          </w:p>
          <w:p w14:paraId="65E40F78" w14:textId="77777777" w:rsidR="006F4AE6" w:rsidRPr="006F3B5C" w:rsidRDefault="006F4AE6" w:rsidP="0087122C">
            <w:pPr>
              <w:pStyle w:val="BlockText"/>
            </w:pPr>
          </w:p>
          <w:p w14:paraId="65E40F79" w14:textId="77777777" w:rsidR="00ED7FFE" w:rsidRPr="006F3B5C" w:rsidRDefault="00131F05" w:rsidP="0087122C">
            <w:pPr>
              <w:pStyle w:val="BlockText"/>
            </w:pPr>
            <w:r w:rsidRPr="006F3B5C">
              <w:rPr>
                <w:b/>
                <w:i/>
              </w:rPr>
              <w:t>Reference</w:t>
            </w:r>
            <w:r w:rsidR="00ED7FFE" w:rsidRPr="006F3B5C">
              <w:rPr>
                <w:b/>
                <w:i/>
              </w:rPr>
              <w:t>s</w:t>
            </w:r>
            <w:r w:rsidRPr="006F3B5C">
              <w:t xml:space="preserve">:  For more information on </w:t>
            </w:r>
          </w:p>
          <w:p w14:paraId="65E40F7A" w14:textId="77777777" w:rsidR="004F7601" w:rsidRPr="006F3B5C" w:rsidRDefault="00ED7FFE" w:rsidP="004F7601">
            <w:pPr>
              <w:pStyle w:val="BulletText1"/>
            </w:pPr>
            <w:r w:rsidRPr="006F3B5C">
              <w:t xml:space="preserve">the </w:t>
            </w:r>
            <w:hyperlink r:id="rId93" w:history="1">
              <w:r w:rsidRPr="006F3B5C">
                <w:rPr>
                  <w:rStyle w:val="Hyperlink"/>
                </w:rPr>
                <w:t>38 U.S.C. 1702</w:t>
              </w:r>
            </w:hyperlink>
            <w:r w:rsidR="004F7601" w:rsidRPr="006F3B5C">
              <w:t xml:space="preserve"> </w:t>
            </w:r>
            <w:r w:rsidRPr="006F3B5C">
              <w:t xml:space="preserve">criteria, see </w:t>
            </w:r>
            <w:hyperlink r:id="rId94" w:history="1">
              <w:r w:rsidRPr="006F3B5C">
                <w:rPr>
                  <w:rStyle w:val="Hyperlink"/>
                </w:rPr>
                <w:t>M21-1MR Part IX, Subpart ii, 2.5.c</w:t>
              </w:r>
            </w:hyperlink>
          </w:p>
          <w:p w14:paraId="65E40F7B" w14:textId="77777777" w:rsidR="004F7601" w:rsidRPr="006F3B5C" w:rsidRDefault="004F7601" w:rsidP="004F7601">
            <w:pPr>
              <w:pStyle w:val="BulletText1"/>
            </w:pPr>
            <w:r w:rsidRPr="006F3B5C">
              <w:t xml:space="preserve">VHA requested determinations, see </w:t>
            </w:r>
            <w:hyperlink r:id="rId95" w:history="1">
              <w:r w:rsidRPr="006F3B5C">
                <w:rPr>
                  <w:rStyle w:val="Hyperlink"/>
                </w:rPr>
                <w:t>M21-1MR Part IX, Subpart ii, 2.5.d.</w:t>
              </w:r>
            </w:hyperlink>
          </w:p>
          <w:p w14:paraId="65E40F7C" w14:textId="77777777" w:rsidR="004F7601" w:rsidRPr="006F3B5C" w:rsidRDefault="004F7601" w:rsidP="004F7601">
            <w:pPr>
              <w:pStyle w:val="BulletText1"/>
            </w:pPr>
            <w:r w:rsidRPr="006F3B5C">
              <w:lastRenderedPageBreak/>
              <w:t xml:space="preserve">rating decision requirements, see </w:t>
            </w:r>
            <w:hyperlink r:id="rId96" w:history="1">
              <w:r w:rsidRPr="006F3B5C">
                <w:rPr>
                  <w:rStyle w:val="Hyperlink"/>
                </w:rPr>
                <w:t>M21-1MR Part IX, Subpart ii, 2.5.e</w:t>
              </w:r>
            </w:hyperlink>
          </w:p>
          <w:p w14:paraId="65E40F7D" w14:textId="77777777" w:rsidR="00131F05" w:rsidRPr="006F3B5C" w:rsidRDefault="00131F05" w:rsidP="00ED7FFE">
            <w:pPr>
              <w:pStyle w:val="BulletText1"/>
            </w:pPr>
            <w:r w:rsidRPr="006F3B5C">
              <w:t>inferred issues</w:t>
            </w:r>
            <w:r w:rsidR="004F7601" w:rsidRPr="006F3B5C">
              <w:t xml:space="preserve"> generally</w:t>
            </w:r>
            <w:r w:rsidRPr="006F3B5C">
              <w:t xml:space="preserve">, see </w:t>
            </w:r>
            <w:hyperlink r:id="rId97" w:history="1">
              <w:r w:rsidRPr="006F3B5C">
                <w:rPr>
                  <w:rStyle w:val="Hyperlink"/>
                </w:rPr>
                <w:t>M21-1MR Part III, Subpart iv, 6.B.3.d</w:t>
              </w:r>
            </w:hyperlink>
            <w:proofErr w:type="gramStart"/>
            <w:r w:rsidRPr="006F3B5C">
              <w:t xml:space="preserve">. </w:t>
            </w:r>
            <w:proofErr w:type="gramEnd"/>
          </w:p>
        </w:tc>
      </w:tr>
    </w:tbl>
    <w:p w14:paraId="65E40F82" w14:textId="77777777" w:rsidR="00510367" w:rsidRPr="006F3B5C" w:rsidRDefault="008B7568" w:rsidP="00510367">
      <w:pPr>
        <w:pStyle w:val="BlockLine"/>
      </w:pPr>
      <w:r w:rsidRPr="006F3B5C">
        <w:lastRenderedPageBreak/>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0F98" w14:textId="77777777" w:rsidTr="0087122C">
        <w:trPr>
          <w:cantSplit/>
        </w:trPr>
        <w:tc>
          <w:tcPr>
            <w:tcW w:w="1728" w:type="dxa"/>
            <w:shd w:val="clear" w:color="auto" w:fill="auto"/>
          </w:tcPr>
          <w:p w14:paraId="65E40F83" w14:textId="68DB52F4" w:rsidR="00E7406A" w:rsidRPr="006F3B5C" w:rsidRDefault="004746EB" w:rsidP="00CE45DB">
            <w:pPr>
              <w:pStyle w:val="Heading5"/>
            </w:pPr>
            <w:bookmarkStart w:id="37" w:name="_c.__38"/>
            <w:bookmarkEnd w:id="37"/>
            <w:proofErr w:type="gramStart"/>
            <w:r w:rsidRPr="006F3B5C">
              <w:t>c</w:t>
            </w:r>
            <w:r w:rsidR="00E7406A" w:rsidRPr="006F3B5C">
              <w:t xml:space="preserve">.  </w:t>
            </w:r>
            <w:r w:rsidR="00ED7FFE" w:rsidRPr="006F3B5C">
              <w:t>38</w:t>
            </w:r>
            <w:proofErr w:type="gramEnd"/>
            <w:r w:rsidR="00ED7FFE" w:rsidRPr="006F3B5C">
              <w:t xml:space="preserve"> U.S.C.</w:t>
            </w:r>
            <w:r w:rsidR="00E7406A" w:rsidRPr="006F3B5C">
              <w:t xml:space="preserve"> </w:t>
            </w:r>
            <w:r w:rsidRPr="006F3B5C">
              <w:t xml:space="preserve">1702 </w:t>
            </w:r>
            <w:r w:rsidR="00E7406A" w:rsidRPr="006F3B5C">
              <w:t xml:space="preserve">Criteria for </w:t>
            </w:r>
            <w:r w:rsidR="00CE45DB" w:rsidRPr="006F3B5C">
              <w:t>S</w:t>
            </w:r>
            <w:r w:rsidR="00074DCC" w:rsidRPr="006F3B5C">
              <w:t>ervice Connection</w:t>
            </w:r>
            <w:r w:rsidR="00E7406A" w:rsidRPr="006F3B5C">
              <w:t xml:space="preserve"> for Mental Disorders</w:t>
            </w:r>
          </w:p>
        </w:tc>
        <w:tc>
          <w:tcPr>
            <w:tcW w:w="7740" w:type="dxa"/>
            <w:shd w:val="clear" w:color="auto" w:fill="auto"/>
          </w:tcPr>
          <w:p w14:paraId="65E40F84" w14:textId="440710C1" w:rsidR="004C7C93" w:rsidRPr="006F3B5C" w:rsidRDefault="00DD59CE" w:rsidP="0087122C">
            <w:pPr>
              <w:pStyle w:val="BlockText"/>
            </w:pPr>
            <w:hyperlink r:id="rId98" w:history="1">
              <w:r w:rsidR="00D84B1D" w:rsidRPr="006F3B5C">
                <w:rPr>
                  <w:rStyle w:val="Hyperlink"/>
                </w:rPr>
                <w:t>38 U.S.C. 1702</w:t>
              </w:r>
            </w:hyperlink>
            <w:r w:rsidR="00D84B1D" w:rsidRPr="006F3B5C">
              <w:t xml:space="preserve"> provides that </w:t>
            </w:r>
            <w:r w:rsidR="00074DCC" w:rsidRPr="006F3B5C">
              <w:t xml:space="preserve">service connection </w:t>
            </w:r>
            <w:r w:rsidR="00D84B1D" w:rsidRPr="006F3B5C">
              <w:t>is presumed</w:t>
            </w:r>
            <w:r w:rsidR="000C48A1" w:rsidRPr="006F3B5C">
              <w:t xml:space="preserve"> for </w:t>
            </w:r>
            <w:r w:rsidR="00C25A7D" w:rsidRPr="006F3B5C">
              <w:t xml:space="preserve">VA </w:t>
            </w:r>
            <w:r w:rsidR="00D84B1D" w:rsidRPr="006F3B5C">
              <w:t xml:space="preserve">treatment </w:t>
            </w:r>
            <w:r w:rsidR="000C48A1" w:rsidRPr="006F3B5C">
              <w:t>purpose</w:t>
            </w:r>
            <w:r w:rsidR="00D84B1D" w:rsidRPr="006F3B5C">
              <w:t xml:space="preserve">s </w:t>
            </w:r>
            <w:r w:rsidR="00C25A7D" w:rsidRPr="006F3B5C">
              <w:t>for</w:t>
            </w:r>
          </w:p>
          <w:p w14:paraId="65E40F85" w14:textId="77777777" w:rsidR="00E7406A" w:rsidRPr="006F3B5C" w:rsidRDefault="00C25A7D" w:rsidP="004C7C93">
            <w:pPr>
              <w:pStyle w:val="BulletText1"/>
            </w:pPr>
            <w:r w:rsidRPr="006F3B5C">
              <w:t xml:space="preserve">a Veteran of </w:t>
            </w:r>
            <w:r w:rsidR="000C48A1" w:rsidRPr="006F3B5C">
              <w:t xml:space="preserve">any war period </w:t>
            </w:r>
            <w:r w:rsidR="00D84B1D" w:rsidRPr="006F3B5C">
              <w:t xml:space="preserve">who develops </w:t>
            </w:r>
            <w:r w:rsidR="004C7C93" w:rsidRPr="006F3B5C">
              <w:t xml:space="preserve">a psychosis or </w:t>
            </w:r>
          </w:p>
          <w:p w14:paraId="65E40F86" w14:textId="77777777" w:rsidR="004C7C93" w:rsidRPr="006F3B5C" w:rsidRDefault="00C25A7D" w:rsidP="004C7C93">
            <w:pPr>
              <w:pStyle w:val="BulletText1"/>
            </w:pPr>
            <w:r w:rsidRPr="006F3B5C">
              <w:t xml:space="preserve">a Veteran of </w:t>
            </w:r>
            <w:r w:rsidR="004C7C93" w:rsidRPr="006F3B5C">
              <w:t>the Gulf War who develops any mental disorder</w:t>
            </w:r>
          </w:p>
          <w:p w14:paraId="65E40F87" w14:textId="77777777" w:rsidR="00E7406A" w:rsidRPr="006F3B5C" w:rsidRDefault="00E7406A" w:rsidP="0087122C">
            <w:pPr>
              <w:pStyle w:val="BlockText"/>
            </w:pPr>
          </w:p>
          <w:p w14:paraId="65E40F88" w14:textId="77777777" w:rsidR="004C7C93" w:rsidRPr="006F3B5C" w:rsidRDefault="004C7C93" w:rsidP="0087122C">
            <w:pPr>
              <w:pStyle w:val="BlockText"/>
            </w:pPr>
            <w:r w:rsidRPr="006F3B5C">
              <w:t>within</w:t>
            </w:r>
          </w:p>
          <w:p w14:paraId="65E40F89" w14:textId="77777777" w:rsidR="00E7406A" w:rsidRPr="006F3B5C" w:rsidRDefault="00E7406A">
            <w:pPr>
              <w:pStyle w:val="BulletText1"/>
            </w:pPr>
            <w:r w:rsidRPr="006F3B5C">
              <w:t xml:space="preserve">two years </w:t>
            </w:r>
            <w:r w:rsidR="00D80127" w:rsidRPr="006F3B5C">
              <w:t>after</w:t>
            </w:r>
            <w:r w:rsidRPr="006F3B5C">
              <w:t xml:space="preserve"> the date of separation (under other than dishonorable conditions) from such service, </w:t>
            </w:r>
            <w:r w:rsidR="005B5150" w:rsidRPr="006F3B5C">
              <w:rPr>
                <w:i/>
              </w:rPr>
              <w:t>and</w:t>
            </w:r>
          </w:p>
          <w:p w14:paraId="65E40F8A" w14:textId="77777777" w:rsidR="00E7406A" w:rsidRPr="006F3B5C" w:rsidRDefault="00E7406A">
            <w:pPr>
              <w:pStyle w:val="BulletText1"/>
            </w:pPr>
            <w:proofErr w:type="gramStart"/>
            <w:r w:rsidRPr="006F3B5C">
              <w:t>two</w:t>
            </w:r>
            <w:proofErr w:type="gramEnd"/>
            <w:r w:rsidRPr="006F3B5C">
              <w:t xml:space="preserve"> years </w:t>
            </w:r>
            <w:r w:rsidR="00D80127" w:rsidRPr="006F3B5C">
              <w:t>after</w:t>
            </w:r>
            <w:r w:rsidRPr="006F3B5C">
              <w:t xml:space="preserve"> the end of the war period.  </w:t>
            </w:r>
          </w:p>
          <w:p w14:paraId="65E40F8B" w14:textId="77777777" w:rsidR="00D84B1D" w:rsidRPr="006F3B5C" w:rsidRDefault="00D84B1D" w:rsidP="0087122C">
            <w:pPr>
              <w:pStyle w:val="BlockText"/>
              <w:rPr>
                <w:b/>
              </w:rPr>
            </w:pPr>
          </w:p>
          <w:p w14:paraId="65E40F8E" w14:textId="4186BAB0" w:rsidR="00C25A7D" w:rsidRPr="006F3B5C" w:rsidRDefault="004C7C93" w:rsidP="0087122C">
            <w:pPr>
              <w:pStyle w:val="BlockText"/>
            </w:pPr>
            <w:r w:rsidRPr="006F3B5C">
              <w:rPr>
                <w:b/>
                <w:i/>
              </w:rPr>
              <w:t>Important</w:t>
            </w:r>
            <w:r w:rsidRPr="006F3B5C">
              <w:t>:</w:t>
            </w:r>
            <w:r w:rsidRPr="006F3B5C">
              <w:rPr>
                <w:b/>
              </w:rPr>
              <w:t xml:space="preserve"> </w:t>
            </w:r>
            <w:r w:rsidR="00DD4D70" w:rsidRPr="006F3B5C">
              <w:rPr>
                <w:i/>
              </w:rPr>
              <w:t>Both</w:t>
            </w:r>
            <w:r w:rsidR="00DD4D70" w:rsidRPr="006F3B5C">
              <w:t xml:space="preserve"> </w:t>
            </w:r>
            <w:r w:rsidR="00CD1001" w:rsidRPr="006F3B5C">
              <w:t>criteria must be met for the</w:t>
            </w:r>
            <w:r w:rsidR="00DD4D70" w:rsidRPr="006F3B5C">
              <w:t xml:space="preserve"> presumption to arise. </w:t>
            </w:r>
            <w:r w:rsidR="003721D3" w:rsidRPr="006F3B5C">
              <w:t>The presumption</w:t>
            </w:r>
            <w:r w:rsidR="00C25A7D" w:rsidRPr="006F3B5C">
              <w:t xml:space="preserve"> </w:t>
            </w:r>
            <w:r w:rsidR="00DD4D70" w:rsidRPr="006F3B5C">
              <w:t xml:space="preserve">that the qualifying disability was incurred in service for treatment purposes </w:t>
            </w:r>
            <w:r w:rsidR="00C25A7D" w:rsidRPr="006F3B5C">
              <w:t xml:space="preserve">does </w:t>
            </w:r>
            <w:r w:rsidR="00C25A7D" w:rsidRPr="006F3B5C">
              <w:rPr>
                <w:i/>
              </w:rPr>
              <w:t>not</w:t>
            </w:r>
            <w:r w:rsidR="00C25A7D" w:rsidRPr="006F3B5C">
              <w:t xml:space="preserve"> apply</w:t>
            </w:r>
            <w:r w:rsidR="00DD4D70" w:rsidRPr="006F3B5C">
              <w:t xml:space="preserve"> if</w:t>
            </w:r>
          </w:p>
          <w:p w14:paraId="65E40F8F" w14:textId="77777777" w:rsidR="00DD4D70" w:rsidRPr="006F3B5C" w:rsidRDefault="00DD4D70" w:rsidP="0087122C">
            <w:pPr>
              <w:pStyle w:val="BlockText"/>
            </w:pPr>
          </w:p>
          <w:p w14:paraId="65E40F90" w14:textId="77777777" w:rsidR="00C25A7D" w:rsidRPr="006F3B5C" w:rsidRDefault="00C25A7D" w:rsidP="00D455FE">
            <w:pPr>
              <w:pStyle w:val="BulletText1"/>
            </w:pPr>
            <w:r w:rsidRPr="006F3B5C">
              <w:t xml:space="preserve">a </w:t>
            </w:r>
            <w:r w:rsidR="004C7C93" w:rsidRPr="006F3B5C">
              <w:t>qualifying mental disorder</w:t>
            </w:r>
            <w:r w:rsidR="00D80127" w:rsidRPr="006F3B5C">
              <w:t xml:space="preserve"> </w:t>
            </w:r>
            <w:r w:rsidR="004C7C93" w:rsidRPr="006F3B5C">
              <w:t xml:space="preserve">develops </w:t>
            </w:r>
            <w:r w:rsidR="004C7C93" w:rsidRPr="006F3B5C">
              <w:rPr>
                <w:i/>
              </w:rPr>
              <w:t xml:space="preserve">more than </w:t>
            </w:r>
            <w:r w:rsidR="004C7C93" w:rsidRPr="006F3B5C">
              <w:t xml:space="preserve">two years after the end of the </w:t>
            </w:r>
            <w:r w:rsidR="004C7C93" w:rsidRPr="006F3B5C">
              <w:rPr>
                <w:i/>
              </w:rPr>
              <w:t>war period</w:t>
            </w:r>
            <w:r w:rsidR="004C7C93" w:rsidRPr="006F3B5C">
              <w:t xml:space="preserve">, </w:t>
            </w:r>
            <w:r w:rsidR="004C7C93" w:rsidRPr="006F3B5C">
              <w:rPr>
                <w:u w:val="single"/>
              </w:rPr>
              <w:t>even if</w:t>
            </w:r>
            <w:r w:rsidR="004C7C93" w:rsidRPr="006F3B5C">
              <w:t xml:space="preserve"> the condition develops </w:t>
            </w:r>
            <w:r w:rsidR="00D80127" w:rsidRPr="006F3B5C">
              <w:rPr>
                <w:i/>
              </w:rPr>
              <w:t>less than, or at</w:t>
            </w:r>
            <w:r w:rsidR="00D80127" w:rsidRPr="006F3B5C">
              <w:t>,</w:t>
            </w:r>
            <w:r w:rsidR="004C7C93" w:rsidRPr="006F3B5C">
              <w:t xml:space="preserve"> two years after </w:t>
            </w:r>
            <w:r w:rsidR="004C7C93" w:rsidRPr="006F3B5C">
              <w:rPr>
                <w:i/>
              </w:rPr>
              <w:t>discharge</w:t>
            </w:r>
            <w:r w:rsidRPr="006F3B5C">
              <w:t>, or</w:t>
            </w:r>
            <w:r w:rsidR="004C7C93" w:rsidRPr="006F3B5C">
              <w:t xml:space="preserve">  </w:t>
            </w:r>
          </w:p>
          <w:p w14:paraId="65E40F91" w14:textId="77777777" w:rsidR="004C7C93" w:rsidRPr="006F3B5C" w:rsidRDefault="00C25A7D" w:rsidP="00D455FE">
            <w:pPr>
              <w:pStyle w:val="BulletText1"/>
            </w:pPr>
            <w:proofErr w:type="gramStart"/>
            <w:r w:rsidRPr="006F3B5C">
              <w:t>a</w:t>
            </w:r>
            <w:proofErr w:type="gramEnd"/>
            <w:r w:rsidRPr="006F3B5C">
              <w:t xml:space="preserve"> qualifying mental disorder</w:t>
            </w:r>
            <w:r w:rsidR="004C7C93" w:rsidRPr="006F3B5C">
              <w:t xml:space="preserve"> develops</w:t>
            </w:r>
            <w:r w:rsidRPr="006F3B5C">
              <w:t xml:space="preserve"> </w:t>
            </w:r>
            <w:r w:rsidRPr="006F3B5C">
              <w:rPr>
                <w:i/>
              </w:rPr>
              <w:t>more than</w:t>
            </w:r>
            <w:r w:rsidRPr="006F3B5C">
              <w:t xml:space="preserve"> two years after </w:t>
            </w:r>
            <w:r w:rsidRPr="006F3B5C">
              <w:rPr>
                <w:i/>
              </w:rPr>
              <w:t>service</w:t>
            </w:r>
            <w:r w:rsidR="0090070B" w:rsidRPr="006F3B5C">
              <w:rPr>
                <w:i/>
              </w:rPr>
              <w:t xml:space="preserve"> discharge</w:t>
            </w:r>
            <w:r w:rsidR="004C7C93" w:rsidRPr="006F3B5C">
              <w:t xml:space="preserve"> </w:t>
            </w:r>
            <w:r w:rsidRPr="006F3B5C">
              <w:rPr>
                <w:u w:val="single"/>
              </w:rPr>
              <w:t>even if</w:t>
            </w:r>
            <w:r w:rsidRPr="006F3B5C">
              <w:t xml:space="preserve"> that was </w:t>
            </w:r>
            <w:r w:rsidRPr="006F3B5C">
              <w:rPr>
                <w:i/>
              </w:rPr>
              <w:t>during</w:t>
            </w:r>
            <w:r w:rsidRPr="006F3B5C">
              <w:t xml:space="preserve"> wartime or </w:t>
            </w:r>
            <w:r w:rsidRPr="006F3B5C">
              <w:rPr>
                <w:i/>
              </w:rPr>
              <w:t>less than</w:t>
            </w:r>
            <w:r w:rsidR="00D80127" w:rsidRPr="006F3B5C">
              <w:rPr>
                <w:i/>
              </w:rPr>
              <w:t>,</w:t>
            </w:r>
            <w:r w:rsidRPr="006F3B5C">
              <w:rPr>
                <w:i/>
              </w:rPr>
              <w:t xml:space="preserve"> </w:t>
            </w:r>
            <w:r w:rsidR="00D80127" w:rsidRPr="006F3B5C">
              <w:rPr>
                <w:i/>
              </w:rPr>
              <w:t>or at</w:t>
            </w:r>
            <w:r w:rsidR="00D80127" w:rsidRPr="006F3B5C">
              <w:t xml:space="preserve">, </w:t>
            </w:r>
            <w:r w:rsidRPr="006F3B5C">
              <w:t>two years thereafter</w:t>
            </w:r>
            <w:r w:rsidR="004C7C93" w:rsidRPr="006F3B5C">
              <w:t xml:space="preserve">.  </w:t>
            </w:r>
          </w:p>
          <w:p w14:paraId="65E40F92" w14:textId="77777777" w:rsidR="004C7C93" w:rsidRPr="006F3B5C" w:rsidRDefault="004C7C93" w:rsidP="0087122C">
            <w:pPr>
              <w:pStyle w:val="BlockText"/>
            </w:pPr>
          </w:p>
          <w:p w14:paraId="65E40F93" w14:textId="77777777" w:rsidR="00E7406A" w:rsidRPr="006F3B5C" w:rsidRDefault="00E7406A" w:rsidP="0087122C">
            <w:pPr>
              <w:pStyle w:val="BlockText"/>
            </w:pPr>
            <w:r w:rsidRPr="006F3B5C">
              <w:rPr>
                <w:b/>
                <w:i/>
              </w:rPr>
              <w:t>Note</w:t>
            </w:r>
            <w:r w:rsidRPr="006F3B5C">
              <w:t xml:space="preserve">:  It is </w:t>
            </w:r>
            <w:r w:rsidRPr="006F3B5C">
              <w:rPr>
                <w:i/>
              </w:rPr>
              <w:t>not</w:t>
            </w:r>
            <w:r w:rsidRPr="006F3B5C">
              <w:t xml:space="preserve"> necessary for the </w:t>
            </w:r>
            <w:r w:rsidR="002A33EA" w:rsidRPr="006F3B5C">
              <w:t>Veteran</w:t>
            </w:r>
            <w:r w:rsidRPr="006F3B5C">
              <w:t xml:space="preserve"> to have had 90 days of service to qualify.</w:t>
            </w:r>
          </w:p>
          <w:p w14:paraId="65E40F94" w14:textId="77777777" w:rsidR="00E7406A" w:rsidRPr="006F3B5C" w:rsidRDefault="00E7406A" w:rsidP="0087122C">
            <w:pPr>
              <w:pStyle w:val="BlockText"/>
            </w:pPr>
          </w:p>
          <w:p w14:paraId="65E40F95" w14:textId="77777777" w:rsidR="00E7406A" w:rsidRPr="006F3B5C" w:rsidRDefault="00E7406A" w:rsidP="0087122C">
            <w:pPr>
              <w:pStyle w:val="BlockText"/>
            </w:pPr>
            <w:r w:rsidRPr="006F3B5C">
              <w:rPr>
                <w:b/>
                <w:bCs/>
                <w:i/>
                <w:iCs/>
              </w:rPr>
              <w:t>Reference</w:t>
            </w:r>
            <w:r w:rsidR="00D80127" w:rsidRPr="006F3B5C">
              <w:rPr>
                <w:b/>
                <w:bCs/>
                <w:i/>
                <w:iCs/>
              </w:rPr>
              <w:t>s</w:t>
            </w:r>
            <w:r w:rsidRPr="006F3B5C">
              <w:t>:  For a definition of “psychosis,” see</w:t>
            </w:r>
          </w:p>
          <w:p w14:paraId="65E40F96" w14:textId="77777777" w:rsidR="00E7406A" w:rsidRPr="006F3B5C" w:rsidRDefault="00DD59CE">
            <w:pPr>
              <w:pStyle w:val="BulletText1"/>
            </w:pPr>
            <w:hyperlink r:id="rId99" w:history="1">
              <w:r w:rsidR="000711AA" w:rsidRPr="006F3B5C">
                <w:rPr>
                  <w:rStyle w:val="Hyperlink"/>
                </w:rPr>
                <w:t xml:space="preserve">38 </w:t>
              </w:r>
              <w:r w:rsidR="002A33EA" w:rsidRPr="006F3B5C">
                <w:rPr>
                  <w:rStyle w:val="Hyperlink"/>
                </w:rPr>
                <w:t>CFR</w:t>
              </w:r>
              <w:r w:rsidR="000711AA" w:rsidRPr="006F3B5C">
                <w:rPr>
                  <w:rStyle w:val="Hyperlink"/>
                </w:rPr>
                <w:t xml:space="preserve"> 3</w:t>
              </w:r>
              <w:r w:rsidR="00E7406A" w:rsidRPr="006F3B5C">
                <w:rPr>
                  <w:rStyle w:val="Hyperlink"/>
                </w:rPr>
                <w:t>.384</w:t>
              </w:r>
            </w:hyperlink>
            <w:r w:rsidR="00E7406A" w:rsidRPr="006F3B5C">
              <w:t>, and</w:t>
            </w:r>
          </w:p>
          <w:p w14:paraId="65E40F97" w14:textId="77777777" w:rsidR="00E7406A" w:rsidRPr="006F3B5C" w:rsidRDefault="00DD59CE">
            <w:pPr>
              <w:pStyle w:val="BulletText1"/>
            </w:pPr>
            <w:hyperlink r:id="rId100" w:history="1">
              <w:r w:rsidR="00E7406A" w:rsidRPr="006F3B5C">
                <w:rPr>
                  <w:rStyle w:val="Hyperlink"/>
                </w:rPr>
                <w:t xml:space="preserve">M21-1MR, Part III, Subpart </w:t>
              </w:r>
              <w:proofErr w:type="gramStart"/>
              <w:r w:rsidR="00E7406A" w:rsidRPr="006F3B5C">
                <w:rPr>
                  <w:rStyle w:val="Hyperlink"/>
                </w:rPr>
                <w:t>iv</w:t>
              </w:r>
              <w:proofErr w:type="gramEnd"/>
              <w:r w:rsidR="00E7406A" w:rsidRPr="006F3B5C">
                <w:rPr>
                  <w:rStyle w:val="Hyperlink"/>
                </w:rPr>
                <w:t>, 4.H.27.d</w:t>
              </w:r>
            </w:hyperlink>
            <w:r w:rsidR="00E7406A" w:rsidRPr="006F3B5C">
              <w:t>.</w:t>
            </w:r>
          </w:p>
        </w:tc>
      </w:tr>
    </w:tbl>
    <w:p w14:paraId="65E40F9C" w14:textId="77777777" w:rsidR="00510367" w:rsidRPr="006F3B5C" w:rsidRDefault="008B7568" w:rsidP="00510367">
      <w:pPr>
        <w:pStyle w:val="BlockLine"/>
      </w:pPr>
      <w:r w:rsidRPr="006F3B5C">
        <w:fldChar w:fldCharType="begin"/>
      </w:r>
      <w:r w:rsidRPr="006F3B5C">
        <w:instrText xml:space="preserve"> PRIVATE INFOTYPE="PROCESS"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0F9F" w14:textId="77777777" w:rsidTr="0087122C">
        <w:trPr>
          <w:cantSplit/>
          <w:trHeight w:val="240"/>
        </w:trPr>
        <w:tc>
          <w:tcPr>
            <w:tcW w:w="1728" w:type="dxa"/>
            <w:shd w:val="clear" w:color="auto" w:fill="auto"/>
          </w:tcPr>
          <w:p w14:paraId="65E40F9D" w14:textId="77777777" w:rsidR="00E7406A" w:rsidRPr="006F3B5C" w:rsidRDefault="001635FD" w:rsidP="001635FD">
            <w:pPr>
              <w:pStyle w:val="Heading5"/>
            </w:pPr>
            <w:bookmarkStart w:id="38" w:name="_d.__VHA"/>
            <w:bookmarkEnd w:id="38"/>
            <w:proofErr w:type="gramStart"/>
            <w:r w:rsidRPr="006F3B5C">
              <w:t>d</w:t>
            </w:r>
            <w:r w:rsidR="00E7406A" w:rsidRPr="006F3B5C">
              <w:t xml:space="preserve">.  </w:t>
            </w:r>
            <w:r w:rsidR="00D80127" w:rsidRPr="006F3B5C">
              <w:t>VHA</w:t>
            </w:r>
            <w:proofErr w:type="gramEnd"/>
            <w:r w:rsidR="00D80127" w:rsidRPr="006F3B5C">
              <w:t xml:space="preserve"> </w:t>
            </w:r>
            <w:r w:rsidRPr="006F3B5C">
              <w:t xml:space="preserve">Requests for </w:t>
            </w:r>
            <w:r w:rsidR="00F93E37" w:rsidRPr="006F3B5C">
              <w:t>38 U.S.C. 1</w:t>
            </w:r>
            <w:r w:rsidR="00E7406A" w:rsidRPr="006F3B5C">
              <w:t>702</w:t>
            </w:r>
            <w:r w:rsidRPr="006F3B5C">
              <w:t xml:space="preserve"> Determinations</w:t>
            </w:r>
          </w:p>
        </w:tc>
        <w:tc>
          <w:tcPr>
            <w:tcW w:w="7740" w:type="dxa"/>
            <w:shd w:val="clear" w:color="auto" w:fill="auto"/>
          </w:tcPr>
          <w:p w14:paraId="65E40F9E" w14:textId="7E565057" w:rsidR="00E7406A" w:rsidRPr="006F3B5C" w:rsidRDefault="001635FD" w:rsidP="00074DCC">
            <w:pPr>
              <w:pStyle w:val="BlockText"/>
            </w:pPr>
            <w:r w:rsidRPr="006F3B5C">
              <w:t>The table b</w:t>
            </w:r>
            <w:r w:rsidR="006B295A" w:rsidRPr="006F3B5C">
              <w:t>elow describes the proc</w:t>
            </w:r>
            <w:r w:rsidR="0004265A" w:rsidRPr="006F3B5C">
              <w:t>ess</w:t>
            </w:r>
            <w:r w:rsidR="006B295A" w:rsidRPr="006F3B5C">
              <w:t xml:space="preserve"> </w:t>
            </w:r>
            <w:r w:rsidRPr="006F3B5C">
              <w:t xml:space="preserve">when VHA requests a VBA </w:t>
            </w:r>
            <w:r w:rsidR="00074DCC" w:rsidRPr="006F3B5C">
              <w:t>determination of service connection</w:t>
            </w:r>
            <w:r w:rsidRPr="006F3B5C">
              <w:t xml:space="preserve"> </w:t>
            </w:r>
            <w:r w:rsidR="006B295A" w:rsidRPr="006F3B5C">
              <w:t>under</w:t>
            </w:r>
            <w:r w:rsidRPr="006F3B5C">
              <w:t xml:space="preserve"> </w:t>
            </w:r>
            <w:hyperlink r:id="rId101" w:history="1">
              <w:r w:rsidRPr="006F3B5C">
                <w:rPr>
                  <w:rStyle w:val="Hyperlink"/>
                </w:rPr>
                <w:t>38 U.S.C. 1702</w:t>
              </w:r>
            </w:hyperlink>
            <w:r w:rsidRPr="006F3B5C">
              <w:t>.</w:t>
            </w:r>
          </w:p>
        </w:tc>
      </w:tr>
    </w:tbl>
    <w:p w14:paraId="65E40FA0" w14:textId="77777777" w:rsidR="001635FD" w:rsidRPr="006F3B5C" w:rsidRDefault="001635FD" w:rsidP="0087122C">
      <w:pPr>
        <w:pStyle w:val="BlockText"/>
      </w:pPr>
    </w:p>
    <w:tbl>
      <w:tblPr>
        <w:tblW w:w="9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02"/>
        <w:gridCol w:w="8359"/>
      </w:tblGrid>
      <w:tr w:rsidR="001635FD" w:rsidRPr="006F3B5C" w14:paraId="65E40FA3" w14:textId="77777777" w:rsidTr="0087122C">
        <w:trPr>
          <w:trHeight w:val="144"/>
        </w:trPr>
        <w:tc>
          <w:tcPr>
            <w:tcW w:w="535" w:type="pct"/>
            <w:shd w:val="clear" w:color="auto" w:fill="auto"/>
          </w:tcPr>
          <w:p w14:paraId="65E40FA1" w14:textId="77777777" w:rsidR="001635FD" w:rsidRPr="006F3B5C" w:rsidRDefault="001635FD" w:rsidP="0087122C">
            <w:pPr>
              <w:pStyle w:val="TableHeaderText"/>
            </w:pPr>
            <w:r w:rsidRPr="006F3B5C">
              <w:t>Stage</w:t>
            </w:r>
          </w:p>
        </w:tc>
        <w:tc>
          <w:tcPr>
            <w:tcW w:w="4465" w:type="pct"/>
            <w:shd w:val="clear" w:color="auto" w:fill="auto"/>
          </w:tcPr>
          <w:p w14:paraId="65E40FA2" w14:textId="77777777" w:rsidR="001635FD" w:rsidRPr="006F3B5C" w:rsidRDefault="001635FD" w:rsidP="0087122C">
            <w:pPr>
              <w:pStyle w:val="TableHeaderText"/>
            </w:pPr>
            <w:r w:rsidRPr="006F3B5C">
              <w:t>Description</w:t>
            </w:r>
          </w:p>
        </w:tc>
      </w:tr>
      <w:tr w:rsidR="001635FD" w:rsidRPr="006F3B5C" w14:paraId="65E40FAD" w14:textId="77777777" w:rsidTr="0087122C">
        <w:trPr>
          <w:trHeight w:val="144"/>
        </w:trPr>
        <w:tc>
          <w:tcPr>
            <w:tcW w:w="535" w:type="pct"/>
            <w:shd w:val="clear" w:color="auto" w:fill="auto"/>
          </w:tcPr>
          <w:p w14:paraId="65E40FA4" w14:textId="77777777" w:rsidR="001635FD" w:rsidRPr="006F3B5C" w:rsidRDefault="001635FD" w:rsidP="0087122C">
            <w:pPr>
              <w:pStyle w:val="TableText"/>
              <w:jc w:val="center"/>
            </w:pPr>
            <w:r w:rsidRPr="006F3B5C">
              <w:t>1</w:t>
            </w:r>
          </w:p>
        </w:tc>
        <w:tc>
          <w:tcPr>
            <w:tcW w:w="4465" w:type="pct"/>
            <w:shd w:val="clear" w:color="auto" w:fill="auto"/>
          </w:tcPr>
          <w:p w14:paraId="65E40FA5" w14:textId="5055268B" w:rsidR="001635FD" w:rsidRPr="006F3B5C" w:rsidRDefault="001635FD" w:rsidP="0087122C">
            <w:pPr>
              <w:pStyle w:val="BlockText"/>
            </w:pPr>
            <w:r w:rsidRPr="006F3B5C">
              <w:t xml:space="preserve">VHA submits requests for determination of </w:t>
            </w:r>
            <w:r w:rsidR="00074DCC" w:rsidRPr="006F3B5C">
              <w:t>service connection</w:t>
            </w:r>
            <w:r w:rsidRPr="006F3B5C">
              <w:t xml:space="preserve"> accompanied by </w:t>
            </w:r>
          </w:p>
          <w:p w14:paraId="65E40FA6" w14:textId="77777777" w:rsidR="001635FD" w:rsidRPr="006F3B5C" w:rsidRDefault="001635FD" w:rsidP="0087122C">
            <w:pPr>
              <w:pStyle w:val="BlockText"/>
            </w:pPr>
          </w:p>
          <w:p w14:paraId="65E40FA7" w14:textId="77777777" w:rsidR="001635FD" w:rsidRPr="006F3B5C" w:rsidRDefault="001635FD" w:rsidP="001635FD">
            <w:pPr>
              <w:pStyle w:val="BulletText1"/>
            </w:pPr>
            <w:r w:rsidRPr="006F3B5C">
              <w:t>a copy of a completed</w:t>
            </w:r>
          </w:p>
          <w:p w14:paraId="65E40FA8" w14:textId="77777777" w:rsidR="001635FD" w:rsidRPr="006F3B5C" w:rsidRDefault="001635FD" w:rsidP="001635FD">
            <w:pPr>
              <w:pStyle w:val="BulletText2"/>
            </w:pPr>
            <w:r w:rsidRPr="006F3B5C">
              <w:rPr>
                <w:i/>
                <w:iCs/>
              </w:rPr>
              <w:t>VA Form 10-10</w:t>
            </w:r>
            <w:r w:rsidR="00DE6890" w:rsidRPr="006F3B5C">
              <w:rPr>
                <w:i/>
                <w:iCs/>
              </w:rPr>
              <w:t>EZ</w:t>
            </w:r>
            <w:r w:rsidRPr="006F3B5C">
              <w:rPr>
                <w:i/>
                <w:iCs/>
              </w:rPr>
              <w:t xml:space="preserve">, Application for </w:t>
            </w:r>
            <w:r w:rsidR="00DE6890" w:rsidRPr="006F3B5C">
              <w:rPr>
                <w:i/>
                <w:iCs/>
              </w:rPr>
              <w:t>Health</w:t>
            </w:r>
            <w:r w:rsidRPr="006F3B5C">
              <w:rPr>
                <w:i/>
                <w:iCs/>
              </w:rPr>
              <w:t xml:space="preserve"> Benefits</w:t>
            </w:r>
            <w:r w:rsidRPr="006F3B5C">
              <w:t>, or</w:t>
            </w:r>
          </w:p>
          <w:p w14:paraId="65E40FA9" w14:textId="77777777" w:rsidR="001635FD" w:rsidRPr="006F3B5C" w:rsidRDefault="001635FD" w:rsidP="001635FD">
            <w:pPr>
              <w:pStyle w:val="BulletText2"/>
            </w:pPr>
            <w:r w:rsidRPr="006F3B5C">
              <w:rPr>
                <w:i/>
                <w:iCs/>
              </w:rPr>
              <w:t>VA Form 10-10</w:t>
            </w:r>
            <w:r w:rsidR="00DE6890" w:rsidRPr="006F3B5C">
              <w:rPr>
                <w:i/>
                <w:iCs/>
              </w:rPr>
              <w:t>EZ</w:t>
            </w:r>
            <w:r w:rsidR="00645E50" w:rsidRPr="006F3B5C">
              <w:rPr>
                <w:i/>
                <w:iCs/>
              </w:rPr>
              <w:t>R</w:t>
            </w:r>
            <w:r w:rsidRPr="006F3B5C">
              <w:rPr>
                <w:i/>
                <w:iCs/>
              </w:rPr>
              <w:t xml:space="preserve">, </w:t>
            </w:r>
            <w:r w:rsidR="00645E50" w:rsidRPr="006F3B5C">
              <w:rPr>
                <w:i/>
                <w:iCs/>
              </w:rPr>
              <w:t>Health Benefits Renewal Form</w:t>
            </w:r>
            <w:r w:rsidRPr="006F3B5C">
              <w:t>, and</w:t>
            </w:r>
          </w:p>
          <w:p w14:paraId="65E40FAA" w14:textId="77777777" w:rsidR="001635FD" w:rsidRPr="006F3B5C" w:rsidRDefault="001635FD" w:rsidP="001635FD">
            <w:pPr>
              <w:pStyle w:val="BulletText2"/>
            </w:pPr>
            <w:r w:rsidRPr="006F3B5C">
              <w:rPr>
                <w:i/>
                <w:iCs/>
              </w:rPr>
              <w:t>VA Form 10-10m, Medical Certificate</w:t>
            </w:r>
            <w:r w:rsidRPr="006F3B5C">
              <w:t>, and</w:t>
            </w:r>
          </w:p>
          <w:p w14:paraId="65E40FAB" w14:textId="77777777" w:rsidR="001635FD" w:rsidRPr="006F3B5C" w:rsidRDefault="001635FD" w:rsidP="001635FD">
            <w:pPr>
              <w:pStyle w:val="BulletText1"/>
            </w:pPr>
            <w:proofErr w:type="gramStart"/>
            <w:r w:rsidRPr="006F3B5C">
              <w:t>any</w:t>
            </w:r>
            <w:proofErr w:type="gramEnd"/>
            <w:r w:rsidRPr="006F3B5C">
              <w:t xml:space="preserve"> other available professional report submitted with, or developed in conjunction with, the application for hospital or outpatient treatment.</w:t>
            </w:r>
          </w:p>
          <w:p w14:paraId="65E40FAC" w14:textId="77777777" w:rsidR="001635FD" w:rsidRPr="006F3B5C" w:rsidRDefault="001635FD" w:rsidP="0087122C">
            <w:pPr>
              <w:pStyle w:val="TableText"/>
            </w:pPr>
          </w:p>
        </w:tc>
      </w:tr>
      <w:tr w:rsidR="001635FD" w:rsidRPr="006F3B5C" w14:paraId="65E40FB0" w14:textId="77777777" w:rsidTr="0004265A">
        <w:trPr>
          <w:trHeight w:val="1191"/>
        </w:trPr>
        <w:tc>
          <w:tcPr>
            <w:tcW w:w="535" w:type="pct"/>
            <w:shd w:val="clear" w:color="auto" w:fill="auto"/>
          </w:tcPr>
          <w:p w14:paraId="65E40FAE" w14:textId="77777777" w:rsidR="001635FD" w:rsidRPr="006F3B5C" w:rsidRDefault="001635FD" w:rsidP="0087122C">
            <w:pPr>
              <w:pStyle w:val="TableText"/>
              <w:jc w:val="center"/>
            </w:pPr>
            <w:r w:rsidRPr="006F3B5C">
              <w:lastRenderedPageBreak/>
              <w:t>2</w:t>
            </w:r>
          </w:p>
        </w:tc>
        <w:tc>
          <w:tcPr>
            <w:tcW w:w="4465" w:type="pct"/>
            <w:shd w:val="clear" w:color="auto" w:fill="auto"/>
          </w:tcPr>
          <w:p w14:paraId="65E40FAF" w14:textId="77777777" w:rsidR="0004265A" w:rsidRPr="006F3B5C" w:rsidRDefault="00510367" w:rsidP="0004265A">
            <w:pPr>
              <w:pStyle w:val="TableText"/>
            </w:pPr>
            <w:r w:rsidRPr="006F3B5C">
              <w:t xml:space="preserve">Follow the procedure for handling a request for rating activity action in </w:t>
            </w:r>
            <w:hyperlink r:id="rId102" w:history="1">
              <w:r w:rsidRPr="006F3B5C">
                <w:rPr>
                  <w:rStyle w:val="Hyperlink"/>
                </w:rPr>
                <w:t>M21-1MR, III.v.7.A.4.b</w:t>
              </w:r>
            </w:hyperlink>
            <w:r w:rsidRPr="006F3B5C">
              <w:t>.</w:t>
            </w:r>
          </w:p>
        </w:tc>
      </w:tr>
    </w:tbl>
    <w:p w14:paraId="65E40FB3" w14:textId="77777777" w:rsidR="006B295A" w:rsidRPr="006F3B5C" w:rsidRDefault="008B7568" w:rsidP="006B295A">
      <w:pPr>
        <w:pStyle w:val="BlockLine"/>
      </w:pPr>
      <w:r w:rsidRPr="006F3B5C">
        <w:fldChar w:fldCharType="begin"/>
      </w:r>
      <w:r w:rsidRPr="006F3B5C">
        <w:instrText xml:space="preserve"> PRIVATE INFOTYPE="PROCEDURE" </w:instrText>
      </w:r>
      <w:r w:rsidRPr="006F3B5C">
        <w:fldChar w:fldCharType="end"/>
      </w:r>
    </w:p>
    <w:tbl>
      <w:tblPr>
        <w:tblW w:w="0" w:type="auto"/>
        <w:tblLayout w:type="fixed"/>
        <w:tblLook w:val="0000" w:firstRow="0" w:lastRow="0" w:firstColumn="0" w:lastColumn="0" w:noHBand="0" w:noVBand="0"/>
      </w:tblPr>
      <w:tblGrid>
        <w:gridCol w:w="1728"/>
        <w:gridCol w:w="7740"/>
      </w:tblGrid>
      <w:tr w:rsidR="006B295A" w:rsidRPr="006F3B5C" w14:paraId="65E40FB6" w14:textId="77777777" w:rsidTr="006B295A">
        <w:tc>
          <w:tcPr>
            <w:tcW w:w="1728" w:type="dxa"/>
            <w:shd w:val="clear" w:color="auto" w:fill="auto"/>
          </w:tcPr>
          <w:p w14:paraId="65E40FB4" w14:textId="77777777" w:rsidR="006B295A" w:rsidRPr="006F3B5C" w:rsidRDefault="007120F2" w:rsidP="00A23A35">
            <w:pPr>
              <w:pStyle w:val="Heading5"/>
            </w:pPr>
            <w:bookmarkStart w:id="39" w:name="_e.__Addressing"/>
            <w:bookmarkEnd w:id="39"/>
            <w:proofErr w:type="gramStart"/>
            <w:r w:rsidRPr="006F3B5C">
              <w:t xml:space="preserve">e.  </w:t>
            </w:r>
            <w:r w:rsidR="00A23A35" w:rsidRPr="006F3B5C">
              <w:t>Addressing</w:t>
            </w:r>
            <w:proofErr w:type="gramEnd"/>
            <w:r w:rsidR="00A23A35" w:rsidRPr="006F3B5C">
              <w:t xml:space="preserve"> a</w:t>
            </w:r>
            <w:r w:rsidR="00FE3386" w:rsidRPr="006F3B5C">
              <w:t xml:space="preserve"> VHA-</w:t>
            </w:r>
            <w:r w:rsidR="00A23A35" w:rsidRPr="006F3B5C">
              <w:t>requested 38 U.S.C. 1702 determination in the Rating Decision</w:t>
            </w:r>
          </w:p>
        </w:tc>
        <w:tc>
          <w:tcPr>
            <w:tcW w:w="7740" w:type="dxa"/>
            <w:shd w:val="clear" w:color="auto" w:fill="auto"/>
          </w:tcPr>
          <w:p w14:paraId="65E40FB5" w14:textId="77777777" w:rsidR="00A23A35" w:rsidRPr="006F3B5C" w:rsidRDefault="00A23A35" w:rsidP="00FE3386">
            <w:pPr>
              <w:pStyle w:val="BlockText"/>
            </w:pPr>
            <w:r w:rsidRPr="006F3B5C">
              <w:t xml:space="preserve">Use the following table when issuing a rating decision in response to a </w:t>
            </w:r>
            <w:r w:rsidRPr="006F3B5C">
              <w:rPr>
                <w:b/>
                <w:i/>
              </w:rPr>
              <w:t>request</w:t>
            </w:r>
            <w:r w:rsidR="00FE3386" w:rsidRPr="006F3B5C">
              <w:rPr>
                <w:b/>
                <w:i/>
              </w:rPr>
              <w:t xml:space="preserve"> by VHA</w:t>
            </w:r>
            <w:r w:rsidR="00FE3386" w:rsidRPr="006F3B5C">
              <w:t xml:space="preserve"> </w:t>
            </w:r>
            <w:r w:rsidRPr="006F3B5C">
              <w:t xml:space="preserve">for a </w:t>
            </w:r>
            <w:hyperlink r:id="rId103" w:history="1">
              <w:r w:rsidRPr="006F3B5C">
                <w:rPr>
                  <w:rStyle w:val="Hyperlink"/>
                </w:rPr>
                <w:t>38 U.S.C. 1702</w:t>
              </w:r>
            </w:hyperlink>
            <w:r w:rsidRPr="006F3B5C">
              <w:t xml:space="preserve"> determination.</w:t>
            </w:r>
          </w:p>
        </w:tc>
      </w:tr>
    </w:tbl>
    <w:p w14:paraId="65E40FB7" w14:textId="77777777" w:rsidR="006B295A" w:rsidRPr="006F3B5C" w:rsidRDefault="006B295A" w:rsidP="006B295A"/>
    <w:tbl>
      <w:tblPr>
        <w:tblW w:w="9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05"/>
        <w:gridCol w:w="5656"/>
      </w:tblGrid>
      <w:tr w:rsidR="006B295A" w:rsidRPr="006F3B5C" w14:paraId="65E40FBA" w14:textId="77777777" w:rsidTr="0087122C">
        <w:trPr>
          <w:trHeight w:val="144"/>
        </w:trPr>
        <w:tc>
          <w:tcPr>
            <w:tcW w:w="1979" w:type="pct"/>
            <w:shd w:val="clear" w:color="auto" w:fill="auto"/>
          </w:tcPr>
          <w:p w14:paraId="65E40FB8" w14:textId="77777777" w:rsidR="006B295A" w:rsidRPr="006F3B5C" w:rsidRDefault="006B295A" w:rsidP="0087122C">
            <w:pPr>
              <w:pStyle w:val="TableHeaderText"/>
              <w:jc w:val="left"/>
            </w:pPr>
            <w:r w:rsidRPr="006F3B5C">
              <w:t>If ...</w:t>
            </w:r>
          </w:p>
        </w:tc>
        <w:tc>
          <w:tcPr>
            <w:tcW w:w="3021" w:type="pct"/>
            <w:shd w:val="clear" w:color="auto" w:fill="auto"/>
          </w:tcPr>
          <w:p w14:paraId="65E40FB9" w14:textId="77777777" w:rsidR="006B295A" w:rsidRPr="006F3B5C" w:rsidRDefault="006B295A" w:rsidP="0087122C">
            <w:pPr>
              <w:pStyle w:val="TableHeaderText"/>
              <w:jc w:val="left"/>
            </w:pPr>
            <w:r w:rsidRPr="006F3B5C">
              <w:t>Then ...</w:t>
            </w:r>
          </w:p>
        </w:tc>
      </w:tr>
      <w:tr w:rsidR="006B295A" w:rsidRPr="006F3B5C" w14:paraId="65E40FBF" w14:textId="77777777" w:rsidTr="0087122C">
        <w:trPr>
          <w:trHeight w:val="144"/>
        </w:trPr>
        <w:tc>
          <w:tcPr>
            <w:tcW w:w="1979" w:type="pct"/>
            <w:shd w:val="clear" w:color="auto" w:fill="auto"/>
          </w:tcPr>
          <w:p w14:paraId="65E40FBB" w14:textId="6DB495F5" w:rsidR="006B295A" w:rsidRPr="006F3B5C" w:rsidRDefault="006B295A" w:rsidP="0087122C">
            <w:pPr>
              <w:pStyle w:val="TableText"/>
            </w:pPr>
            <w:r w:rsidRPr="006F3B5C">
              <w:t xml:space="preserve">The criteria for </w:t>
            </w:r>
            <w:r w:rsidR="00074DCC" w:rsidRPr="006F3B5C">
              <w:t>service connection</w:t>
            </w:r>
            <w:r w:rsidRPr="006F3B5C">
              <w:t xml:space="preserve"> under </w:t>
            </w:r>
            <w:hyperlink r:id="rId104" w:history="1">
              <w:r w:rsidRPr="006F3B5C">
                <w:rPr>
                  <w:rStyle w:val="Hyperlink"/>
                </w:rPr>
                <w:t>38 U.S.C. 1702</w:t>
              </w:r>
            </w:hyperlink>
            <w:r w:rsidRPr="006F3B5C">
              <w:t xml:space="preserve"> are established,</w:t>
            </w:r>
          </w:p>
        </w:tc>
        <w:tc>
          <w:tcPr>
            <w:tcW w:w="3021" w:type="pct"/>
            <w:shd w:val="clear" w:color="auto" w:fill="auto"/>
          </w:tcPr>
          <w:p w14:paraId="65E40FBC" w14:textId="77777777" w:rsidR="00363964" w:rsidRPr="006F3B5C" w:rsidRDefault="00363964" w:rsidP="00363964">
            <w:pPr>
              <w:pStyle w:val="BulletText1"/>
            </w:pPr>
            <w:r w:rsidRPr="006F3B5C">
              <w:t>the decision should be a separate issue in the rating decision, and</w:t>
            </w:r>
          </w:p>
          <w:p w14:paraId="65E40FBD" w14:textId="75A94B8E" w:rsidR="006B295A" w:rsidRPr="006F3B5C" w:rsidRDefault="0032444F" w:rsidP="00363964">
            <w:pPr>
              <w:pStyle w:val="BulletText1"/>
            </w:pPr>
            <w:proofErr w:type="gramStart"/>
            <w:r w:rsidRPr="006F3B5C">
              <w:t>the</w:t>
            </w:r>
            <w:proofErr w:type="gramEnd"/>
            <w:r w:rsidR="006B295A" w:rsidRPr="006F3B5C">
              <w:t xml:space="preserve"> codesheet</w:t>
            </w:r>
            <w:r w:rsidR="00363964" w:rsidRPr="006F3B5C">
              <w:t xml:space="preserve"> </w:t>
            </w:r>
            <w:r w:rsidRPr="006F3B5C">
              <w:t xml:space="preserve">will </w:t>
            </w:r>
            <w:r w:rsidR="001C2B9F" w:rsidRPr="006F3B5C">
              <w:t>show</w:t>
            </w:r>
            <w:r w:rsidR="00363964" w:rsidRPr="006F3B5C">
              <w:t xml:space="preserve"> the text </w:t>
            </w:r>
            <w:r w:rsidR="006B295A" w:rsidRPr="006F3B5C">
              <w:rPr>
                <w:i/>
              </w:rPr>
              <w:t>Active Psychosis/GW Mental</w:t>
            </w:r>
            <w:r w:rsidRPr="006F3B5C">
              <w:rPr>
                <w:i/>
              </w:rPr>
              <w:t xml:space="preserve">, </w:t>
            </w:r>
            <w:r w:rsidR="006B295A" w:rsidRPr="006F3B5C">
              <w:rPr>
                <w:i/>
              </w:rPr>
              <w:t>SC for Treatment Only</w:t>
            </w:r>
            <w:r w:rsidR="00A84D99" w:rsidRPr="006F3B5C">
              <w:t xml:space="preserve">. </w:t>
            </w:r>
          </w:p>
          <w:p w14:paraId="65E40FBE" w14:textId="77777777" w:rsidR="00A23A35" w:rsidRPr="006F3B5C" w:rsidRDefault="00A23A35" w:rsidP="0087122C">
            <w:pPr>
              <w:pStyle w:val="TableText"/>
            </w:pPr>
          </w:p>
        </w:tc>
      </w:tr>
      <w:tr w:rsidR="006B295A" w:rsidRPr="006F3B5C" w14:paraId="65E40FC5" w14:textId="77777777" w:rsidTr="0087122C">
        <w:trPr>
          <w:trHeight w:val="144"/>
        </w:trPr>
        <w:tc>
          <w:tcPr>
            <w:tcW w:w="1979" w:type="pct"/>
            <w:shd w:val="clear" w:color="auto" w:fill="auto"/>
          </w:tcPr>
          <w:p w14:paraId="65E40FC0" w14:textId="43E9D4AF" w:rsidR="006B295A" w:rsidRPr="006F3B5C" w:rsidRDefault="006B295A" w:rsidP="0087122C">
            <w:pPr>
              <w:pStyle w:val="BlockText"/>
            </w:pPr>
            <w:r w:rsidRPr="006F3B5C">
              <w:t xml:space="preserve">If the criteria for </w:t>
            </w:r>
            <w:r w:rsidR="00074DCC" w:rsidRPr="006F3B5C">
              <w:t>service connection</w:t>
            </w:r>
            <w:r w:rsidRPr="006F3B5C">
              <w:t xml:space="preserve"> under </w:t>
            </w:r>
            <w:hyperlink r:id="rId105" w:history="1">
              <w:r w:rsidRPr="006F3B5C">
                <w:rPr>
                  <w:rStyle w:val="Hyperlink"/>
                </w:rPr>
                <w:t>38 U.S.C. 1702</w:t>
              </w:r>
            </w:hyperlink>
            <w:r w:rsidRPr="006F3B5C">
              <w:t xml:space="preserve"> are not established,</w:t>
            </w:r>
          </w:p>
          <w:p w14:paraId="65E40FC1" w14:textId="77777777" w:rsidR="006B295A" w:rsidRPr="006F3B5C" w:rsidRDefault="006B295A" w:rsidP="0087122C">
            <w:pPr>
              <w:pStyle w:val="TableText"/>
            </w:pPr>
          </w:p>
        </w:tc>
        <w:tc>
          <w:tcPr>
            <w:tcW w:w="3020" w:type="pct"/>
            <w:shd w:val="clear" w:color="auto" w:fill="auto"/>
          </w:tcPr>
          <w:p w14:paraId="65E40FC2" w14:textId="77777777" w:rsidR="00363964" w:rsidRPr="006F3B5C" w:rsidRDefault="00363964" w:rsidP="00363964">
            <w:pPr>
              <w:pStyle w:val="BulletText1"/>
            </w:pPr>
            <w:r w:rsidRPr="006F3B5C">
              <w:t>the decision should be a separate issue in the rating decision</w:t>
            </w:r>
            <w:r w:rsidR="00A84D99" w:rsidRPr="006F3B5C">
              <w:t xml:space="preserve"> and</w:t>
            </w:r>
          </w:p>
          <w:p w14:paraId="65E40FC3" w14:textId="37BEB88E" w:rsidR="006B295A" w:rsidRPr="006F3B5C" w:rsidRDefault="003D0078" w:rsidP="006B295A">
            <w:pPr>
              <w:pStyle w:val="BulletText1"/>
            </w:pPr>
            <w:r w:rsidRPr="006F3B5C">
              <w:t>the</w:t>
            </w:r>
            <w:r w:rsidR="00B10C0B" w:rsidRPr="006F3B5C">
              <w:t xml:space="preserve"> codesh</w:t>
            </w:r>
            <w:r w:rsidR="00A84D99" w:rsidRPr="006F3B5C">
              <w:t xml:space="preserve">eet </w:t>
            </w:r>
            <w:r w:rsidRPr="006F3B5C">
              <w:t xml:space="preserve">will </w:t>
            </w:r>
            <w:r w:rsidR="001C2B9F" w:rsidRPr="006F3B5C">
              <w:t xml:space="preserve">show </w:t>
            </w:r>
            <w:r w:rsidR="00A84D99" w:rsidRPr="006F3B5C">
              <w:t xml:space="preserve">the text </w:t>
            </w:r>
            <w:r w:rsidR="006B295A" w:rsidRPr="006F3B5C">
              <w:rPr>
                <w:i/>
              </w:rPr>
              <w:t>Active Psychosis/GW Mental</w:t>
            </w:r>
            <w:r w:rsidRPr="006F3B5C">
              <w:rPr>
                <w:i/>
              </w:rPr>
              <w:t xml:space="preserve">, </w:t>
            </w:r>
            <w:r w:rsidR="006B295A" w:rsidRPr="006F3B5C">
              <w:rPr>
                <w:i/>
              </w:rPr>
              <w:t>NSC-1702</w:t>
            </w:r>
          </w:p>
          <w:p w14:paraId="65E40FC4" w14:textId="77777777" w:rsidR="006B295A" w:rsidRPr="006F3B5C" w:rsidRDefault="006B295A" w:rsidP="0087122C">
            <w:pPr>
              <w:pStyle w:val="TableText"/>
            </w:pPr>
          </w:p>
        </w:tc>
      </w:tr>
    </w:tbl>
    <w:p w14:paraId="65E40FC6" w14:textId="77777777" w:rsidR="006B295A" w:rsidRPr="006F3B5C" w:rsidRDefault="006B295A" w:rsidP="006B295A"/>
    <w:tbl>
      <w:tblPr>
        <w:tblW w:w="7488" w:type="dxa"/>
        <w:tblInd w:w="1872" w:type="dxa"/>
        <w:tblLayout w:type="fixed"/>
        <w:tblLook w:val="0000" w:firstRow="0" w:lastRow="0" w:firstColumn="0" w:lastColumn="0" w:noHBand="0" w:noVBand="0"/>
      </w:tblPr>
      <w:tblGrid>
        <w:gridCol w:w="7488"/>
      </w:tblGrid>
      <w:tr w:rsidR="006B295A" w:rsidRPr="006F3B5C" w14:paraId="65E40FCA" w14:textId="77777777" w:rsidTr="0087122C">
        <w:tc>
          <w:tcPr>
            <w:tcW w:w="5000" w:type="pct"/>
            <w:shd w:val="clear" w:color="auto" w:fill="auto"/>
          </w:tcPr>
          <w:p w14:paraId="65E40FC7" w14:textId="7C0E568C" w:rsidR="005C37F7" w:rsidRPr="006F3B5C" w:rsidRDefault="005C37F7" w:rsidP="0087122C">
            <w:pPr>
              <w:pStyle w:val="TableText"/>
            </w:pPr>
            <w:r w:rsidRPr="006F3B5C">
              <w:rPr>
                <w:b/>
                <w:i/>
              </w:rPr>
              <w:t>Note</w:t>
            </w:r>
            <w:r w:rsidRPr="006F3B5C">
              <w:t xml:space="preserve">: </w:t>
            </w:r>
            <w:r w:rsidR="00B10C0B" w:rsidRPr="006F3B5C">
              <w:t xml:space="preserve"> </w:t>
            </w:r>
            <w:r w:rsidR="009F352A" w:rsidRPr="006F3B5C">
              <w:t xml:space="preserve">When </w:t>
            </w:r>
            <w:r w:rsidRPr="006F3B5C">
              <w:t xml:space="preserve">addressing a VHA request for a </w:t>
            </w:r>
            <w:r w:rsidR="001C2B9F" w:rsidRPr="006F3B5C">
              <w:t xml:space="preserve">1702 </w:t>
            </w:r>
            <w:r w:rsidRPr="006F3B5C">
              <w:t xml:space="preserve">determination, the issue of </w:t>
            </w:r>
            <w:r w:rsidR="001150F4" w:rsidRPr="006F3B5C">
              <w:t>SC</w:t>
            </w:r>
            <w:r w:rsidRPr="006F3B5C">
              <w:t xml:space="preserve"> of a mental disorder for treatment purposes under the provisions of </w:t>
            </w:r>
            <w:hyperlink r:id="rId106" w:history="1">
              <w:r w:rsidRPr="006F3B5C">
                <w:rPr>
                  <w:rStyle w:val="Hyperlink"/>
                </w:rPr>
                <w:t>38 U.S.C. 1702</w:t>
              </w:r>
            </w:hyperlink>
            <w:r w:rsidRPr="006F3B5C">
              <w:t xml:space="preserve"> </w:t>
            </w:r>
            <w:r w:rsidRPr="006F3B5C">
              <w:rPr>
                <w:b/>
                <w:i/>
              </w:rPr>
              <w:t>should</w:t>
            </w:r>
            <w:r w:rsidRPr="006F3B5C">
              <w:t xml:space="preserve"> </w:t>
            </w:r>
            <w:r w:rsidRPr="006F3B5C">
              <w:rPr>
                <w:b/>
                <w:i/>
              </w:rPr>
              <w:t xml:space="preserve">always </w:t>
            </w:r>
            <w:r w:rsidRPr="006F3B5C">
              <w:t xml:space="preserve">be listed as a separate or </w:t>
            </w:r>
            <w:r w:rsidR="003721D3" w:rsidRPr="006F3B5C">
              <w:t>stand-alone</w:t>
            </w:r>
            <w:r w:rsidRPr="006F3B5C">
              <w:t xml:space="preserve"> issue.</w:t>
            </w:r>
          </w:p>
          <w:p w14:paraId="65E40FC8" w14:textId="77777777" w:rsidR="007120F2" w:rsidRPr="006F3B5C" w:rsidRDefault="007120F2" w:rsidP="0087122C">
            <w:pPr>
              <w:pStyle w:val="TableText"/>
            </w:pPr>
          </w:p>
          <w:p w14:paraId="65E40FC9" w14:textId="70F5761B" w:rsidR="008C5FE2" w:rsidRPr="006F3B5C" w:rsidRDefault="007120F2" w:rsidP="00363964">
            <w:pPr>
              <w:pStyle w:val="TableText"/>
            </w:pPr>
            <w:r w:rsidRPr="006F3B5C">
              <w:rPr>
                <w:b/>
                <w:i/>
              </w:rPr>
              <w:t>Reference</w:t>
            </w:r>
            <w:r w:rsidRPr="006F3B5C">
              <w:t xml:space="preserve">:  For more information on </w:t>
            </w:r>
            <w:r w:rsidR="008E2A45" w:rsidRPr="006F3B5C">
              <w:t xml:space="preserve">addressing the subordinate or inferred </w:t>
            </w:r>
            <w:r w:rsidRPr="006F3B5C">
              <w:t xml:space="preserve">issue of </w:t>
            </w:r>
            <w:hyperlink r:id="rId107" w:history="1">
              <w:r w:rsidRPr="006F3B5C">
                <w:rPr>
                  <w:rStyle w:val="Hyperlink"/>
                </w:rPr>
                <w:t>38 U.S.C. 1702</w:t>
              </w:r>
            </w:hyperlink>
            <w:r w:rsidRPr="006F3B5C">
              <w:t xml:space="preserve"> in the </w:t>
            </w:r>
            <w:r w:rsidR="009F352A" w:rsidRPr="006F3B5C">
              <w:t>r</w:t>
            </w:r>
            <w:r w:rsidRPr="006F3B5C">
              <w:t xml:space="preserve">ating </w:t>
            </w:r>
            <w:r w:rsidR="009F352A" w:rsidRPr="006F3B5C">
              <w:t>d</w:t>
            </w:r>
            <w:r w:rsidRPr="006F3B5C">
              <w:t xml:space="preserve">ecision see </w:t>
            </w:r>
            <w:hyperlink r:id="rId108" w:history="1">
              <w:r w:rsidRPr="006F3B5C">
                <w:rPr>
                  <w:rStyle w:val="Hyperlink"/>
                </w:rPr>
                <w:t>M21-1MR, Part IX, Subpart ii, 2.5.f</w:t>
              </w:r>
            </w:hyperlink>
            <w:r w:rsidRPr="006F3B5C">
              <w:t>.</w:t>
            </w:r>
          </w:p>
        </w:tc>
      </w:tr>
    </w:tbl>
    <w:p w14:paraId="65E40FCD" w14:textId="77777777" w:rsidR="00C75E8C" w:rsidRPr="006F3B5C" w:rsidRDefault="00C75E8C" w:rsidP="00A23A35">
      <w:pPr>
        <w:pStyle w:val="BlockLine"/>
      </w:pPr>
    </w:p>
    <w:tbl>
      <w:tblPr>
        <w:tblW w:w="0" w:type="auto"/>
        <w:tblLayout w:type="fixed"/>
        <w:tblLook w:val="0000" w:firstRow="0" w:lastRow="0" w:firstColumn="0" w:lastColumn="0" w:noHBand="0" w:noVBand="0"/>
      </w:tblPr>
      <w:tblGrid>
        <w:gridCol w:w="1728"/>
        <w:gridCol w:w="7740"/>
      </w:tblGrid>
      <w:tr w:rsidR="00C75E8C" w:rsidRPr="006F3B5C" w14:paraId="65E40FD3" w14:textId="77777777" w:rsidTr="0087122C">
        <w:trPr>
          <w:trHeight w:val="240"/>
        </w:trPr>
        <w:tc>
          <w:tcPr>
            <w:tcW w:w="1728" w:type="dxa"/>
            <w:shd w:val="clear" w:color="auto" w:fill="auto"/>
          </w:tcPr>
          <w:p w14:paraId="65E40FCE" w14:textId="77777777" w:rsidR="00C75E8C" w:rsidRPr="006F3B5C" w:rsidRDefault="006F4AE6" w:rsidP="008E2A45">
            <w:pPr>
              <w:pStyle w:val="Heading5"/>
            </w:pPr>
            <w:bookmarkStart w:id="40" w:name="_f.__Addressing"/>
            <w:bookmarkEnd w:id="40"/>
            <w:proofErr w:type="gramStart"/>
            <w:r w:rsidRPr="006F3B5C">
              <w:t>f</w:t>
            </w:r>
            <w:r w:rsidR="00C75E8C" w:rsidRPr="006F3B5C">
              <w:t xml:space="preserve">.  </w:t>
            </w:r>
            <w:r w:rsidR="006B295A" w:rsidRPr="006F3B5C">
              <w:t>Addressing</w:t>
            </w:r>
            <w:proofErr w:type="gramEnd"/>
            <w:r w:rsidR="006B295A" w:rsidRPr="006F3B5C">
              <w:t xml:space="preserve"> the </w:t>
            </w:r>
            <w:r w:rsidR="008E2A45" w:rsidRPr="006F3B5C">
              <w:t>subordinate</w:t>
            </w:r>
            <w:r w:rsidR="003F053D" w:rsidRPr="006F3B5C">
              <w:t xml:space="preserve"> </w:t>
            </w:r>
            <w:r w:rsidR="006B295A" w:rsidRPr="006F3B5C">
              <w:t xml:space="preserve">issue of </w:t>
            </w:r>
            <w:r w:rsidR="00C75E8C" w:rsidRPr="006F3B5C">
              <w:t>38 U.S.C. 1702</w:t>
            </w:r>
            <w:r w:rsidR="003F053D" w:rsidRPr="006F3B5C">
              <w:t xml:space="preserve"> in the Rating Decision</w:t>
            </w:r>
          </w:p>
        </w:tc>
        <w:tc>
          <w:tcPr>
            <w:tcW w:w="7740" w:type="dxa"/>
            <w:shd w:val="clear" w:color="auto" w:fill="auto"/>
          </w:tcPr>
          <w:p w14:paraId="65E40FCF" w14:textId="66ABFEA0" w:rsidR="00FE3386" w:rsidRPr="006F3B5C" w:rsidRDefault="003E4F9E" w:rsidP="00FE3386">
            <w:pPr>
              <w:pStyle w:val="BlockText"/>
            </w:pPr>
            <w:r w:rsidRPr="006F3B5C">
              <w:t xml:space="preserve">Use the following table when </w:t>
            </w:r>
            <w:r w:rsidR="008E2A45" w:rsidRPr="006F3B5C">
              <w:t xml:space="preserve">considering the subordinate </w:t>
            </w:r>
            <w:r w:rsidRPr="006F3B5C">
              <w:t xml:space="preserve">issue of </w:t>
            </w:r>
            <w:r w:rsidR="00074DCC" w:rsidRPr="006F3B5C">
              <w:t>service connection</w:t>
            </w:r>
            <w:r w:rsidRPr="006F3B5C">
              <w:t xml:space="preserve"> for treatment purposes under </w:t>
            </w:r>
            <w:hyperlink r:id="rId109" w:history="1">
              <w:r w:rsidRPr="006F3B5C">
                <w:rPr>
                  <w:rStyle w:val="Hyperlink"/>
                </w:rPr>
                <w:t>38 U.S.C. 1702</w:t>
              </w:r>
            </w:hyperlink>
            <w:r w:rsidR="00FE3386" w:rsidRPr="006F3B5C">
              <w:t xml:space="preserve"> based on a denial of </w:t>
            </w:r>
            <w:r w:rsidR="00074DCC" w:rsidRPr="006F3B5C">
              <w:t>service connection</w:t>
            </w:r>
            <w:r w:rsidR="00FE3386" w:rsidRPr="006F3B5C">
              <w:t xml:space="preserve"> for compensation purposes for</w:t>
            </w:r>
          </w:p>
          <w:p w14:paraId="65E40FD0" w14:textId="77777777" w:rsidR="00FE3386" w:rsidRPr="006F3B5C" w:rsidRDefault="00FE3386" w:rsidP="00FE3386">
            <w:pPr>
              <w:pStyle w:val="BulletText1"/>
            </w:pPr>
            <w:r w:rsidRPr="006F3B5C">
              <w:t xml:space="preserve">a psychosis based on wartime service or </w:t>
            </w:r>
          </w:p>
          <w:p w14:paraId="65E40FD1" w14:textId="77777777" w:rsidR="00FE3386" w:rsidRPr="006F3B5C" w:rsidRDefault="00FE3386" w:rsidP="00FE3386">
            <w:pPr>
              <w:pStyle w:val="BulletText1"/>
            </w:pPr>
            <w:proofErr w:type="gramStart"/>
            <w:r w:rsidRPr="006F3B5C">
              <w:t>any</w:t>
            </w:r>
            <w:proofErr w:type="gramEnd"/>
            <w:r w:rsidRPr="006F3B5C">
              <w:t xml:space="preserve"> mental disorder based on Gulf War service</w:t>
            </w:r>
            <w:r w:rsidR="001C2B9F" w:rsidRPr="006F3B5C">
              <w:t>.</w:t>
            </w:r>
            <w:r w:rsidRPr="006F3B5C">
              <w:t xml:space="preserve"> </w:t>
            </w:r>
          </w:p>
          <w:p w14:paraId="65E40FD2" w14:textId="77777777" w:rsidR="000B542F" w:rsidRPr="006F3B5C" w:rsidRDefault="000B542F" w:rsidP="0087122C">
            <w:pPr>
              <w:pStyle w:val="BlockText"/>
            </w:pPr>
          </w:p>
        </w:tc>
      </w:tr>
    </w:tbl>
    <w:p w14:paraId="65E40FD4" w14:textId="77777777" w:rsidR="00660219" w:rsidRPr="006F3B5C" w:rsidRDefault="00660219" w:rsidP="00660219"/>
    <w:tbl>
      <w:tblPr>
        <w:tblW w:w="9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05"/>
        <w:gridCol w:w="5656"/>
      </w:tblGrid>
      <w:tr w:rsidR="00660219" w:rsidRPr="006F3B5C" w14:paraId="65E40FD7" w14:textId="77777777" w:rsidTr="0087122C">
        <w:trPr>
          <w:trHeight w:val="144"/>
        </w:trPr>
        <w:tc>
          <w:tcPr>
            <w:tcW w:w="1979" w:type="pct"/>
            <w:shd w:val="clear" w:color="auto" w:fill="auto"/>
          </w:tcPr>
          <w:p w14:paraId="65E40FD5" w14:textId="77777777" w:rsidR="00660219" w:rsidRPr="006F3B5C" w:rsidRDefault="00660219" w:rsidP="0087122C">
            <w:pPr>
              <w:pStyle w:val="TableHeaderText"/>
              <w:jc w:val="left"/>
            </w:pPr>
            <w:r w:rsidRPr="006F3B5C">
              <w:t>If ...</w:t>
            </w:r>
          </w:p>
        </w:tc>
        <w:tc>
          <w:tcPr>
            <w:tcW w:w="3021" w:type="pct"/>
            <w:shd w:val="clear" w:color="auto" w:fill="auto"/>
          </w:tcPr>
          <w:p w14:paraId="65E40FD6" w14:textId="77777777" w:rsidR="00660219" w:rsidRPr="006F3B5C" w:rsidRDefault="00660219" w:rsidP="0087122C">
            <w:pPr>
              <w:pStyle w:val="TableHeaderText"/>
              <w:jc w:val="left"/>
            </w:pPr>
            <w:r w:rsidRPr="006F3B5C">
              <w:t>Then ...</w:t>
            </w:r>
          </w:p>
        </w:tc>
      </w:tr>
      <w:tr w:rsidR="00660219" w:rsidRPr="006F3B5C" w14:paraId="65E40FDE" w14:textId="77777777" w:rsidTr="0087122C">
        <w:trPr>
          <w:trHeight w:val="144"/>
        </w:trPr>
        <w:tc>
          <w:tcPr>
            <w:tcW w:w="1979" w:type="pct"/>
            <w:shd w:val="clear" w:color="auto" w:fill="auto"/>
          </w:tcPr>
          <w:p w14:paraId="65E40FD8" w14:textId="6F54231A" w:rsidR="00660219" w:rsidRPr="006F3B5C" w:rsidRDefault="006B295A" w:rsidP="0087122C">
            <w:pPr>
              <w:pStyle w:val="TableText"/>
            </w:pPr>
            <w:r w:rsidRPr="006F3B5C">
              <w:t xml:space="preserve">The criteria for </w:t>
            </w:r>
            <w:r w:rsidR="00074DCC" w:rsidRPr="006F3B5C">
              <w:t>service connection</w:t>
            </w:r>
            <w:r w:rsidRPr="006F3B5C">
              <w:t xml:space="preserve"> </w:t>
            </w:r>
            <w:r w:rsidR="003E4F9E" w:rsidRPr="006F3B5C">
              <w:t xml:space="preserve">under </w:t>
            </w:r>
            <w:hyperlink r:id="rId110" w:history="1">
              <w:r w:rsidR="003E4F9E" w:rsidRPr="006F3B5C">
                <w:rPr>
                  <w:rStyle w:val="Hyperlink"/>
                </w:rPr>
                <w:t>38 U.S.C. 1702</w:t>
              </w:r>
            </w:hyperlink>
            <w:r w:rsidR="003E4F9E" w:rsidRPr="006F3B5C">
              <w:t xml:space="preserve"> </w:t>
            </w:r>
            <w:r w:rsidRPr="006F3B5C">
              <w:t>are established,</w:t>
            </w:r>
          </w:p>
        </w:tc>
        <w:tc>
          <w:tcPr>
            <w:tcW w:w="3021" w:type="pct"/>
            <w:shd w:val="clear" w:color="auto" w:fill="auto"/>
          </w:tcPr>
          <w:p w14:paraId="65E40FD9" w14:textId="77777777" w:rsidR="00660219" w:rsidRPr="006F3B5C" w:rsidRDefault="008E2A45" w:rsidP="003E4F9E">
            <w:pPr>
              <w:pStyle w:val="BulletText1"/>
            </w:pPr>
            <w:proofErr w:type="gramStart"/>
            <w:r w:rsidRPr="006F3B5C">
              <w:t>in</w:t>
            </w:r>
            <w:proofErr w:type="gramEnd"/>
            <w:r w:rsidRPr="006F3B5C">
              <w:t xml:space="preserve"> the rating decision address the subordinate Section 1702 issue as a separate decision from the decision on the mental disorder</w:t>
            </w:r>
            <w:r w:rsidR="003E4F9E" w:rsidRPr="006F3B5C">
              <w:t>.</w:t>
            </w:r>
          </w:p>
          <w:p w14:paraId="65E40FDA" w14:textId="77777777" w:rsidR="003E4F9E" w:rsidRPr="006F3B5C" w:rsidRDefault="00FE3386" w:rsidP="003E4F9E">
            <w:pPr>
              <w:pStyle w:val="BulletText1"/>
            </w:pPr>
            <w:r w:rsidRPr="006F3B5C">
              <w:t>Ensure that the</w:t>
            </w:r>
            <w:r w:rsidR="003E4F9E" w:rsidRPr="006F3B5C">
              <w:t xml:space="preserve"> rating codesheet, show</w:t>
            </w:r>
            <w:r w:rsidRPr="006F3B5C">
              <w:t>s</w:t>
            </w:r>
            <w:r w:rsidR="003E4F9E" w:rsidRPr="006F3B5C">
              <w:t xml:space="preserve"> “</w:t>
            </w:r>
            <w:r w:rsidR="003E4F9E" w:rsidRPr="006F3B5C">
              <w:rPr>
                <w:i/>
                <w:iCs/>
              </w:rPr>
              <w:t>Active Psychosis/GW Mental--SC for Treatment Only</w:t>
            </w:r>
            <w:r w:rsidR="003E4F9E" w:rsidRPr="006F3B5C">
              <w:t>”</w:t>
            </w:r>
            <w:r w:rsidRPr="006F3B5C">
              <w:t xml:space="preserve"> </w:t>
            </w:r>
            <w:r w:rsidR="00A84D99" w:rsidRPr="006F3B5C">
              <w:t>or equivalent.</w:t>
            </w:r>
          </w:p>
          <w:p w14:paraId="65E40FDB" w14:textId="77777777" w:rsidR="003E4F9E" w:rsidRPr="006F3B5C" w:rsidRDefault="003E4F9E" w:rsidP="0087122C">
            <w:pPr>
              <w:pStyle w:val="TableText"/>
            </w:pPr>
          </w:p>
          <w:p w14:paraId="65E40FDC" w14:textId="77777777" w:rsidR="00BC1F9B" w:rsidRPr="006F3B5C" w:rsidRDefault="00BC1F9B" w:rsidP="0087122C">
            <w:pPr>
              <w:pStyle w:val="TableText"/>
            </w:pPr>
            <w:r w:rsidRPr="006F3B5C">
              <w:rPr>
                <w:b/>
                <w:i/>
              </w:rPr>
              <w:t>Exception</w:t>
            </w:r>
            <w:r w:rsidRPr="006F3B5C">
              <w:t>: If a previous decision has awarded entitlement, there is no need to address it again.</w:t>
            </w:r>
          </w:p>
          <w:p w14:paraId="65E40FDD" w14:textId="77777777" w:rsidR="00BC1F9B" w:rsidRPr="006F3B5C" w:rsidRDefault="00BC1F9B" w:rsidP="0087122C">
            <w:pPr>
              <w:pStyle w:val="TableText"/>
            </w:pPr>
          </w:p>
        </w:tc>
      </w:tr>
      <w:tr w:rsidR="00660219" w:rsidRPr="006F3B5C" w14:paraId="65E40FE1" w14:textId="77777777" w:rsidTr="0087122C">
        <w:trPr>
          <w:trHeight w:val="144"/>
        </w:trPr>
        <w:tc>
          <w:tcPr>
            <w:tcW w:w="1979" w:type="pct"/>
            <w:shd w:val="clear" w:color="auto" w:fill="auto"/>
          </w:tcPr>
          <w:p w14:paraId="65E40FDF" w14:textId="09D39AA1" w:rsidR="00660219" w:rsidRPr="006F3B5C" w:rsidRDefault="003E4F9E" w:rsidP="0087122C">
            <w:pPr>
              <w:pStyle w:val="BlockText"/>
            </w:pPr>
            <w:r w:rsidRPr="006F3B5C">
              <w:lastRenderedPageBreak/>
              <w:t xml:space="preserve">If </w:t>
            </w:r>
            <w:r w:rsidR="006B295A" w:rsidRPr="006F3B5C">
              <w:t xml:space="preserve">the criteria for </w:t>
            </w:r>
            <w:r w:rsidR="00074DCC" w:rsidRPr="006F3B5C">
              <w:t>service connection</w:t>
            </w:r>
            <w:r w:rsidR="006B295A" w:rsidRPr="006F3B5C">
              <w:t xml:space="preserve"> under</w:t>
            </w:r>
            <w:r w:rsidRPr="006F3B5C">
              <w:t xml:space="preserve"> </w:t>
            </w:r>
            <w:hyperlink r:id="rId111" w:history="1">
              <w:r w:rsidRPr="006F3B5C">
                <w:rPr>
                  <w:rStyle w:val="Hyperlink"/>
                </w:rPr>
                <w:t>38 U.S.C. 1702</w:t>
              </w:r>
            </w:hyperlink>
            <w:r w:rsidRPr="006F3B5C">
              <w:t xml:space="preserve"> </w:t>
            </w:r>
            <w:r w:rsidR="006B295A" w:rsidRPr="006F3B5C">
              <w:t>are not established,</w:t>
            </w:r>
          </w:p>
        </w:tc>
        <w:tc>
          <w:tcPr>
            <w:tcW w:w="3020" w:type="pct"/>
            <w:shd w:val="clear" w:color="auto" w:fill="auto"/>
          </w:tcPr>
          <w:p w14:paraId="65E40FE0" w14:textId="77777777" w:rsidR="00A931DE" w:rsidRPr="006F3B5C" w:rsidRDefault="007120F2" w:rsidP="0087122C">
            <w:pPr>
              <w:pStyle w:val="TableText"/>
            </w:pPr>
            <w:r w:rsidRPr="006F3B5C">
              <w:t xml:space="preserve">Do not address the matter at all in the </w:t>
            </w:r>
            <w:r w:rsidR="003E4F9E" w:rsidRPr="006F3B5C">
              <w:t>rating decision.</w:t>
            </w:r>
          </w:p>
        </w:tc>
      </w:tr>
    </w:tbl>
    <w:p w14:paraId="65E40FE2" w14:textId="77777777" w:rsidR="003E4F9E" w:rsidRPr="006F3B5C" w:rsidRDefault="003E4F9E" w:rsidP="00660219"/>
    <w:tbl>
      <w:tblPr>
        <w:tblW w:w="7732" w:type="dxa"/>
        <w:tblInd w:w="1728" w:type="dxa"/>
        <w:tblLayout w:type="fixed"/>
        <w:tblLook w:val="0000" w:firstRow="0" w:lastRow="0" w:firstColumn="0" w:lastColumn="0" w:noHBand="0" w:noVBand="0"/>
      </w:tblPr>
      <w:tblGrid>
        <w:gridCol w:w="7732"/>
      </w:tblGrid>
      <w:tr w:rsidR="008823E5" w:rsidRPr="006F3B5C" w14:paraId="65E40FEA" w14:textId="77777777" w:rsidTr="008823E5">
        <w:tc>
          <w:tcPr>
            <w:tcW w:w="5000" w:type="pct"/>
            <w:shd w:val="clear" w:color="auto" w:fill="auto"/>
          </w:tcPr>
          <w:p w14:paraId="65E40FE3" w14:textId="15DFC179" w:rsidR="008E2A45" w:rsidRPr="006F3B5C" w:rsidRDefault="008823E5" w:rsidP="008E2A45">
            <w:pPr>
              <w:pStyle w:val="BlockText"/>
            </w:pPr>
            <w:r w:rsidRPr="006F3B5C">
              <w:rPr>
                <w:b/>
                <w:i/>
              </w:rPr>
              <w:t>Important</w:t>
            </w:r>
            <w:r w:rsidRPr="006F3B5C">
              <w:t xml:space="preserve">: </w:t>
            </w:r>
            <w:r w:rsidR="006D3A78" w:rsidRPr="006F3B5C">
              <w:t>S</w:t>
            </w:r>
            <w:r w:rsidR="00074DCC" w:rsidRPr="006F3B5C">
              <w:t>ervice connection</w:t>
            </w:r>
            <w:r w:rsidR="006D3A78" w:rsidRPr="006F3B5C">
              <w:t xml:space="preserve"> for treatment purposes under Section 1702 is not a subordinate issue and should not be decided </w:t>
            </w:r>
            <w:r w:rsidR="008E2A45" w:rsidRPr="006F3B5C">
              <w:t>in cases where</w:t>
            </w:r>
            <w:r w:rsidRPr="006F3B5C">
              <w:t xml:space="preserve"> </w:t>
            </w:r>
          </w:p>
          <w:p w14:paraId="65E40FE4" w14:textId="77777777" w:rsidR="008E2A45" w:rsidRPr="006F3B5C" w:rsidRDefault="008E2A45" w:rsidP="008E2A45">
            <w:pPr>
              <w:pStyle w:val="TableText"/>
            </w:pPr>
          </w:p>
          <w:p w14:paraId="65E40FE5" w14:textId="77777777" w:rsidR="008E2A45" w:rsidRPr="006F3B5C" w:rsidRDefault="008E2A45" w:rsidP="008E2A45">
            <w:pPr>
              <w:pStyle w:val="BulletText1"/>
            </w:pPr>
            <w:r w:rsidRPr="006F3B5C">
              <w:t xml:space="preserve">a </w:t>
            </w:r>
            <w:r w:rsidR="008823E5" w:rsidRPr="006F3B5C">
              <w:t>Section 1702 de</w:t>
            </w:r>
            <w:r w:rsidRPr="006F3B5C">
              <w:t>termination h</w:t>
            </w:r>
            <w:r w:rsidR="008823E5" w:rsidRPr="006F3B5C">
              <w:t>as not been requested</w:t>
            </w:r>
            <w:r w:rsidRPr="006F3B5C">
              <w:t xml:space="preserve"> by VHA</w:t>
            </w:r>
          </w:p>
          <w:p w14:paraId="65E40FE6" w14:textId="440DEE29" w:rsidR="008E2A45" w:rsidRPr="006F3B5C" w:rsidRDefault="008823E5" w:rsidP="008E2A45">
            <w:pPr>
              <w:pStyle w:val="BulletText1"/>
            </w:pPr>
            <w:r w:rsidRPr="006F3B5C">
              <w:t xml:space="preserve">a claim for </w:t>
            </w:r>
            <w:r w:rsidR="00074DCC" w:rsidRPr="006F3B5C">
              <w:t xml:space="preserve">service connection </w:t>
            </w:r>
            <w:r w:rsidRPr="006F3B5C">
              <w:t xml:space="preserve">for compensation purposes for </w:t>
            </w:r>
            <w:r w:rsidR="008E2A45" w:rsidRPr="006F3B5C">
              <w:t xml:space="preserve">a psychosis </w:t>
            </w:r>
            <w:r w:rsidRPr="006F3B5C">
              <w:t xml:space="preserve">based on </w:t>
            </w:r>
            <w:r w:rsidR="008E2A45" w:rsidRPr="006F3B5C">
              <w:t xml:space="preserve">any </w:t>
            </w:r>
            <w:r w:rsidRPr="006F3B5C">
              <w:t>wartime service or any mental disorder based on Gulf War service is denied</w:t>
            </w:r>
            <w:r w:rsidR="008E2A45" w:rsidRPr="006F3B5C">
              <w:t xml:space="preserve">, </w:t>
            </w:r>
            <w:r w:rsidR="008E2A45" w:rsidRPr="006F3B5C">
              <w:rPr>
                <w:i/>
              </w:rPr>
              <w:t>and</w:t>
            </w:r>
          </w:p>
          <w:p w14:paraId="65E40FE9" w14:textId="60A4B24A" w:rsidR="008823E5" w:rsidRPr="006F3B5C" w:rsidRDefault="008823E5" w:rsidP="008E2A45">
            <w:pPr>
              <w:pStyle w:val="BulletText1"/>
            </w:pPr>
            <w:r w:rsidRPr="006F3B5C">
              <w:t xml:space="preserve">under the facts of record </w:t>
            </w:r>
            <w:r w:rsidR="008E2A45" w:rsidRPr="006F3B5C">
              <w:t>the</w:t>
            </w:r>
            <w:r w:rsidRPr="006F3B5C">
              <w:t xml:space="preserve"> </w:t>
            </w:r>
            <w:r w:rsidR="008E2A45" w:rsidRPr="006F3B5C">
              <w:t>Section 1702 presumption would not arise</w:t>
            </w:r>
            <w:proofErr w:type="gramStart"/>
            <w:r w:rsidR="0032444F" w:rsidRPr="006F3B5C">
              <w:t xml:space="preserve">. </w:t>
            </w:r>
            <w:proofErr w:type="gramEnd"/>
          </w:p>
        </w:tc>
      </w:tr>
    </w:tbl>
    <w:p w14:paraId="65E40FEB" w14:textId="77777777" w:rsidR="00660219" w:rsidRPr="006F3B5C" w:rsidRDefault="00660219" w:rsidP="00660219">
      <w:pPr>
        <w:pStyle w:val="BlockLine"/>
        <w:pBdr>
          <w:top w:val="single" w:sz="6" w:space="3" w:color="000000"/>
        </w:pBdr>
      </w:pPr>
    </w:p>
    <w:p w14:paraId="65E40FEC" w14:textId="77777777" w:rsidR="00E7406A" w:rsidRPr="006F3B5C" w:rsidRDefault="00E7406A">
      <w:pPr>
        <w:pStyle w:val="Heading4"/>
      </w:pPr>
      <w:r w:rsidRPr="006F3B5C">
        <w:br w:type="page"/>
      </w:r>
      <w:r w:rsidRPr="006F3B5C">
        <w:lastRenderedPageBreak/>
        <w:t>6.  Rating for Insanity Determination</w:t>
      </w:r>
    </w:p>
    <w:p w14:paraId="65E40FED" w14:textId="77777777" w:rsidR="00E7406A" w:rsidRPr="006F3B5C" w:rsidRDefault="00E7406A">
      <w:pPr>
        <w:pStyle w:val="BlockLine"/>
      </w:pPr>
      <w:r w:rsidRPr="006F3B5C">
        <w:fldChar w:fldCharType="begin"/>
      </w:r>
      <w:r w:rsidRPr="006F3B5C">
        <w:instrText xml:space="preserve"> PRIVATE INFOTYPE="OTHER"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0FF3" w14:textId="77777777" w:rsidTr="0087122C">
        <w:trPr>
          <w:cantSplit/>
          <w:trHeight w:val="240"/>
        </w:trPr>
        <w:tc>
          <w:tcPr>
            <w:tcW w:w="1728" w:type="dxa"/>
            <w:shd w:val="clear" w:color="auto" w:fill="auto"/>
          </w:tcPr>
          <w:p w14:paraId="65E40FEE" w14:textId="77777777" w:rsidR="00E7406A" w:rsidRPr="006F3B5C" w:rsidRDefault="00E7406A">
            <w:pPr>
              <w:pStyle w:val="Heading5"/>
            </w:pPr>
            <w:r w:rsidRPr="006F3B5C">
              <w:t>Introduction</w:t>
            </w:r>
          </w:p>
        </w:tc>
        <w:tc>
          <w:tcPr>
            <w:tcW w:w="7740" w:type="dxa"/>
            <w:shd w:val="clear" w:color="auto" w:fill="auto"/>
          </w:tcPr>
          <w:p w14:paraId="65E40FEF" w14:textId="77777777" w:rsidR="00E7406A" w:rsidRPr="006F3B5C" w:rsidRDefault="00E7406A" w:rsidP="0087122C">
            <w:pPr>
              <w:pStyle w:val="BlockText"/>
            </w:pPr>
            <w:r w:rsidRPr="006F3B5C">
              <w:t xml:space="preserve">This topic contains information on rating for an insanity determination, including </w:t>
            </w:r>
          </w:p>
          <w:p w14:paraId="65E40FF0" w14:textId="77777777" w:rsidR="00E7406A" w:rsidRPr="006F3B5C" w:rsidRDefault="00E7406A" w:rsidP="0087122C">
            <w:pPr>
              <w:pStyle w:val="BlockText"/>
            </w:pPr>
          </w:p>
          <w:p w14:paraId="65E40FF1" w14:textId="10E66855" w:rsidR="00E7406A" w:rsidRPr="006F3B5C" w:rsidRDefault="00DD59CE">
            <w:pPr>
              <w:pStyle w:val="BulletText1"/>
            </w:pPr>
            <w:hyperlink w:anchor="_a.__When" w:history="1">
              <w:r w:rsidR="00E7406A" w:rsidRPr="006F3B5C">
                <w:rPr>
                  <w:rStyle w:val="Hyperlink"/>
                </w:rPr>
                <w:t>when a rating for insanity is required</w:t>
              </w:r>
            </w:hyperlink>
            <w:r w:rsidR="00E7406A" w:rsidRPr="006F3B5C">
              <w:t>, and</w:t>
            </w:r>
          </w:p>
          <w:p w14:paraId="65E40FF2" w14:textId="46A93FC9" w:rsidR="00E7406A" w:rsidRPr="006F3B5C" w:rsidRDefault="00DD59CE" w:rsidP="00F46252">
            <w:pPr>
              <w:pStyle w:val="BulletText1"/>
            </w:pPr>
            <w:hyperlink w:anchor="_b.__Making" w:history="1">
              <w:proofErr w:type="gramStart"/>
              <w:r w:rsidR="00E7406A" w:rsidRPr="006F3B5C">
                <w:rPr>
                  <w:rStyle w:val="Hyperlink"/>
                </w:rPr>
                <w:t>making</w:t>
              </w:r>
              <w:proofErr w:type="gramEnd"/>
              <w:r w:rsidR="00E7406A" w:rsidRPr="006F3B5C">
                <w:rPr>
                  <w:rStyle w:val="Hyperlink"/>
                </w:rPr>
                <w:t xml:space="preserve"> a rating </w:t>
              </w:r>
              <w:r w:rsidR="00F46252" w:rsidRPr="006F3B5C">
                <w:rPr>
                  <w:rStyle w:val="Hyperlink"/>
                </w:rPr>
                <w:t>determination of insanity</w:t>
              </w:r>
            </w:hyperlink>
            <w:r w:rsidR="00E7406A" w:rsidRPr="006F3B5C">
              <w:t>.</w:t>
            </w:r>
          </w:p>
        </w:tc>
      </w:tr>
    </w:tbl>
    <w:p w14:paraId="65E40FF4" w14:textId="77777777" w:rsidR="00E7406A" w:rsidRPr="006F3B5C"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0FF7" w14:textId="77777777" w:rsidTr="0087122C">
        <w:trPr>
          <w:cantSplit/>
        </w:trPr>
        <w:tc>
          <w:tcPr>
            <w:tcW w:w="1728" w:type="dxa"/>
            <w:shd w:val="clear" w:color="auto" w:fill="auto"/>
          </w:tcPr>
          <w:p w14:paraId="65E40FF5" w14:textId="77777777" w:rsidR="00E7406A" w:rsidRPr="006F3B5C" w:rsidRDefault="00E7406A">
            <w:pPr>
              <w:pStyle w:val="Heading5"/>
            </w:pPr>
            <w:r w:rsidRPr="006F3B5C">
              <w:t>Change Date</w:t>
            </w:r>
          </w:p>
        </w:tc>
        <w:tc>
          <w:tcPr>
            <w:tcW w:w="7740" w:type="dxa"/>
            <w:shd w:val="clear" w:color="auto" w:fill="auto"/>
          </w:tcPr>
          <w:p w14:paraId="65E40FF6" w14:textId="77777777" w:rsidR="00E7406A" w:rsidRPr="006F3B5C" w:rsidRDefault="00E7406A" w:rsidP="0087122C">
            <w:pPr>
              <w:pStyle w:val="BlockText"/>
            </w:pPr>
            <w:r w:rsidRPr="006F3B5C">
              <w:t>November 21, 2006</w:t>
            </w:r>
          </w:p>
        </w:tc>
      </w:tr>
    </w:tbl>
    <w:p w14:paraId="65E40FF8" w14:textId="77777777" w:rsidR="00E7406A" w:rsidRPr="006F3B5C" w:rsidRDefault="00D76FF0">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002" w14:textId="77777777" w:rsidTr="0087122C">
        <w:trPr>
          <w:cantSplit/>
        </w:trPr>
        <w:tc>
          <w:tcPr>
            <w:tcW w:w="1728" w:type="dxa"/>
            <w:shd w:val="clear" w:color="auto" w:fill="auto"/>
          </w:tcPr>
          <w:p w14:paraId="65E40FF9" w14:textId="77777777" w:rsidR="00E7406A" w:rsidRPr="006F3B5C" w:rsidRDefault="00E7406A">
            <w:pPr>
              <w:pStyle w:val="Heading5"/>
            </w:pPr>
            <w:bookmarkStart w:id="41" w:name="_a.__When"/>
            <w:bookmarkEnd w:id="41"/>
            <w:proofErr w:type="gramStart"/>
            <w:r w:rsidRPr="006F3B5C">
              <w:t>a.  When</w:t>
            </w:r>
            <w:proofErr w:type="gramEnd"/>
            <w:r w:rsidRPr="006F3B5C">
              <w:t xml:space="preserve"> Rating for Insanity Is Required</w:t>
            </w:r>
          </w:p>
        </w:tc>
        <w:tc>
          <w:tcPr>
            <w:tcW w:w="7740" w:type="dxa"/>
            <w:shd w:val="clear" w:color="auto" w:fill="auto"/>
          </w:tcPr>
          <w:p w14:paraId="65E40FFA" w14:textId="77777777" w:rsidR="00E7406A" w:rsidRPr="006F3B5C" w:rsidRDefault="00E7406A" w:rsidP="0087122C">
            <w:pPr>
              <w:pStyle w:val="BlockText"/>
            </w:pPr>
            <w:r w:rsidRPr="006F3B5C">
              <w:t xml:space="preserve">A rating of insanity is required to determine whether the </w:t>
            </w:r>
            <w:r w:rsidR="002A33EA" w:rsidRPr="006F3B5C">
              <w:t>Veteran</w:t>
            </w:r>
            <w:r w:rsidRPr="006F3B5C">
              <w:t xml:space="preserve"> was insane at the time of commission of an act or acts that resulted in a service department character of discharge, line-of-duty, or misconduct determination which precludes entitlement to benefits. </w:t>
            </w:r>
          </w:p>
          <w:p w14:paraId="65E40FFB" w14:textId="77777777" w:rsidR="00E7406A" w:rsidRPr="006F3B5C" w:rsidRDefault="00E7406A" w:rsidP="0087122C">
            <w:pPr>
              <w:pStyle w:val="BlockText"/>
            </w:pPr>
          </w:p>
          <w:p w14:paraId="65E40FFC" w14:textId="77777777" w:rsidR="00E7406A" w:rsidRPr="006F3B5C" w:rsidRDefault="00E7406A" w:rsidP="0087122C">
            <w:pPr>
              <w:pStyle w:val="BlockText"/>
            </w:pPr>
            <w:r w:rsidRPr="006F3B5C">
              <w:t>Ratings of insanity are prepared only at the request of the authorization activity because of a</w:t>
            </w:r>
          </w:p>
          <w:p w14:paraId="65E40FFD" w14:textId="77777777" w:rsidR="00E7406A" w:rsidRPr="006F3B5C" w:rsidRDefault="00E7406A" w:rsidP="0087122C">
            <w:pPr>
              <w:pStyle w:val="BlockText"/>
            </w:pPr>
          </w:p>
          <w:p w14:paraId="65E40FFE" w14:textId="77777777" w:rsidR="00E7406A" w:rsidRPr="006F3B5C" w:rsidRDefault="00E7406A">
            <w:pPr>
              <w:pStyle w:val="BulletText1"/>
            </w:pPr>
            <w:r w:rsidRPr="006F3B5C">
              <w:t>specific allegation by the claimant, or</w:t>
            </w:r>
          </w:p>
          <w:p w14:paraId="65E40FFF" w14:textId="77777777" w:rsidR="00E7406A" w:rsidRPr="006F3B5C" w:rsidRDefault="00E7406A">
            <w:pPr>
              <w:pStyle w:val="BulletText1"/>
            </w:pPr>
            <w:proofErr w:type="gramStart"/>
            <w:r w:rsidRPr="006F3B5C">
              <w:t>question</w:t>
            </w:r>
            <w:proofErr w:type="gramEnd"/>
            <w:r w:rsidRPr="006F3B5C">
              <w:t xml:space="preserve"> raised by the evidence in the claims folder.</w:t>
            </w:r>
          </w:p>
          <w:p w14:paraId="65E41000" w14:textId="77777777" w:rsidR="00E7406A" w:rsidRPr="006F3B5C" w:rsidRDefault="00E7406A" w:rsidP="0087122C">
            <w:pPr>
              <w:pStyle w:val="BlockText"/>
            </w:pPr>
          </w:p>
          <w:p w14:paraId="65E41001" w14:textId="77777777" w:rsidR="00E7406A" w:rsidRPr="006F3B5C" w:rsidRDefault="00E7406A" w:rsidP="0087122C">
            <w:pPr>
              <w:pStyle w:val="BlockText"/>
              <w:rPr>
                <w:b/>
              </w:rPr>
            </w:pPr>
            <w:r w:rsidRPr="006F3B5C">
              <w:rPr>
                <w:b/>
                <w:i/>
              </w:rPr>
              <w:t>Reference</w:t>
            </w:r>
            <w:r w:rsidRPr="006F3B5C">
              <w:t xml:space="preserve">:  For more information on cases involving the sanity of a beneficiary involved in homicide, see </w:t>
            </w:r>
            <w:hyperlink r:id="rId112" w:history="1">
              <w:r w:rsidRPr="006F3B5C">
                <w:rPr>
                  <w:rStyle w:val="Hyperlink"/>
                </w:rPr>
                <w:t>M21-1MR, Part III, Subpart v, 1.E.</w:t>
              </w:r>
            </w:hyperlink>
          </w:p>
        </w:tc>
      </w:tr>
    </w:tbl>
    <w:p w14:paraId="65E41003" w14:textId="77777777" w:rsidR="00E7406A" w:rsidRPr="006F3B5C" w:rsidRDefault="00D76FF0">
      <w:pPr>
        <w:pStyle w:val="BlockLine"/>
      </w:pPr>
      <w:r w:rsidRPr="006F3B5C">
        <w:fldChar w:fldCharType="begin"/>
      </w:r>
      <w:r w:rsidRPr="006F3B5C">
        <w:instrText xml:space="preserve"> PRIVATE INFOTYPE="PROCEDURE"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00C" w14:textId="77777777" w:rsidTr="0087122C">
        <w:trPr>
          <w:cantSplit/>
        </w:trPr>
        <w:tc>
          <w:tcPr>
            <w:tcW w:w="1728" w:type="dxa"/>
            <w:shd w:val="clear" w:color="auto" w:fill="auto"/>
          </w:tcPr>
          <w:p w14:paraId="65E41004" w14:textId="77777777" w:rsidR="00E7406A" w:rsidRPr="006F3B5C" w:rsidRDefault="00E7406A" w:rsidP="00F46252">
            <w:pPr>
              <w:pStyle w:val="Heading5"/>
            </w:pPr>
            <w:bookmarkStart w:id="42" w:name="_b.__Making"/>
            <w:bookmarkEnd w:id="42"/>
            <w:proofErr w:type="gramStart"/>
            <w:r w:rsidRPr="006F3B5C">
              <w:t>b.  Making</w:t>
            </w:r>
            <w:proofErr w:type="gramEnd"/>
            <w:r w:rsidRPr="006F3B5C">
              <w:t xml:space="preserve"> a Rating </w:t>
            </w:r>
            <w:r w:rsidR="00F46252" w:rsidRPr="006F3B5C">
              <w:t>Determination of Insanity</w:t>
            </w:r>
          </w:p>
        </w:tc>
        <w:tc>
          <w:tcPr>
            <w:tcW w:w="7740" w:type="dxa"/>
            <w:shd w:val="clear" w:color="auto" w:fill="auto"/>
          </w:tcPr>
          <w:p w14:paraId="65E41005" w14:textId="77777777" w:rsidR="00E7406A" w:rsidRPr="006F3B5C" w:rsidRDefault="00E7406A" w:rsidP="0087122C">
            <w:pPr>
              <w:pStyle w:val="BlockText"/>
            </w:pPr>
            <w:r w:rsidRPr="006F3B5C">
              <w:t xml:space="preserve">Prior to making a determination as to whether a </w:t>
            </w:r>
            <w:r w:rsidR="002A33EA" w:rsidRPr="006F3B5C">
              <w:t>Veteran</w:t>
            </w:r>
            <w:r w:rsidRPr="006F3B5C">
              <w:t xml:space="preserve"> was insane at the time he/she committed an offense leading to his/her court-martial, discharge, or resignation</w:t>
            </w:r>
          </w:p>
          <w:p w14:paraId="65E41006" w14:textId="77777777" w:rsidR="00E7406A" w:rsidRPr="006F3B5C" w:rsidRDefault="00E7406A" w:rsidP="0087122C">
            <w:pPr>
              <w:pStyle w:val="BlockText"/>
            </w:pPr>
          </w:p>
          <w:p w14:paraId="65E41007" w14:textId="77777777" w:rsidR="00E7406A" w:rsidRPr="006F3B5C" w:rsidRDefault="00E7406A">
            <w:pPr>
              <w:pStyle w:val="BulletText1"/>
            </w:pPr>
            <w:r w:rsidRPr="006F3B5C">
              <w:t>request all obtainable evidence related to the period involved</w:t>
            </w:r>
          </w:p>
          <w:p w14:paraId="65E41008" w14:textId="77777777" w:rsidR="00E7406A" w:rsidRPr="006F3B5C" w:rsidRDefault="00E7406A">
            <w:pPr>
              <w:pStyle w:val="BulletText1"/>
            </w:pPr>
            <w:r w:rsidRPr="006F3B5C">
              <w:t xml:space="preserve">state under </w:t>
            </w:r>
            <w:r w:rsidRPr="006F3B5C">
              <w:rPr>
                <w:iCs/>
              </w:rPr>
              <w:t>Decision</w:t>
            </w:r>
            <w:r w:rsidRPr="006F3B5C">
              <w:t xml:space="preserve"> on the rating decision, “</w:t>
            </w:r>
            <w:r w:rsidRPr="006F3B5C">
              <w:rPr>
                <w:i/>
              </w:rPr>
              <w:t xml:space="preserve">The </w:t>
            </w:r>
            <w:r w:rsidR="002A33EA" w:rsidRPr="006F3B5C">
              <w:rPr>
                <w:i/>
              </w:rPr>
              <w:t>Veteran</w:t>
            </w:r>
            <w:r w:rsidRPr="006F3B5C">
              <w:rPr>
                <w:i/>
              </w:rPr>
              <w:t xml:space="preserve"> </w:t>
            </w:r>
            <w:r w:rsidRPr="006F3B5C">
              <w:rPr>
                <w:b/>
              </w:rPr>
              <w:t>[was] [was not]</w:t>
            </w:r>
            <w:r w:rsidRPr="006F3B5C">
              <w:rPr>
                <w:i/>
              </w:rPr>
              <w:t xml:space="preserve"> insane at the time </w:t>
            </w:r>
            <w:r w:rsidRPr="006F3B5C">
              <w:rPr>
                <w:b/>
              </w:rPr>
              <w:t>[he] [she]</w:t>
            </w:r>
            <w:r w:rsidRPr="006F3B5C">
              <w:rPr>
                <w:i/>
              </w:rPr>
              <w:t xml:space="preserve"> committed an offense</w:t>
            </w:r>
            <w:r w:rsidRPr="006F3B5C">
              <w:t>,” and</w:t>
            </w:r>
          </w:p>
          <w:p w14:paraId="65E41009" w14:textId="77777777" w:rsidR="00E7406A" w:rsidRPr="006F3B5C" w:rsidRDefault="00E7406A">
            <w:pPr>
              <w:pStyle w:val="BulletText1"/>
            </w:pPr>
            <w:proofErr w:type="gramStart"/>
            <w:r w:rsidRPr="006F3B5C">
              <w:t>apply</w:t>
            </w:r>
            <w:proofErr w:type="gramEnd"/>
            <w:r w:rsidRPr="006F3B5C">
              <w:t xml:space="preserve"> the definition of insanity found in </w:t>
            </w:r>
            <w:hyperlink r:id="rId113" w:history="1">
              <w:r w:rsidR="000711AA" w:rsidRPr="006F3B5C">
                <w:rPr>
                  <w:rStyle w:val="Hyperlink"/>
                </w:rPr>
                <w:t xml:space="preserve">38 </w:t>
              </w:r>
              <w:r w:rsidR="002A33EA" w:rsidRPr="006F3B5C">
                <w:rPr>
                  <w:rStyle w:val="Hyperlink"/>
                </w:rPr>
                <w:t>CFR</w:t>
              </w:r>
              <w:r w:rsidR="000711AA" w:rsidRPr="006F3B5C">
                <w:rPr>
                  <w:rStyle w:val="Hyperlink"/>
                </w:rPr>
                <w:t xml:space="preserve"> 3</w:t>
              </w:r>
              <w:r w:rsidRPr="006F3B5C">
                <w:rPr>
                  <w:rStyle w:val="Hyperlink"/>
                </w:rPr>
                <w:t>.354</w:t>
              </w:r>
            </w:hyperlink>
            <w:r w:rsidRPr="006F3B5C">
              <w:t xml:space="preserve">.  </w:t>
            </w:r>
          </w:p>
          <w:p w14:paraId="65E4100A" w14:textId="77777777" w:rsidR="00E7406A" w:rsidRPr="006F3B5C" w:rsidRDefault="00E7406A" w:rsidP="0087122C">
            <w:pPr>
              <w:pStyle w:val="BlockText"/>
            </w:pPr>
          </w:p>
          <w:p w14:paraId="65E4100B" w14:textId="77777777" w:rsidR="00E7406A" w:rsidRPr="006F3B5C" w:rsidRDefault="00E7406A" w:rsidP="0087122C">
            <w:pPr>
              <w:pStyle w:val="BlockText"/>
            </w:pPr>
            <w:r w:rsidRPr="006F3B5C">
              <w:rPr>
                <w:b/>
                <w:i/>
              </w:rPr>
              <w:t>Result</w:t>
            </w:r>
            <w:r w:rsidRPr="006F3B5C">
              <w:t xml:space="preserve">:  A rating decision finding the </w:t>
            </w:r>
            <w:r w:rsidR="002A33EA" w:rsidRPr="006F3B5C">
              <w:t>Veteran</w:t>
            </w:r>
            <w:r w:rsidRPr="006F3B5C">
              <w:t xml:space="preserve"> to have been sane at the time in question, supported by the necessary explanation, is sufficient as to the particular period of service or offense at issue.</w:t>
            </w:r>
          </w:p>
        </w:tc>
      </w:tr>
    </w:tbl>
    <w:p w14:paraId="65E4100D" w14:textId="77777777" w:rsidR="00E7406A" w:rsidRPr="006F3B5C" w:rsidRDefault="00E7406A">
      <w:pPr>
        <w:pStyle w:val="BlockLine"/>
      </w:pPr>
    </w:p>
    <w:p w14:paraId="65E4100E" w14:textId="77777777" w:rsidR="00E7406A" w:rsidRPr="006F3B5C" w:rsidRDefault="00E7406A">
      <w:pPr>
        <w:pStyle w:val="Heading4"/>
      </w:pPr>
      <w:r w:rsidRPr="006F3B5C">
        <w:br w:type="page"/>
      </w:r>
      <w:r w:rsidRPr="006F3B5C">
        <w:lastRenderedPageBreak/>
        <w:t xml:space="preserve">7.  Rating Determination for </w:t>
      </w:r>
      <w:r w:rsidR="002A33EA" w:rsidRPr="006F3B5C">
        <w:t>Veteran</w:t>
      </w:r>
      <w:r w:rsidRPr="006F3B5C">
        <w:t>’s Civil Service Disability Preference</w:t>
      </w:r>
    </w:p>
    <w:p w14:paraId="65E4100F" w14:textId="77777777" w:rsidR="00E7406A" w:rsidRPr="006F3B5C" w:rsidRDefault="00E7406A">
      <w:pPr>
        <w:pStyle w:val="BlockLine"/>
      </w:pPr>
      <w:r w:rsidRPr="006F3B5C">
        <w:fldChar w:fldCharType="begin"/>
      </w:r>
      <w:r w:rsidRPr="006F3B5C">
        <w:instrText xml:space="preserve"> PRIVATE INFOTYPE="OTHER"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017" w14:textId="77777777" w:rsidTr="0087122C">
        <w:trPr>
          <w:cantSplit/>
        </w:trPr>
        <w:tc>
          <w:tcPr>
            <w:tcW w:w="1728" w:type="dxa"/>
            <w:shd w:val="clear" w:color="auto" w:fill="auto"/>
          </w:tcPr>
          <w:p w14:paraId="65E41010" w14:textId="77777777" w:rsidR="00E7406A" w:rsidRPr="006F3B5C" w:rsidRDefault="00E7406A">
            <w:pPr>
              <w:pStyle w:val="Heading5"/>
            </w:pPr>
            <w:r w:rsidRPr="006F3B5C">
              <w:t>Introduction</w:t>
            </w:r>
          </w:p>
        </w:tc>
        <w:tc>
          <w:tcPr>
            <w:tcW w:w="7740" w:type="dxa"/>
            <w:shd w:val="clear" w:color="auto" w:fill="auto"/>
          </w:tcPr>
          <w:p w14:paraId="65E41011" w14:textId="77777777" w:rsidR="00E7406A" w:rsidRPr="006F3B5C" w:rsidRDefault="00E7406A" w:rsidP="0087122C">
            <w:pPr>
              <w:pStyle w:val="BlockText"/>
            </w:pPr>
            <w:r w:rsidRPr="006F3B5C">
              <w:t xml:space="preserve">This topic contains information on rating determination for </w:t>
            </w:r>
            <w:r w:rsidR="002A33EA" w:rsidRPr="006F3B5C">
              <w:t>Veteran</w:t>
            </w:r>
            <w:r w:rsidRPr="006F3B5C">
              <w:t xml:space="preserve">’s civil service disability preference, including </w:t>
            </w:r>
          </w:p>
          <w:p w14:paraId="65E41012" w14:textId="77777777" w:rsidR="00E7406A" w:rsidRPr="006F3B5C" w:rsidRDefault="00E7406A" w:rsidP="0087122C">
            <w:pPr>
              <w:pStyle w:val="BlockText"/>
            </w:pPr>
          </w:p>
          <w:p w14:paraId="65E41013" w14:textId="4943066C" w:rsidR="00E7406A" w:rsidRPr="006F3B5C" w:rsidRDefault="00DD59CE">
            <w:pPr>
              <w:pStyle w:val="BulletText1"/>
            </w:pPr>
            <w:hyperlink w:anchor="_a.__Certifying" w:history="1">
              <w:r w:rsidR="00E7406A" w:rsidRPr="006F3B5C">
                <w:rPr>
                  <w:rStyle w:val="Hyperlink"/>
                </w:rPr>
                <w:t>certifying civil service disability preference</w:t>
              </w:r>
            </w:hyperlink>
          </w:p>
          <w:p w14:paraId="65E41014" w14:textId="49A9FDA9" w:rsidR="00E7406A" w:rsidRPr="006F3B5C" w:rsidRDefault="00DD59CE">
            <w:pPr>
              <w:pStyle w:val="BulletText1"/>
            </w:pPr>
            <w:hyperlink w:anchor="_b.__Requirements" w:history="1">
              <w:r w:rsidR="00E7406A" w:rsidRPr="006F3B5C">
                <w:rPr>
                  <w:rStyle w:val="Hyperlink"/>
                </w:rPr>
                <w:t>requirements for civil service evaluations</w:t>
              </w:r>
            </w:hyperlink>
          </w:p>
          <w:p w14:paraId="65E41015" w14:textId="71698DE5" w:rsidR="00E7406A" w:rsidRPr="006F3B5C" w:rsidRDefault="00DD59CE">
            <w:pPr>
              <w:pStyle w:val="BulletText1"/>
            </w:pPr>
            <w:hyperlink w:anchor="_c.__When" w:history="1">
              <w:r w:rsidR="00E7406A" w:rsidRPr="006F3B5C">
                <w:rPr>
                  <w:rStyle w:val="Hyperlink"/>
                </w:rPr>
                <w:t>when a rating is required</w:t>
              </w:r>
              <w:r w:rsidR="005C1790" w:rsidRPr="006F3B5C">
                <w:rPr>
                  <w:rStyle w:val="Hyperlink"/>
                </w:rPr>
                <w:t xml:space="preserve"> for civil service preference</w:t>
              </w:r>
            </w:hyperlink>
            <w:r w:rsidR="00E7406A" w:rsidRPr="006F3B5C">
              <w:t>, and</w:t>
            </w:r>
          </w:p>
          <w:p w14:paraId="65E41016" w14:textId="420F14FE" w:rsidR="00E7406A" w:rsidRPr="006F3B5C" w:rsidRDefault="00DD59CE">
            <w:pPr>
              <w:pStyle w:val="BulletText1"/>
            </w:pPr>
            <w:hyperlink w:anchor="_d.__Rating_1" w:history="1">
              <w:proofErr w:type="gramStart"/>
              <w:r w:rsidR="00E7406A" w:rsidRPr="006F3B5C">
                <w:rPr>
                  <w:rStyle w:val="Hyperlink"/>
                </w:rPr>
                <w:t>the</w:t>
              </w:r>
              <w:proofErr w:type="gramEnd"/>
              <w:r w:rsidR="00E7406A" w:rsidRPr="006F3B5C">
                <w:rPr>
                  <w:rStyle w:val="Hyperlink"/>
                </w:rPr>
                <w:t xml:space="preserve"> rating conclusion</w:t>
              </w:r>
              <w:r w:rsidR="005C1790" w:rsidRPr="006F3B5C">
                <w:rPr>
                  <w:rStyle w:val="Hyperlink"/>
                </w:rPr>
                <w:t xml:space="preserve"> for civil service preference determinations</w:t>
              </w:r>
            </w:hyperlink>
            <w:r w:rsidR="00E7406A" w:rsidRPr="006F3B5C">
              <w:t>.</w:t>
            </w:r>
          </w:p>
        </w:tc>
      </w:tr>
    </w:tbl>
    <w:p w14:paraId="65E41018" w14:textId="77777777" w:rsidR="00E7406A" w:rsidRPr="006F3B5C"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101B" w14:textId="77777777" w:rsidTr="0087122C">
        <w:trPr>
          <w:cantSplit/>
        </w:trPr>
        <w:tc>
          <w:tcPr>
            <w:tcW w:w="1728" w:type="dxa"/>
            <w:shd w:val="clear" w:color="auto" w:fill="auto"/>
          </w:tcPr>
          <w:p w14:paraId="65E41019" w14:textId="77777777" w:rsidR="00E7406A" w:rsidRPr="006F3B5C" w:rsidRDefault="00E7406A">
            <w:pPr>
              <w:pStyle w:val="Heading5"/>
            </w:pPr>
            <w:r w:rsidRPr="006F3B5C">
              <w:t>Change Date</w:t>
            </w:r>
          </w:p>
        </w:tc>
        <w:tc>
          <w:tcPr>
            <w:tcW w:w="7740" w:type="dxa"/>
            <w:shd w:val="clear" w:color="auto" w:fill="auto"/>
          </w:tcPr>
          <w:p w14:paraId="65E4101A" w14:textId="77777777" w:rsidR="00E7406A" w:rsidRPr="006F3B5C" w:rsidRDefault="00E7406A" w:rsidP="0087122C">
            <w:pPr>
              <w:pStyle w:val="BlockText"/>
            </w:pPr>
            <w:r w:rsidRPr="006F3B5C">
              <w:t>November 16, 2004</w:t>
            </w:r>
          </w:p>
        </w:tc>
      </w:tr>
    </w:tbl>
    <w:p w14:paraId="65E4101C"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01F" w14:textId="77777777" w:rsidTr="0087122C">
        <w:trPr>
          <w:cantSplit/>
        </w:trPr>
        <w:tc>
          <w:tcPr>
            <w:tcW w:w="1728" w:type="dxa"/>
            <w:shd w:val="clear" w:color="auto" w:fill="auto"/>
          </w:tcPr>
          <w:p w14:paraId="65E4101D" w14:textId="77777777" w:rsidR="00E7406A" w:rsidRPr="006F3B5C" w:rsidRDefault="00E7406A">
            <w:pPr>
              <w:pStyle w:val="Heading5"/>
            </w:pPr>
            <w:bookmarkStart w:id="43" w:name="_a.__Certifying"/>
            <w:bookmarkEnd w:id="43"/>
            <w:proofErr w:type="gramStart"/>
            <w:r w:rsidRPr="006F3B5C">
              <w:t>a.  Certifying</w:t>
            </w:r>
            <w:proofErr w:type="gramEnd"/>
            <w:r w:rsidRPr="006F3B5C">
              <w:t xml:space="preserve"> Civil Service Disability Preference</w:t>
            </w:r>
          </w:p>
        </w:tc>
        <w:tc>
          <w:tcPr>
            <w:tcW w:w="7740" w:type="dxa"/>
            <w:shd w:val="clear" w:color="auto" w:fill="auto"/>
          </w:tcPr>
          <w:p w14:paraId="65E4101E" w14:textId="57A535C1" w:rsidR="00E7406A" w:rsidRPr="006F3B5C" w:rsidRDefault="00E7406A" w:rsidP="0087122C">
            <w:pPr>
              <w:pStyle w:val="BlockText"/>
            </w:pPr>
            <w:r w:rsidRPr="006F3B5C">
              <w:t>For the purpose of certifying civil service disability preference, a</w:t>
            </w:r>
            <w:r w:rsidR="00074DCC" w:rsidRPr="006F3B5C">
              <w:t>n</w:t>
            </w:r>
            <w:r w:rsidRPr="006F3B5C">
              <w:t xml:space="preserve"> SC disability may be assigned an evaluation of “</w:t>
            </w:r>
            <w:r w:rsidRPr="006F3B5C">
              <w:rPr>
                <w:i/>
              </w:rPr>
              <w:t>less than ten percent</w:t>
            </w:r>
            <w:r w:rsidRPr="006F3B5C">
              <w:t>” for any directly or presumptively SC disease or injury that exhibits some extent of actual impairment.</w:t>
            </w:r>
          </w:p>
        </w:tc>
      </w:tr>
    </w:tbl>
    <w:p w14:paraId="65E41020"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025" w14:textId="77777777" w:rsidTr="0087122C">
        <w:trPr>
          <w:cantSplit/>
        </w:trPr>
        <w:tc>
          <w:tcPr>
            <w:tcW w:w="1728" w:type="dxa"/>
            <w:shd w:val="clear" w:color="auto" w:fill="auto"/>
          </w:tcPr>
          <w:p w14:paraId="65E41021" w14:textId="77777777" w:rsidR="00E7406A" w:rsidRPr="006F3B5C" w:rsidRDefault="00E7406A">
            <w:pPr>
              <w:pStyle w:val="Heading5"/>
            </w:pPr>
            <w:bookmarkStart w:id="44" w:name="_b.__Requirements"/>
            <w:bookmarkEnd w:id="44"/>
            <w:proofErr w:type="gramStart"/>
            <w:r w:rsidRPr="006F3B5C">
              <w:t>b.  Requirements</w:t>
            </w:r>
            <w:proofErr w:type="gramEnd"/>
            <w:r w:rsidRPr="006F3B5C">
              <w:t xml:space="preserve"> for Civil Service Evaluations</w:t>
            </w:r>
          </w:p>
        </w:tc>
        <w:tc>
          <w:tcPr>
            <w:tcW w:w="7740" w:type="dxa"/>
            <w:shd w:val="clear" w:color="auto" w:fill="auto"/>
          </w:tcPr>
          <w:p w14:paraId="65E41022" w14:textId="77777777" w:rsidR="00E7406A" w:rsidRPr="006F3B5C" w:rsidRDefault="00E7406A" w:rsidP="0087122C">
            <w:pPr>
              <w:pStyle w:val="BlockText"/>
            </w:pPr>
            <w:r w:rsidRPr="006F3B5C">
              <w:t>For noncombat disabilities, there must be ascertainable residuals before a “</w:t>
            </w:r>
            <w:r w:rsidRPr="006F3B5C">
              <w:rPr>
                <w:i/>
              </w:rPr>
              <w:t>less than ten percent</w:t>
            </w:r>
            <w:r w:rsidRPr="006F3B5C">
              <w:t>” evaluation may be assigned.  “Ascertainable residuals” means symptoms that can be objectively verified on examination.</w:t>
            </w:r>
          </w:p>
          <w:p w14:paraId="65E41023" w14:textId="77777777" w:rsidR="00E7406A" w:rsidRPr="006F3B5C" w:rsidRDefault="00E7406A" w:rsidP="0087122C">
            <w:pPr>
              <w:pStyle w:val="BlockText"/>
            </w:pPr>
          </w:p>
          <w:p w14:paraId="65E41024" w14:textId="77777777" w:rsidR="00E7406A" w:rsidRPr="006F3B5C" w:rsidRDefault="00E7406A" w:rsidP="0087122C">
            <w:pPr>
              <w:pStyle w:val="BlockText"/>
            </w:pPr>
            <w:r w:rsidRPr="006F3B5C">
              <w:t>Combat incurred noncompensable disabilities warrant an evaluation of “</w:t>
            </w:r>
            <w:r w:rsidRPr="006F3B5C">
              <w:rPr>
                <w:i/>
              </w:rPr>
              <w:t>less than ten percent</w:t>
            </w:r>
            <w:r w:rsidRPr="006F3B5C">
              <w:t>.”</w:t>
            </w:r>
          </w:p>
        </w:tc>
      </w:tr>
    </w:tbl>
    <w:p w14:paraId="65E41026"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029" w14:textId="77777777" w:rsidTr="0087122C">
        <w:trPr>
          <w:cantSplit/>
        </w:trPr>
        <w:tc>
          <w:tcPr>
            <w:tcW w:w="1728" w:type="dxa"/>
            <w:shd w:val="clear" w:color="auto" w:fill="auto"/>
          </w:tcPr>
          <w:p w14:paraId="65E41027" w14:textId="77777777" w:rsidR="00E7406A" w:rsidRPr="006F3B5C" w:rsidRDefault="00E7406A" w:rsidP="005C1790">
            <w:pPr>
              <w:pStyle w:val="Heading5"/>
            </w:pPr>
            <w:bookmarkStart w:id="45" w:name="_c.__When"/>
            <w:bookmarkEnd w:id="45"/>
            <w:proofErr w:type="gramStart"/>
            <w:r w:rsidRPr="006F3B5C">
              <w:t>c.  When</w:t>
            </w:r>
            <w:proofErr w:type="gramEnd"/>
            <w:r w:rsidRPr="006F3B5C">
              <w:t xml:space="preserve"> a Rating Is Required</w:t>
            </w:r>
            <w:r w:rsidR="005C1790" w:rsidRPr="006F3B5C">
              <w:t xml:space="preserve"> for Civil Service Preference</w:t>
            </w:r>
          </w:p>
        </w:tc>
        <w:tc>
          <w:tcPr>
            <w:tcW w:w="7740" w:type="dxa"/>
            <w:shd w:val="clear" w:color="auto" w:fill="auto"/>
          </w:tcPr>
          <w:p w14:paraId="65E41028" w14:textId="77777777" w:rsidR="00E7406A" w:rsidRPr="006F3B5C" w:rsidRDefault="00E7406A" w:rsidP="0087122C">
            <w:pPr>
              <w:pStyle w:val="BlockText"/>
            </w:pPr>
            <w:r w:rsidRPr="006F3B5C">
              <w:t xml:space="preserve">A rating is necessary if a previous rating did not establish entitlement to compensation, which includes Special Monthly Compensation (SMC) or entitlement under </w:t>
            </w:r>
            <w:hyperlink r:id="rId114" w:history="1">
              <w:r w:rsidR="000711AA" w:rsidRPr="006F3B5C">
                <w:rPr>
                  <w:rStyle w:val="Hyperlink"/>
                </w:rPr>
                <w:t xml:space="preserve">38 </w:t>
              </w:r>
              <w:r w:rsidR="002A33EA" w:rsidRPr="006F3B5C">
                <w:rPr>
                  <w:rStyle w:val="Hyperlink"/>
                </w:rPr>
                <w:t>CFR</w:t>
              </w:r>
              <w:r w:rsidR="000711AA" w:rsidRPr="006F3B5C">
                <w:rPr>
                  <w:rStyle w:val="Hyperlink"/>
                </w:rPr>
                <w:t xml:space="preserve"> 3</w:t>
              </w:r>
              <w:r w:rsidRPr="006F3B5C">
                <w:rPr>
                  <w:rStyle w:val="Hyperlink"/>
                </w:rPr>
                <w:t xml:space="preserve">.324. </w:t>
              </w:r>
            </w:hyperlink>
          </w:p>
        </w:tc>
      </w:tr>
    </w:tbl>
    <w:p w14:paraId="65E4102A" w14:textId="77777777" w:rsidR="00E7406A" w:rsidRPr="006F3B5C" w:rsidRDefault="00A82436">
      <w:pPr>
        <w:pStyle w:val="BlockLine"/>
      </w:pPr>
      <w:r w:rsidRPr="006F3B5C">
        <w:fldChar w:fldCharType="begin"/>
      </w:r>
      <w:r w:rsidRPr="006F3B5C">
        <w:instrText xml:space="preserve"> PRIVATE INFOTYPE="PROCEDURE"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030" w14:textId="77777777" w:rsidTr="0087122C">
        <w:trPr>
          <w:cantSplit/>
        </w:trPr>
        <w:tc>
          <w:tcPr>
            <w:tcW w:w="1728" w:type="dxa"/>
            <w:shd w:val="clear" w:color="auto" w:fill="auto"/>
          </w:tcPr>
          <w:p w14:paraId="65E4102B" w14:textId="77777777" w:rsidR="00E7406A" w:rsidRPr="006F3B5C" w:rsidRDefault="00E7406A" w:rsidP="005C1790">
            <w:pPr>
              <w:pStyle w:val="Heading5"/>
            </w:pPr>
            <w:bookmarkStart w:id="46" w:name="_d.__Rating_1"/>
            <w:bookmarkEnd w:id="46"/>
            <w:proofErr w:type="gramStart"/>
            <w:r w:rsidRPr="006F3B5C">
              <w:t>d.  Rating</w:t>
            </w:r>
            <w:proofErr w:type="gramEnd"/>
            <w:r w:rsidRPr="006F3B5C">
              <w:t xml:space="preserve"> Conclusion</w:t>
            </w:r>
            <w:r w:rsidR="005C1790" w:rsidRPr="006F3B5C">
              <w:t xml:space="preserve"> for Civil Service Preference Determinations</w:t>
            </w:r>
          </w:p>
        </w:tc>
        <w:tc>
          <w:tcPr>
            <w:tcW w:w="7740" w:type="dxa"/>
            <w:shd w:val="clear" w:color="auto" w:fill="auto"/>
          </w:tcPr>
          <w:p w14:paraId="65E4102C" w14:textId="77777777" w:rsidR="00E7406A" w:rsidRPr="006F3B5C" w:rsidRDefault="00E7406A" w:rsidP="0087122C">
            <w:pPr>
              <w:pStyle w:val="BlockText"/>
            </w:pPr>
            <w:r w:rsidRPr="006F3B5C">
              <w:t xml:space="preserve">In the rating conclusion, show the </w:t>
            </w:r>
            <w:r w:rsidR="003369C7" w:rsidRPr="006F3B5C">
              <w:t>DC</w:t>
            </w:r>
            <w:r w:rsidRPr="006F3B5C">
              <w:t>, diagnosis, and an evaluation of either</w:t>
            </w:r>
          </w:p>
          <w:p w14:paraId="65E4102D" w14:textId="77777777" w:rsidR="00E7406A" w:rsidRPr="006F3B5C" w:rsidRDefault="00E7406A" w:rsidP="0087122C">
            <w:pPr>
              <w:pStyle w:val="BlockText"/>
            </w:pPr>
          </w:p>
          <w:p w14:paraId="65E4102E" w14:textId="77777777" w:rsidR="00E7406A" w:rsidRPr="006F3B5C" w:rsidRDefault="00E7406A">
            <w:pPr>
              <w:pStyle w:val="BulletText1"/>
            </w:pPr>
            <w:r w:rsidRPr="006F3B5C">
              <w:t>“</w:t>
            </w:r>
            <w:r w:rsidRPr="006F3B5C">
              <w:rPr>
                <w:i/>
                <w:iCs/>
              </w:rPr>
              <w:t>less than ten percent</w:t>
            </w:r>
            <w:r w:rsidRPr="006F3B5C">
              <w:t>,” or</w:t>
            </w:r>
          </w:p>
          <w:p w14:paraId="65E4102F" w14:textId="77777777" w:rsidR="00E7406A" w:rsidRPr="006F3B5C" w:rsidRDefault="00E7406A">
            <w:pPr>
              <w:pStyle w:val="BulletText1"/>
            </w:pPr>
            <w:r w:rsidRPr="006F3B5C">
              <w:t>“</w:t>
            </w:r>
            <w:r w:rsidRPr="006F3B5C">
              <w:rPr>
                <w:i/>
                <w:iCs/>
              </w:rPr>
              <w:t>The noncompensable service-connected disabilities have no ascertainable residuals</w:t>
            </w:r>
            <w:r w:rsidRPr="006F3B5C">
              <w:t>.”</w:t>
            </w:r>
          </w:p>
        </w:tc>
      </w:tr>
    </w:tbl>
    <w:p w14:paraId="65E41031" w14:textId="77777777" w:rsidR="00E7406A" w:rsidRPr="006F3B5C" w:rsidRDefault="00E7406A">
      <w:pPr>
        <w:pStyle w:val="BlockLine"/>
      </w:pPr>
    </w:p>
    <w:p w14:paraId="65E41032" w14:textId="77777777" w:rsidR="00E7406A" w:rsidRPr="006F3B5C" w:rsidRDefault="00E7406A">
      <w:pPr>
        <w:pStyle w:val="Heading4"/>
      </w:pPr>
      <w:r w:rsidRPr="006F3B5C">
        <w:br w:type="page"/>
      </w:r>
      <w:r w:rsidRPr="006F3B5C">
        <w:lastRenderedPageBreak/>
        <w:t>8.  Rating to Extend the Delimiting Dates for Educational Assistance</w:t>
      </w:r>
    </w:p>
    <w:p w14:paraId="65E41033" w14:textId="77777777" w:rsidR="00E7406A" w:rsidRPr="006F3B5C" w:rsidRDefault="00E7406A">
      <w:pPr>
        <w:pStyle w:val="BlockLine"/>
      </w:pPr>
      <w:r w:rsidRPr="006F3B5C">
        <w:fldChar w:fldCharType="begin"/>
      </w:r>
      <w:r w:rsidRPr="006F3B5C">
        <w:instrText xml:space="preserve"> PRIVATE INFOTYPE="OTHER"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040" w14:textId="77777777" w:rsidTr="0087122C">
        <w:trPr>
          <w:cantSplit/>
        </w:trPr>
        <w:tc>
          <w:tcPr>
            <w:tcW w:w="1728" w:type="dxa"/>
            <w:shd w:val="clear" w:color="auto" w:fill="auto"/>
          </w:tcPr>
          <w:p w14:paraId="65E41034" w14:textId="77777777" w:rsidR="00E7406A" w:rsidRPr="006F3B5C" w:rsidRDefault="00E7406A">
            <w:pPr>
              <w:pStyle w:val="Heading5"/>
            </w:pPr>
            <w:r w:rsidRPr="006F3B5C">
              <w:t>Introduction</w:t>
            </w:r>
          </w:p>
        </w:tc>
        <w:tc>
          <w:tcPr>
            <w:tcW w:w="7740" w:type="dxa"/>
            <w:shd w:val="clear" w:color="auto" w:fill="auto"/>
          </w:tcPr>
          <w:p w14:paraId="65E41035" w14:textId="77777777" w:rsidR="00E7406A" w:rsidRPr="006F3B5C" w:rsidRDefault="00E7406A" w:rsidP="0087122C">
            <w:pPr>
              <w:pStyle w:val="BlockText"/>
            </w:pPr>
            <w:r w:rsidRPr="006F3B5C">
              <w:t xml:space="preserve">This topic contains information on rating to extend the delimiting dates for educational assistance based on disability, including </w:t>
            </w:r>
          </w:p>
          <w:p w14:paraId="65E41036" w14:textId="77777777" w:rsidR="00E7406A" w:rsidRPr="006F3B5C" w:rsidRDefault="00E7406A" w:rsidP="0087122C">
            <w:pPr>
              <w:pStyle w:val="BlockText"/>
            </w:pPr>
          </w:p>
          <w:p w14:paraId="65E41037" w14:textId="47DF9B80" w:rsidR="00E7406A" w:rsidRPr="006F3B5C" w:rsidRDefault="00DD59CE">
            <w:pPr>
              <w:pStyle w:val="BulletText1"/>
            </w:pPr>
            <w:hyperlink w:anchor="_a.__RPO" w:history="1">
              <w:r w:rsidR="00E7406A" w:rsidRPr="006F3B5C">
                <w:rPr>
                  <w:rStyle w:val="Hyperlink"/>
                </w:rPr>
                <w:t>Regional Processing Office (RPO) jurisdiction</w:t>
              </w:r>
            </w:hyperlink>
          </w:p>
          <w:p w14:paraId="65E41038" w14:textId="1B44F850" w:rsidR="00E7406A" w:rsidRPr="006F3B5C" w:rsidRDefault="00DD59CE">
            <w:pPr>
              <w:pStyle w:val="BulletText1"/>
            </w:pPr>
            <w:hyperlink w:anchor="_b.__When_1" w:history="1">
              <w:r w:rsidR="00E7406A" w:rsidRPr="006F3B5C">
                <w:rPr>
                  <w:rStyle w:val="Hyperlink"/>
                </w:rPr>
                <w:t>when the delimiting dates may be extended</w:t>
              </w:r>
            </w:hyperlink>
          </w:p>
          <w:p w14:paraId="65E41039" w14:textId="520617A9" w:rsidR="00E7406A" w:rsidRPr="006F3B5C" w:rsidRDefault="00DD59CE">
            <w:pPr>
              <w:pStyle w:val="BulletText1"/>
            </w:pPr>
            <w:hyperlink w:anchor="_c.__Determining" w:history="1">
              <w:r w:rsidR="00E7406A" w:rsidRPr="006F3B5C">
                <w:rPr>
                  <w:rStyle w:val="Hyperlink"/>
                </w:rPr>
                <w:t>determining whether the disability was the result of willful misconduct</w:t>
              </w:r>
            </w:hyperlink>
          </w:p>
          <w:p w14:paraId="65E4103A" w14:textId="67BEA9C8" w:rsidR="00E7406A" w:rsidRPr="006F3B5C" w:rsidRDefault="00DD59CE">
            <w:pPr>
              <w:pStyle w:val="BulletText1"/>
            </w:pPr>
            <w:hyperlink w:anchor="_d.__When" w:history="1">
              <w:r w:rsidR="00E7406A" w:rsidRPr="006F3B5C">
                <w:rPr>
                  <w:rStyle w:val="Hyperlink"/>
                </w:rPr>
                <w:t>when medical infeasibility may be found</w:t>
              </w:r>
            </w:hyperlink>
          </w:p>
          <w:p w14:paraId="65E4103B" w14:textId="6705B393" w:rsidR="00E7406A" w:rsidRPr="006F3B5C" w:rsidRDefault="00DD59CE">
            <w:pPr>
              <w:pStyle w:val="BulletText1"/>
            </w:pPr>
            <w:hyperlink w:anchor="_e.__Time" w:history="1">
              <w:r w:rsidR="00E7406A" w:rsidRPr="006F3B5C">
                <w:rPr>
                  <w:rStyle w:val="Hyperlink"/>
                </w:rPr>
                <w:t>time limitation for requesting a delimiting date extension</w:t>
              </w:r>
            </w:hyperlink>
          </w:p>
          <w:p w14:paraId="65E4103C" w14:textId="26C9E790" w:rsidR="00E7406A" w:rsidRPr="006F3B5C" w:rsidRDefault="00DD59CE">
            <w:pPr>
              <w:pStyle w:val="BulletText1"/>
            </w:pPr>
            <w:hyperlink w:anchor="_f.__When" w:history="1">
              <w:r w:rsidR="00E7406A" w:rsidRPr="006F3B5C">
                <w:rPr>
                  <w:rStyle w:val="Hyperlink"/>
                </w:rPr>
                <w:t xml:space="preserve">when to refer claims </w:t>
              </w:r>
              <w:r w:rsidR="00210EC0" w:rsidRPr="006F3B5C">
                <w:rPr>
                  <w:rStyle w:val="Hyperlink"/>
                </w:rPr>
                <w:t xml:space="preserve">for delimiting date extensions </w:t>
              </w:r>
              <w:r w:rsidR="00E7406A" w:rsidRPr="006F3B5C">
                <w:rPr>
                  <w:rStyle w:val="Hyperlink"/>
                </w:rPr>
                <w:t>to the rating activity</w:t>
              </w:r>
            </w:hyperlink>
          </w:p>
          <w:p w14:paraId="65E4103D" w14:textId="62C26AFB" w:rsidR="00E7406A" w:rsidRPr="006F3B5C" w:rsidRDefault="00DD59CE">
            <w:pPr>
              <w:pStyle w:val="BulletText1"/>
            </w:pPr>
            <w:hyperlink w:anchor="_g.__Processing" w:history="1">
              <w:r w:rsidR="00E7406A" w:rsidRPr="006F3B5C">
                <w:rPr>
                  <w:rStyle w:val="Hyperlink"/>
                </w:rPr>
                <w:t>processing</w:t>
              </w:r>
              <w:r w:rsidR="00210EC0" w:rsidRPr="006F3B5C">
                <w:rPr>
                  <w:rStyle w:val="Hyperlink"/>
                </w:rPr>
                <w:t xml:space="preserve"> claims for delimiting date extensions</w:t>
              </w:r>
            </w:hyperlink>
          </w:p>
          <w:p w14:paraId="65E4103E" w14:textId="2F20282F" w:rsidR="00E7406A" w:rsidRPr="006F3B5C" w:rsidRDefault="00DD59CE">
            <w:pPr>
              <w:pStyle w:val="BulletText1"/>
            </w:pPr>
            <w:hyperlink w:anchor="_h.__Reviewing" w:history="1">
              <w:r w:rsidR="00E7406A" w:rsidRPr="006F3B5C">
                <w:rPr>
                  <w:rStyle w:val="Hyperlink"/>
                </w:rPr>
                <w:t>reviewing medical records for evidence relating to non-Education Service benefits</w:t>
              </w:r>
            </w:hyperlink>
            <w:r w:rsidR="00E7406A" w:rsidRPr="006F3B5C">
              <w:t>, and</w:t>
            </w:r>
          </w:p>
          <w:p w14:paraId="65E4103F" w14:textId="368793F4" w:rsidR="00E7406A" w:rsidRPr="006F3B5C" w:rsidRDefault="00DD59CE">
            <w:pPr>
              <w:pStyle w:val="BulletText1"/>
            </w:pPr>
            <w:hyperlink w:anchor="_i.__Rating" w:history="1">
              <w:proofErr w:type="gramStart"/>
              <w:r w:rsidR="00E7406A" w:rsidRPr="006F3B5C">
                <w:rPr>
                  <w:rStyle w:val="Hyperlink"/>
                </w:rPr>
                <w:t>rating</w:t>
              </w:r>
              <w:proofErr w:type="gramEnd"/>
              <w:r w:rsidR="00E7406A" w:rsidRPr="006F3B5C">
                <w:rPr>
                  <w:rStyle w:val="Hyperlink"/>
                </w:rPr>
                <w:t xml:space="preserve"> conclusion</w:t>
              </w:r>
              <w:r w:rsidR="00210EC0" w:rsidRPr="006F3B5C">
                <w:rPr>
                  <w:rStyle w:val="Hyperlink"/>
                </w:rPr>
                <w:t xml:space="preserve"> for determinations of delimiting date extensions</w:t>
              </w:r>
            </w:hyperlink>
            <w:r w:rsidR="00E7406A" w:rsidRPr="006F3B5C">
              <w:t>.</w:t>
            </w:r>
          </w:p>
        </w:tc>
      </w:tr>
    </w:tbl>
    <w:p w14:paraId="65E41041" w14:textId="77777777" w:rsidR="00E7406A" w:rsidRPr="006F3B5C"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1044" w14:textId="77777777" w:rsidTr="0087122C">
        <w:trPr>
          <w:cantSplit/>
        </w:trPr>
        <w:tc>
          <w:tcPr>
            <w:tcW w:w="1728" w:type="dxa"/>
            <w:shd w:val="clear" w:color="auto" w:fill="auto"/>
          </w:tcPr>
          <w:p w14:paraId="65E41042" w14:textId="77777777" w:rsidR="00E7406A" w:rsidRPr="006F3B5C" w:rsidRDefault="00E7406A">
            <w:pPr>
              <w:pStyle w:val="Heading5"/>
            </w:pPr>
            <w:r w:rsidRPr="006F3B5C">
              <w:t>Change Date</w:t>
            </w:r>
          </w:p>
        </w:tc>
        <w:tc>
          <w:tcPr>
            <w:tcW w:w="7740" w:type="dxa"/>
            <w:shd w:val="clear" w:color="auto" w:fill="auto"/>
          </w:tcPr>
          <w:p w14:paraId="65E41043" w14:textId="77777777" w:rsidR="00E7406A" w:rsidRPr="006F3B5C" w:rsidRDefault="00612B07" w:rsidP="0087122C">
            <w:pPr>
              <w:pStyle w:val="BlockText"/>
            </w:pPr>
            <w:r w:rsidRPr="006F3B5C">
              <w:t>February 3, 2011</w:t>
            </w:r>
          </w:p>
        </w:tc>
      </w:tr>
    </w:tbl>
    <w:p w14:paraId="65E41045"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053" w14:textId="77777777" w:rsidTr="0087122C">
        <w:trPr>
          <w:cantSplit/>
        </w:trPr>
        <w:tc>
          <w:tcPr>
            <w:tcW w:w="1728" w:type="dxa"/>
            <w:shd w:val="clear" w:color="auto" w:fill="auto"/>
          </w:tcPr>
          <w:p w14:paraId="65E41046" w14:textId="77777777" w:rsidR="00E7406A" w:rsidRPr="006F3B5C" w:rsidRDefault="00E7406A">
            <w:pPr>
              <w:pStyle w:val="Heading5"/>
            </w:pPr>
            <w:bookmarkStart w:id="47" w:name="_a.__RPO"/>
            <w:bookmarkEnd w:id="47"/>
            <w:proofErr w:type="gramStart"/>
            <w:r w:rsidRPr="006F3B5C">
              <w:t>a.  RPO</w:t>
            </w:r>
            <w:proofErr w:type="gramEnd"/>
            <w:r w:rsidRPr="006F3B5C">
              <w:t xml:space="preserve"> Jurisdiction</w:t>
            </w:r>
          </w:p>
        </w:tc>
        <w:tc>
          <w:tcPr>
            <w:tcW w:w="7740" w:type="dxa"/>
            <w:shd w:val="clear" w:color="auto" w:fill="auto"/>
          </w:tcPr>
          <w:p w14:paraId="65E41047" w14:textId="77777777" w:rsidR="00E7406A" w:rsidRPr="006F3B5C" w:rsidRDefault="00E7406A" w:rsidP="0087122C">
            <w:pPr>
              <w:pStyle w:val="BlockText"/>
            </w:pPr>
            <w:r w:rsidRPr="006F3B5C">
              <w:t>The jurisdiction of all rating determinations required in claims for extension of the educational assistance delimiting date resides with the Regional Processing Offices (RPO) in</w:t>
            </w:r>
          </w:p>
          <w:p w14:paraId="65E41048" w14:textId="77777777" w:rsidR="00E7406A" w:rsidRPr="006F3B5C" w:rsidRDefault="00E7406A" w:rsidP="0087122C">
            <w:pPr>
              <w:pStyle w:val="BlockText"/>
            </w:pPr>
          </w:p>
          <w:p w14:paraId="65E41049" w14:textId="77777777" w:rsidR="00E7406A" w:rsidRPr="006F3B5C" w:rsidRDefault="00E7406A">
            <w:pPr>
              <w:pStyle w:val="BulletText1"/>
            </w:pPr>
            <w:r w:rsidRPr="006F3B5C">
              <w:t>Atlanta</w:t>
            </w:r>
          </w:p>
          <w:p w14:paraId="65E4104A" w14:textId="77777777" w:rsidR="00E7406A" w:rsidRPr="006F3B5C" w:rsidRDefault="00E7406A">
            <w:pPr>
              <w:pStyle w:val="BulletText1"/>
            </w:pPr>
            <w:r w:rsidRPr="006F3B5C">
              <w:t>Buffalo</w:t>
            </w:r>
          </w:p>
          <w:p w14:paraId="65E4104B" w14:textId="77777777" w:rsidR="00E7406A" w:rsidRPr="006F3B5C" w:rsidRDefault="00E7406A">
            <w:pPr>
              <w:pStyle w:val="BulletText1"/>
            </w:pPr>
            <w:r w:rsidRPr="006F3B5C">
              <w:t>St. Louis, and</w:t>
            </w:r>
          </w:p>
          <w:p w14:paraId="65E4104C" w14:textId="77777777" w:rsidR="00E7406A" w:rsidRPr="006F3B5C" w:rsidRDefault="00E7406A">
            <w:pPr>
              <w:pStyle w:val="BulletText1"/>
            </w:pPr>
            <w:r w:rsidRPr="006F3B5C">
              <w:t>Muskogee.</w:t>
            </w:r>
          </w:p>
          <w:p w14:paraId="65E4104D" w14:textId="77777777" w:rsidR="00E7406A" w:rsidRPr="006F3B5C" w:rsidRDefault="00E7406A" w:rsidP="0087122C">
            <w:pPr>
              <w:pStyle w:val="BlockText"/>
            </w:pPr>
          </w:p>
          <w:p w14:paraId="65E4104E" w14:textId="77777777" w:rsidR="00E7406A" w:rsidRPr="006F3B5C" w:rsidRDefault="00E7406A" w:rsidP="0087122C">
            <w:pPr>
              <w:pStyle w:val="BlockText"/>
            </w:pPr>
            <w:r w:rsidRPr="006F3B5C">
              <w:t>If an RO receives a request for a delimiting date extension, the RO should route the request to the RPO of jurisdiction.</w:t>
            </w:r>
          </w:p>
          <w:p w14:paraId="65E4104F" w14:textId="77777777" w:rsidR="00E7406A" w:rsidRPr="006F3B5C" w:rsidRDefault="00E7406A" w:rsidP="0087122C">
            <w:pPr>
              <w:pStyle w:val="BlockText"/>
            </w:pPr>
          </w:p>
          <w:p w14:paraId="65E41050" w14:textId="77777777" w:rsidR="00E7406A" w:rsidRPr="006F3B5C" w:rsidRDefault="00E7406A" w:rsidP="0087122C">
            <w:pPr>
              <w:pStyle w:val="BlockText"/>
            </w:pPr>
            <w:r w:rsidRPr="006F3B5C">
              <w:rPr>
                <w:b/>
                <w:i/>
              </w:rPr>
              <w:t>Note</w:t>
            </w:r>
            <w:r w:rsidRPr="006F3B5C">
              <w:t>:  The address of the claimant’s educational facility determines which RPO has jurisdiction over the claim.</w:t>
            </w:r>
          </w:p>
          <w:p w14:paraId="65E41051" w14:textId="77777777" w:rsidR="00E7406A" w:rsidRPr="006F3B5C" w:rsidRDefault="00E7406A" w:rsidP="0087122C">
            <w:pPr>
              <w:pStyle w:val="BlockText"/>
            </w:pPr>
          </w:p>
          <w:p w14:paraId="65E41052" w14:textId="77777777" w:rsidR="00E7406A" w:rsidRPr="006F3B5C" w:rsidRDefault="00E7406A" w:rsidP="0087122C">
            <w:pPr>
              <w:pStyle w:val="BlockText"/>
            </w:pPr>
            <w:r w:rsidRPr="006F3B5C">
              <w:rPr>
                <w:b/>
                <w:i/>
              </w:rPr>
              <w:t>Reference</w:t>
            </w:r>
            <w:r w:rsidRPr="006F3B5C">
              <w:t xml:space="preserve">:  For information on the alignment of ROs and RPOs, see </w:t>
            </w:r>
            <w:hyperlink r:id="rId115" w:history="1">
              <w:r w:rsidRPr="006F3B5C">
                <w:rPr>
                  <w:rStyle w:val="Hyperlink"/>
                </w:rPr>
                <w:t>M21-1MR, Part IX, Subpart ii, 2.12.</w:t>
              </w:r>
            </w:hyperlink>
          </w:p>
        </w:tc>
      </w:tr>
    </w:tbl>
    <w:p w14:paraId="65E41056"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r w:rsidR="00E7406A" w:rsidRPr="006F3B5C">
        <w:t xml:space="preserve"> </w:t>
      </w:r>
    </w:p>
    <w:tbl>
      <w:tblPr>
        <w:tblW w:w="0" w:type="auto"/>
        <w:tblLayout w:type="fixed"/>
        <w:tblLook w:val="0000" w:firstRow="0" w:lastRow="0" w:firstColumn="0" w:lastColumn="0" w:noHBand="0" w:noVBand="0"/>
      </w:tblPr>
      <w:tblGrid>
        <w:gridCol w:w="1728"/>
        <w:gridCol w:w="7740"/>
      </w:tblGrid>
      <w:tr w:rsidR="00E7406A" w:rsidRPr="006F3B5C" w14:paraId="65E4105D" w14:textId="77777777" w:rsidTr="0087122C">
        <w:trPr>
          <w:cantSplit/>
        </w:trPr>
        <w:tc>
          <w:tcPr>
            <w:tcW w:w="1728" w:type="dxa"/>
            <w:shd w:val="clear" w:color="auto" w:fill="auto"/>
          </w:tcPr>
          <w:p w14:paraId="65E41057" w14:textId="77777777" w:rsidR="00E7406A" w:rsidRPr="006F3B5C" w:rsidRDefault="00E7406A">
            <w:pPr>
              <w:pStyle w:val="Heading5"/>
            </w:pPr>
            <w:bookmarkStart w:id="48" w:name="_b.__When_1"/>
            <w:bookmarkEnd w:id="48"/>
            <w:proofErr w:type="gramStart"/>
            <w:r w:rsidRPr="006F3B5C">
              <w:lastRenderedPageBreak/>
              <w:t>b.  When</w:t>
            </w:r>
            <w:proofErr w:type="gramEnd"/>
            <w:r w:rsidRPr="006F3B5C">
              <w:t xml:space="preserve"> Delimiting Dates May Be Extended</w:t>
            </w:r>
          </w:p>
        </w:tc>
        <w:tc>
          <w:tcPr>
            <w:tcW w:w="7740" w:type="dxa"/>
            <w:shd w:val="clear" w:color="auto" w:fill="auto"/>
          </w:tcPr>
          <w:p w14:paraId="65E41058" w14:textId="77777777" w:rsidR="00E7406A" w:rsidRPr="006F3B5C" w:rsidRDefault="00E7406A" w:rsidP="0087122C">
            <w:pPr>
              <w:pStyle w:val="BlockText"/>
            </w:pPr>
            <w:r w:rsidRPr="006F3B5C">
              <w:t xml:space="preserve">The delimiting date for educational assistance may be extended for the following beneficiaries, if the rating activity determines that mental or physical disability not the result of misconduct, prevented their initiation or completion of a chosen program of education within the applicable 10, 12, </w:t>
            </w:r>
            <w:r w:rsidR="002B6C1D" w:rsidRPr="006F3B5C">
              <w:t xml:space="preserve">15, </w:t>
            </w:r>
            <w:r w:rsidRPr="006F3B5C">
              <w:t>or 20-year period of eligibility:</w:t>
            </w:r>
          </w:p>
          <w:p w14:paraId="65E41059" w14:textId="77777777" w:rsidR="00E7406A" w:rsidRPr="006F3B5C" w:rsidRDefault="00E7406A" w:rsidP="0087122C">
            <w:pPr>
              <w:pStyle w:val="BlockText"/>
            </w:pPr>
          </w:p>
          <w:p w14:paraId="65E4105A" w14:textId="77777777" w:rsidR="00E7406A" w:rsidRPr="006F3B5C" w:rsidRDefault="002A33EA">
            <w:pPr>
              <w:pStyle w:val="BulletText1"/>
            </w:pPr>
            <w:r w:rsidRPr="006F3B5C">
              <w:t>Veteran</w:t>
            </w:r>
            <w:r w:rsidR="00E7406A" w:rsidRPr="006F3B5C">
              <w:t xml:space="preserve">s eligible for </w:t>
            </w:r>
            <w:hyperlink r:id="rId116" w:history="1">
              <w:r w:rsidR="00E7406A" w:rsidRPr="006F3B5C">
                <w:rPr>
                  <w:rStyle w:val="Hyperlink"/>
                </w:rPr>
                <w:t>38 U.S.C. Chapter 30</w:t>
              </w:r>
            </w:hyperlink>
            <w:r w:rsidR="00E7406A" w:rsidRPr="006F3B5C">
              <w:t xml:space="preserve">, </w:t>
            </w:r>
            <w:hyperlink r:id="rId117" w:history="1">
              <w:r w:rsidR="00E7406A" w:rsidRPr="006F3B5C">
                <w:rPr>
                  <w:rStyle w:val="Hyperlink"/>
                </w:rPr>
                <w:t>38 U.S.C. Chapter 31</w:t>
              </w:r>
            </w:hyperlink>
            <w:r w:rsidR="00E7406A" w:rsidRPr="006F3B5C">
              <w:t xml:space="preserve">, </w:t>
            </w:r>
            <w:hyperlink r:id="rId118" w:history="1">
              <w:r w:rsidR="00E7406A" w:rsidRPr="006F3B5C">
                <w:rPr>
                  <w:rStyle w:val="Hyperlink"/>
                </w:rPr>
                <w:t>38 U.S.C. Chapter 32</w:t>
              </w:r>
            </w:hyperlink>
            <w:r w:rsidR="002B6C1D" w:rsidRPr="006F3B5C">
              <w:t xml:space="preserve">, and </w:t>
            </w:r>
            <w:hyperlink r:id="rId119" w:history="1">
              <w:r w:rsidR="002B6C1D" w:rsidRPr="006F3B5C">
                <w:rPr>
                  <w:rStyle w:val="Hyperlink"/>
                </w:rPr>
                <w:t>38 U.S.C. Chapter 33</w:t>
              </w:r>
            </w:hyperlink>
            <w:r w:rsidR="002B6C1D" w:rsidRPr="006F3B5C">
              <w:t xml:space="preserve"> benefits</w:t>
            </w:r>
          </w:p>
          <w:p w14:paraId="65E4105B" w14:textId="77777777" w:rsidR="00E7406A" w:rsidRPr="006F3B5C" w:rsidRDefault="00E7406A">
            <w:pPr>
              <w:pStyle w:val="BulletText1"/>
            </w:pPr>
            <w:r w:rsidRPr="006F3B5C">
              <w:t xml:space="preserve">reservists eligible for </w:t>
            </w:r>
            <w:hyperlink r:id="rId120" w:history="1">
              <w:r w:rsidRPr="006F3B5C">
                <w:rPr>
                  <w:rStyle w:val="Hyperlink"/>
                </w:rPr>
                <w:t>38 U.S.C. Chapter 1606</w:t>
              </w:r>
            </w:hyperlink>
            <w:r w:rsidRPr="006F3B5C">
              <w:t xml:space="preserve"> benefits, and</w:t>
            </w:r>
          </w:p>
          <w:p w14:paraId="65E4105C" w14:textId="77777777" w:rsidR="00E7406A" w:rsidRPr="006F3B5C" w:rsidRDefault="00E7406A">
            <w:pPr>
              <w:pStyle w:val="BulletText1"/>
            </w:pPr>
            <w:proofErr w:type="gramStart"/>
            <w:r w:rsidRPr="006F3B5C">
              <w:t>spouses</w:t>
            </w:r>
            <w:proofErr w:type="gramEnd"/>
            <w:r w:rsidRPr="006F3B5C">
              <w:t xml:space="preserve"> or surviving spouses eligible for</w:t>
            </w:r>
            <w:r w:rsidR="00D91CB9" w:rsidRPr="006F3B5C">
              <w:t xml:space="preserve"> </w:t>
            </w:r>
            <w:hyperlink r:id="rId121" w:history="1">
              <w:r w:rsidR="00D91CB9" w:rsidRPr="006F3B5C">
                <w:rPr>
                  <w:rStyle w:val="Hyperlink"/>
                </w:rPr>
                <w:t>38 U.S.C. Chapter 33</w:t>
              </w:r>
            </w:hyperlink>
            <w:r w:rsidR="00D91CB9" w:rsidRPr="006F3B5C">
              <w:t xml:space="preserve"> or</w:t>
            </w:r>
            <w:r w:rsidRPr="006F3B5C">
              <w:t xml:space="preserve"> </w:t>
            </w:r>
            <w:hyperlink r:id="rId122" w:history="1">
              <w:r w:rsidRPr="006F3B5C">
                <w:rPr>
                  <w:rStyle w:val="Hyperlink"/>
                </w:rPr>
                <w:t>38 U.S.C. Chapter 35</w:t>
              </w:r>
            </w:hyperlink>
            <w:r w:rsidRPr="006F3B5C">
              <w:t xml:space="preserve"> benefits.</w:t>
            </w:r>
          </w:p>
        </w:tc>
      </w:tr>
    </w:tbl>
    <w:p w14:paraId="65E4105E"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061" w14:textId="77777777" w:rsidTr="0087122C">
        <w:trPr>
          <w:cantSplit/>
        </w:trPr>
        <w:tc>
          <w:tcPr>
            <w:tcW w:w="1728" w:type="dxa"/>
            <w:shd w:val="clear" w:color="auto" w:fill="auto"/>
          </w:tcPr>
          <w:p w14:paraId="65E4105F" w14:textId="77777777" w:rsidR="00E7406A" w:rsidRPr="006F3B5C" w:rsidRDefault="00E7406A">
            <w:pPr>
              <w:pStyle w:val="Heading5"/>
            </w:pPr>
            <w:bookmarkStart w:id="49" w:name="_c.__Determining"/>
            <w:bookmarkEnd w:id="49"/>
            <w:proofErr w:type="gramStart"/>
            <w:r w:rsidRPr="006F3B5C">
              <w:t>c.  Determining</w:t>
            </w:r>
            <w:proofErr w:type="gramEnd"/>
            <w:r w:rsidRPr="006F3B5C">
              <w:t xml:space="preserve"> Whether the Disability Was the Result of Willful Misconduct</w:t>
            </w:r>
          </w:p>
        </w:tc>
        <w:tc>
          <w:tcPr>
            <w:tcW w:w="7740" w:type="dxa"/>
            <w:shd w:val="clear" w:color="auto" w:fill="auto"/>
          </w:tcPr>
          <w:p w14:paraId="65E41060" w14:textId="77777777" w:rsidR="00E7406A" w:rsidRPr="006F3B5C" w:rsidRDefault="00E7406A" w:rsidP="0087122C">
            <w:pPr>
              <w:pStyle w:val="BlockText"/>
            </w:pPr>
            <w:r w:rsidRPr="006F3B5C">
              <w:t xml:space="preserve">A determination as to whether the disability was the result of willful misconduct is made by the rating activity or authorization activity according to the provisions of </w:t>
            </w:r>
            <w:hyperlink r:id="rId123" w:history="1">
              <w:r w:rsidRPr="006F3B5C">
                <w:rPr>
                  <w:rStyle w:val="Hyperlink"/>
                </w:rPr>
                <w:t>M21-1MR, Part III, Subpart v, 1.D</w:t>
              </w:r>
            </w:hyperlink>
            <w:r w:rsidRPr="006F3B5C">
              <w:t>.</w:t>
            </w:r>
          </w:p>
        </w:tc>
      </w:tr>
    </w:tbl>
    <w:p w14:paraId="65E41062"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r w:rsidR="00E7406A" w:rsidRPr="006F3B5C">
        <w:t xml:space="preserve"> </w:t>
      </w:r>
    </w:p>
    <w:tbl>
      <w:tblPr>
        <w:tblW w:w="0" w:type="auto"/>
        <w:tblLayout w:type="fixed"/>
        <w:tblLook w:val="0000" w:firstRow="0" w:lastRow="0" w:firstColumn="0" w:lastColumn="0" w:noHBand="0" w:noVBand="0"/>
      </w:tblPr>
      <w:tblGrid>
        <w:gridCol w:w="1728"/>
        <w:gridCol w:w="7740"/>
      </w:tblGrid>
      <w:tr w:rsidR="00E7406A" w:rsidRPr="006F3B5C" w14:paraId="65E41069" w14:textId="77777777" w:rsidTr="0087122C">
        <w:trPr>
          <w:cantSplit/>
        </w:trPr>
        <w:tc>
          <w:tcPr>
            <w:tcW w:w="1728" w:type="dxa"/>
            <w:shd w:val="clear" w:color="auto" w:fill="auto"/>
          </w:tcPr>
          <w:p w14:paraId="65E41063" w14:textId="77777777" w:rsidR="00E7406A" w:rsidRPr="006F3B5C" w:rsidRDefault="00E7406A">
            <w:pPr>
              <w:pStyle w:val="Heading5"/>
            </w:pPr>
            <w:bookmarkStart w:id="50" w:name="_d.__When"/>
            <w:bookmarkEnd w:id="50"/>
            <w:proofErr w:type="gramStart"/>
            <w:r w:rsidRPr="006F3B5C">
              <w:t>d.  When</w:t>
            </w:r>
            <w:proofErr w:type="gramEnd"/>
            <w:r w:rsidRPr="006F3B5C">
              <w:t xml:space="preserve"> Medical Infeasibility May Be Found</w:t>
            </w:r>
          </w:p>
        </w:tc>
        <w:tc>
          <w:tcPr>
            <w:tcW w:w="7740" w:type="dxa"/>
            <w:shd w:val="clear" w:color="auto" w:fill="auto"/>
          </w:tcPr>
          <w:p w14:paraId="65E41064" w14:textId="77777777" w:rsidR="00E7406A" w:rsidRPr="006F3B5C" w:rsidRDefault="00E7406A" w:rsidP="0087122C">
            <w:pPr>
              <w:pStyle w:val="BlockText"/>
            </w:pPr>
            <w:r w:rsidRPr="006F3B5C">
              <w:t xml:space="preserve">Medical infeasibility to pursue training ordinarily may </w:t>
            </w:r>
            <w:r w:rsidRPr="006F3B5C">
              <w:rPr>
                <w:i/>
              </w:rPr>
              <w:t>not</w:t>
            </w:r>
            <w:r w:rsidRPr="006F3B5C">
              <w:t xml:space="preserve"> be found for any period during which the claimant was employed full-time </w:t>
            </w:r>
            <w:r w:rsidRPr="006F3B5C">
              <w:rPr>
                <w:i/>
              </w:rPr>
              <w:t>unless</w:t>
            </w:r>
            <w:r w:rsidRPr="006F3B5C">
              <w:t xml:space="preserve"> either</w:t>
            </w:r>
          </w:p>
          <w:p w14:paraId="65E41065" w14:textId="77777777" w:rsidR="00E7406A" w:rsidRPr="006F3B5C" w:rsidRDefault="00E7406A" w:rsidP="0087122C">
            <w:pPr>
              <w:pStyle w:val="BlockText"/>
            </w:pPr>
          </w:p>
          <w:p w14:paraId="65E41066" w14:textId="77777777" w:rsidR="00E7406A" w:rsidRPr="006F3B5C" w:rsidRDefault="00E7406A">
            <w:pPr>
              <w:pStyle w:val="BulletText1"/>
            </w:pPr>
            <w:r w:rsidRPr="006F3B5C">
              <w:t>the medical evidence indicates that the employment was part of a medically prescribed rehabilitation program</w:t>
            </w:r>
          </w:p>
          <w:p w14:paraId="65E41067" w14:textId="77777777" w:rsidR="00E7406A" w:rsidRPr="006F3B5C" w:rsidRDefault="00E7406A">
            <w:pPr>
              <w:pStyle w:val="BulletText1"/>
            </w:pPr>
            <w:r w:rsidRPr="006F3B5C">
              <w:t>the employment was of a marginal nature and the disability can reasonably be deemed to have restricted the claimant from concurrent pursuit of the chosen program of training, or</w:t>
            </w:r>
          </w:p>
          <w:p w14:paraId="65E41068" w14:textId="77777777" w:rsidR="00E7406A" w:rsidRPr="006F3B5C" w:rsidRDefault="00E7406A">
            <w:pPr>
              <w:pStyle w:val="BulletText1"/>
            </w:pPr>
            <w:proofErr w:type="gramStart"/>
            <w:r w:rsidRPr="006F3B5C">
              <w:t>the</w:t>
            </w:r>
            <w:proofErr w:type="gramEnd"/>
            <w:r w:rsidRPr="006F3B5C">
              <w:t xml:space="preserve"> nature of the disability actually precluded the claimant from pursuing the desired program of training.</w:t>
            </w:r>
          </w:p>
        </w:tc>
      </w:tr>
    </w:tbl>
    <w:p w14:paraId="65E4106C"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r w:rsidR="00E7406A" w:rsidRPr="006F3B5C">
        <w:t xml:space="preserve"> </w:t>
      </w:r>
    </w:p>
    <w:tbl>
      <w:tblPr>
        <w:tblW w:w="0" w:type="auto"/>
        <w:tblLayout w:type="fixed"/>
        <w:tblLook w:val="0000" w:firstRow="0" w:lastRow="0" w:firstColumn="0" w:lastColumn="0" w:noHBand="0" w:noVBand="0"/>
      </w:tblPr>
      <w:tblGrid>
        <w:gridCol w:w="1728"/>
        <w:gridCol w:w="7740"/>
      </w:tblGrid>
      <w:tr w:rsidR="00E7406A" w:rsidRPr="006F3B5C" w14:paraId="65E4106F" w14:textId="77777777" w:rsidTr="0087122C">
        <w:trPr>
          <w:cantSplit/>
        </w:trPr>
        <w:tc>
          <w:tcPr>
            <w:tcW w:w="1728" w:type="dxa"/>
            <w:shd w:val="clear" w:color="auto" w:fill="auto"/>
          </w:tcPr>
          <w:p w14:paraId="65E4106D" w14:textId="77777777" w:rsidR="00E7406A" w:rsidRPr="006F3B5C" w:rsidRDefault="00E7406A">
            <w:pPr>
              <w:pStyle w:val="Heading5"/>
            </w:pPr>
            <w:bookmarkStart w:id="51" w:name="_e.__Time"/>
            <w:bookmarkEnd w:id="51"/>
            <w:proofErr w:type="gramStart"/>
            <w:r w:rsidRPr="006F3B5C">
              <w:t>e.  Time</w:t>
            </w:r>
            <w:proofErr w:type="gramEnd"/>
            <w:r w:rsidRPr="006F3B5C">
              <w:t xml:space="preserve"> Limit for Requesting a Delimiting Date Extension</w:t>
            </w:r>
          </w:p>
        </w:tc>
        <w:tc>
          <w:tcPr>
            <w:tcW w:w="7740" w:type="dxa"/>
            <w:shd w:val="clear" w:color="auto" w:fill="auto"/>
          </w:tcPr>
          <w:p w14:paraId="65E4106E" w14:textId="77777777" w:rsidR="00E7406A" w:rsidRPr="006F3B5C" w:rsidRDefault="00E7406A" w:rsidP="0087122C">
            <w:pPr>
              <w:pStyle w:val="BlockText"/>
            </w:pPr>
            <w:r w:rsidRPr="006F3B5C">
              <w:t>Use the table below to determine the appropriate time limit for requesting a delimiting date extension.</w:t>
            </w:r>
          </w:p>
        </w:tc>
      </w:tr>
    </w:tbl>
    <w:p w14:paraId="65E41070" w14:textId="77777777" w:rsidR="00E7406A" w:rsidRPr="006F3B5C" w:rsidRDefault="00E7406A"/>
    <w:tbl>
      <w:tblPr>
        <w:tblW w:w="7596" w:type="dxa"/>
        <w:tblInd w:w="1872" w:type="dxa"/>
        <w:tblLayout w:type="fixed"/>
        <w:tblCellMar>
          <w:left w:w="80" w:type="dxa"/>
          <w:right w:w="80" w:type="dxa"/>
        </w:tblCellMar>
        <w:tblLook w:val="0000" w:firstRow="0" w:lastRow="0" w:firstColumn="0" w:lastColumn="0" w:noHBand="0" w:noVBand="0"/>
      </w:tblPr>
      <w:tblGrid>
        <w:gridCol w:w="3791"/>
        <w:gridCol w:w="3805"/>
      </w:tblGrid>
      <w:tr w:rsidR="00E7406A" w:rsidRPr="006F3B5C" w14:paraId="65E41073" w14:textId="77777777" w:rsidTr="0087122C">
        <w:trPr>
          <w:cantSplit/>
        </w:trPr>
        <w:tc>
          <w:tcPr>
            <w:tcW w:w="3773" w:type="dxa"/>
            <w:tcBorders>
              <w:top w:val="single" w:sz="6" w:space="0" w:color="auto"/>
              <w:left w:val="single" w:sz="6" w:space="0" w:color="auto"/>
              <w:bottom w:val="single" w:sz="6" w:space="0" w:color="auto"/>
              <w:right w:val="single" w:sz="6" w:space="0" w:color="auto"/>
            </w:tcBorders>
            <w:shd w:val="clear" w:color="auto" w:fill="auto"/>
          </w:tcPr>
          <w:p w14:paraId="65E41071" w14:textId="77777777" w:rsidR="00E7406A" w:rsidRPr="006F3B5C" w:rsidRDefault="00E7406A" w:rsidP="0087122C">
            <w:pPr>
              <w:pStyle w:val="TableHeaderText"/>
              <w:jc w:val="left"/>
            </w:pPr>
            <w:r w:rsidRPr="006F3B5C">
              <w:t>If applying for educational benefits under …</w:t>
            </w:r>
          </w:p>
        </w:tc>
        <w:tc>
          <w:tcPr>
            <w:tcW w:w="3787" w:type="dxa"/>
            <w:tcBorders>
              <w:top w:val="single" w:sz="6" w:space="0" w:color="auto"/>
              <w:left w:val="single" w:sz="6" w:space="0" w:color="auto"/>
              <w:bottom w:val="single" w:sz="6" w:space="0" w:color="auto"/>
              <w:right w:val="single" w:sz="6" w:space="0" w:color="auto"/>
            </w:tcBorders>
            <w:shd w:val="clear" w:color="auto" w:fill="auto"/>
          </w:tcPr>
          <w:p w14:paraId="65E41072" w14:textId="77777777" w:rsidR="00E7406A" w:rsidRPr="006F3B5C" w:rsidRDefault="00E7406A" w:rsidP="0087122C">
            <w:pPr>
              <w:pStyle w:val="TableHeaderText"/>
              <w:jc w:val="left"/>
            </w:pPr>
            <w:r w:rsidRPr="006F3B5C">
              <w:t>Then …</w:t>
            </w:r>
          </w:p>
        </w:tc>
      </w:tr>
      <w:tr w:rsidR="00E7406A" w:rsidRPr="006F3B5C" w14:paraId="65E41076" w14:textId="77777777" w:rsidTr="0087122C">
        <w:trPr>
          <w:cantSplit/>
        </w:trPr>
        <w:tc>
          <w:tcPr>
            <w:tcW w:w="3773" w:type="dxa"/>
            <w:tcBorders>
              <w:top w:val="single" w:sz="6" w:space="0" w:color="auto"/>
              <w:left w:val="single" w:sz="6" w:space="0" w:color="auto"/>
              <w:bottom w:val="single" w:sz="6" w:space="0" w:color="auto"/>
              <w:right w:val="single" w:sz="6" w:space="0" w:color="auto"/>
            </w:tcBorders>
          </w:tcPr>
          <w:p w14:paraId="65E41074" w14:textId="77777777" w:rsidR="00E7406A" w:rsidRPr="006F3B5C" w:rsidRDefault="00DD59CE" w:rsidP="0087122C">
            <w:pPr>
              <w:pStyle w:val="TableText"/>
            </w:pPr>
            <w:hyperlink r:id="rId124" w:history="1">
              <w:r w:rsidR="00E7406A" w:rsidRPr="006F3B5C">
                <w:rPr>
                  <w:rStyle w:val="Hyperlink"/>
                </w:rPr>
                <w:t>38 U.S.C. Chapter 31</w:t>
              </w:r>
            </w:hyperlink>
          </w:p>
        </w:tc>
        <w:tc>
          <w:tcPr>
            <w:tcW w:w="3787" w:type="dxa"/>
            <w:tcBorders>
              <w:top w:val="single" w:sz="6" w:space="0" w:color="auto"/>
              <w:left w:val="single" w:sz="6" w:space="0" w:color="auto"/>
              <w:bottom w:val="single" w:sz="6" w:space="0" w:color="auto"/>
              <w:right w:val="single" w:sz="6" w:space="0" w:color="auto"/>
            </w:tcBorders>
          </w:tcPr>
          <w:p w14:paraId="65E41075" w14:textId="77777777" w:rsidR="00E7406A" w:rsidRPr="006F3B5C" w:rsidRDefault="00E7406A" w:rsidP="0087122C">
            <w:pPr>
              <w:pStyle w:val="TableText"/>
            </w:pPr>
            <w:proofErr w:type="gramStart"/>
            <w:r w:rsidRPr="006F3B5C">
              <w:t>there</w:t>
            </w:r>
            <w:proofErr w:type="gramEnd"/>
            <w:r w:rsidRPr="006F3B5C">
              <w:t xml:space="preserve"> is no time limitation for requesting a delimiting date extension.</w:t>
            </w:r>
          </w:p>
        </w:tc>
      </w:tr>
      <w:tr w:rsidR="00E7406A" w:rsidRPr="006F3B5C" w14:paraId="65E41080" w14:textId="77777777" w:rsidTr="0087122C">
        <w:trPr>
          <w:cantSplit/>
        </w:trPr>
        <w:tc>
          <w:tcPr>
            <w:tcW w:w="3773" w:type="dxa"/>
            <w:tcBorders>
              <w:top w:val="single" w:sz="6" w:space="0" w:color="auto"/>
              <w:left w:val="single" w:sz="6" w:space="0" w:color="auto"/>
              <w:bottom w:val="single" w:sz="6" w:space="0" w:color="auto"/>
              <w:right w:val="single" w:sz="6" w:space="0" w:color="auto"/>
            </w:tcBorders>
          </w:tcPr>
          <w:p w14:paraId="65E41077" w14:textId="77777777" w:rsidR="00E7406A" w:rsidRPr="006F3B5C" w:rsidRDefault="00DD59CE">
            <w:pPr>
              <w:pStyle w:val="BulletText1"/>
            </w:pPr>
            <w:hyperlink r:id="rId125" w:history="1">
              <w:r w:rsidR="00E7406A" w:rsidRPr="006F3B5C">
                <w:rPr>
                  <w:rStyle w:val="Hyperlink"/>
                </w:rPr>
                <w:t>38 U.S.C. Chapter 30</w:t>
              </w:r>
            </w:hyperlink>
          </w:p>
          <w:p w14:paraId="65E41078" w14:textId="77777777" w:rsidR="00E7406A" w:rsidRPr="006F3B5C" w:rsidRDefault="00DD59CE">
            <w:pPr>
              <w:pStyle w:val="BulletText1"/>
            </w:pPr>
            <w:hyperlink r:id="rId126" w:history="1">
              <w:r w:rsidR="00E7406A" w:rsidRPr="006F3B5C">
                <w:rPr>
                  <w:rStyle w:val="Hyperlink"/>
                </w:rPr>
                <w:t>38 U.S.C. Chapter 32</w:t>
              </w:r>
            </w:hyperlink>
          </w:p>
          <w:p w14:paraId="65E41079" w14:textId="77777777" w:rsidR="0059036E" w:rsidRPr="006F3B5C" w:rsidRDefault="00DD59CE">
            <w:pPr>
              <w:pStyle w:val="BulletText1"/>
            </w:pPr>
            <w:hyperlink r:id="rId127" w:history="1">
              <w:r w:rsidR="0059036E" w:rsidRPr="006F3B5C">
                <w:rPr>
                  <w:rStyle w:val="Hyperlink"/>
                </w:rPr>
                <w:t>38 U.S.C. Chapter 33</w:t>
              </w:r>
            </w:hyperlink>
          </w:p>
          <w:p w14:paraId="65E4107A" w14:textId="77777777" w:rsidR="00E7406A" w:rsidRPr="006F3B5C" w:rsidRDefault="00DD59CE">
            <w:pPr>
              <w:pStyle w:val="BulletText1"/>
            </w:pPr>
            <w:hyperlink r:id="rId128" w:history="1">
              <w:r w:rsidR="00E7406A" w:rsidRPr="006F3B5C">
                <w:rPr>
                  <w:rStyle w:val="Hyperlink"/>
                </w:rPr>
                <w:t>38 U.S.C. Chapter 35</w:t>
              </w:r>
            </w:hyperlink>
            <w:r w:rsidR="00E7406A" w:rsidRPr="006F3B5C">
              <w:t xml:space="preserve">, and </w:t>
            </w:r>
          </w:p>
          <w:p w14:paraId="65E4107B" w14:textId="77777777" w:rsidR="00E7406A" w:rsidRPr="006F3B5C" w:rsidRDefault="00DD59CE">
            <w:pPr>
              <w:pStyle w:val="BulletText1"/>
            </w:pPr>
            <w:hyperlink r:id="rId129" w:history="1">
              <w:r w:rsidR="00E7406A" w:rsidRPr="006F3B5C">
                <w:rPr>
                  <w:rStyle w:val="Hyperlink"/>
                </w:rPr>
                <w:t>38 U.S.C. Chapter 1606</w:t>
              </w:r>
            </w:hyperlink>
          </w:p>
        </w:tc>
        <w:tc>
          <w:tcPr>
            <w:tcW w:w="3787" w:type="dxa"/>
            <w:tcBorders>
              <w:top w:val="single" w:sz="6" w:space="0" w:color="auto"/>
              <w:left w:val="single" w:sz="6" w:space="0" w:color="auto"/>
              <w:bottom w:val="single" w:sz="6" w:space="0" w:color="auto"/>
              <w:right w:val="single" w:sz="6" w:space="0" w:color="auto"/>
            </w:tcBorders>
          </w:tcPr>
          <w:p w14:paraId="65E4107C" w14:textId="77777777" w:rsidR="00E7406A" w:rsidRPr="006F3B5C" w:rsidRDefault="00E7406A" w:rsidP="0087122C">
            <w:pPr>
              <w:pStyle w:val="TableText"/>
            </w:pPr>
            <w:r w:rsidRPr="006F3B5C">
              <w:t>the application for an extension of the delimiting date must be received in VA within one year of the latter:</w:t>
            </w:r>
          </w:p>
          <w:p w14:paraId="65E4107D" w14:textId="77777777" w:rsidR="00E7406A" w:rsidRPr="006F3B5C" w:rsidRDefault="00E7406A" w:rsidP="0087122C">
            <w:pPr>
              <w:pStyle w:val="TableText"/>
            </w:pPr>
          </w:p>
          <w:p w14:paraId="65E4107E" w14:textId="77777777" w:rsidR="00E7406A" w:rsidRPr="006F3B5C" w:rsidRDefault="00E7406A">
            <w:pPr>
              <w:pStyle w:val="BulletText1"/>
            </w:pPr>
            <w:r w:rsidRPr="006F3B5C">
              <w:t>the last date of the delimiting period, otherwise applicable, or</w:t>
            </w:r>
          </w:p>
          <w:p w14:paraId="65E4107F" w14:textId="77777777" w:rsidR="00E7406A" w:rsidRPr="006F3B5C" w:rsidRDefault="00E7406A">
            <w:pPr>
              <w:pStyle w:val="BulletText1"/>
            </w:pPr>
            <w:proofErr w:type="gramStart"/>
            <w:r w:rsidRPr="006F3B5C">
              <w:t>the</w:t>
            </w:r>
            <w:proofErr w:type="gramEnd"/>
            <w:r w:rsidRPr="006F3B5C">
              <w:t xml:space="preserve"> termination of the period of mental or physical disability.</w:t>
            </w:r>
          </w:p>
        </w:tc>
      </w:tr>
    </w:tbl>
    <w:p w14:paraId="65E41081"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r w:rsidR="00E7406A" w:rsidRPr="006F3B5C">
        <w:t xml:space="preserve"> </w:t>
      </w:r>
    </w:p>
    <w:tbl>
      <w:tblPr>
        <w:tblW w:w="0" w:type="auto"/>
        <w:tblLayout w:type="fixed"/>
        <w:tblLook w:val="0000" w:firstRow="0" w:lastRow="0" w:firstColumn="0" w:lastColumn="0" w:noHBand="0" w:noVBand="0"/>
      </w:tblPr>
      <w:tblGrid>
        <w:gridCol w:w="1728"/>
        <w:gridCol w:w="7740"/>
      </w:tblGrid>
      <w:tr w:rsidR="00E7406A" w:rsidRPr="006F3B5C" w14:paraId="65E4108C" w14:textId="77777777" w:rsidTr="0087122C">
        <w:trPr>
          <w:cantSplit/>
        </w:trPr>
        <w:tc>
          <w:tcPr>
            <w:tcW w:w="1728" w:type="dxa"/>
            <w:shd w:val="clear" w:color="auto" w:fill="auto"/>
          </w:tcPr>
          <w:p w14:paraId="65E41082" w14:textId="77777777" w:rsidR="00E7406A" w:rsidRPr="006F3B5C" w:rsidRDefault="00E7406A">
            <w:pPr>
              <w:pStyle w:val="Heading5"/>
            </w:pPr>
            <w:bookmarkStart w:id="52" w:name="_f.__When"/>
            <w:bookmarkEnd w:id="52"/>
            <w:proofErr w:type="gramStart"/>
            <w:r w:rsidRPr="006F3B5C">
              <w:t>f.  When</w:t>
            </w:r>
            <w:proofErr w:type="gramEnd"/>
            <w:r w:rsidRPr="006F3B5C">
              <w:t xml:space="preserve"> to Refer Claims</w:t>
            </w:r>
            <w:r w:rsidR="00210EC0" w:rsidRPr="006F3B5C">
              <w:t xml:space="preserve"> for Delimiting Date Extensions</w:t>
            </w:r>
            <w:r w:rsidRPr="006F3B5C">
              <w:t xml:space="preserve"> to the Rating Activity</w:t>
            </w:r>
          </w:p>
        </w:tc>
        <w:tc>
          <w:tcPr>
            <w:tcW w:w="7740" w:type="dxa"/>
            <w:shd w:val="clear" w:color="auto" w:fill="auto"/>
          </w:tcPr>
          <w:p w14:paraId="65E41083" w14:textId="77777777" w:rsidR="00E7406A" w:rsidRPr="006F3B5C" w:rsidRDefault="002A33EA" w:rsidP="0087122C">
            <w:pPr>
              <w:pStyle w:val="BlockText"/>
            </w:pPr>
            <w:r w:rsidRPr="006F3B5C">
              <w:t>Veteran</w:t>
            </w:r>
            <w:r w:rsidR="00E7406A" w:rsidRPr="006F3B5C">
              <w:t>s Claims Examiners at RPOs refer claims to the rating activity of the RO co-located with the RPO when the following evidence is of record:</w:t>
            </w:r>
          </w:p>
          <w:p w14:paraId="65E41084" w14:textId="77777777" w:rsidR="00E7406A" w:rsidRPr="006F3B5C" w:rsidRDefault="00E7406A" w:rsidP="0087122C">
            <w:pPr>
              <w:pStyle w:val="BlockText"/>
            </w:pPr>
          </w:p>
          <w:p w14:paraId="65E41085" w14:textId="77777777" w:rsidR="00E7406A" w:rsidRPr="006F3B5C" w:rsidRDefault="00E7406A">
            <w:pPr>
              <w:pStyle w:val="BulletText1"/>
            </w:pPr>
            <w:r w:rsidRPr="006F3B5C">
              <w:t>the claimant’s statement as to</w:t>
            </w:r>
          </w:p>
          <w:p w14:paraId="65E41086" w14:textId="77777777" w:rsidR="00E7406A" w:rsidRPr="006F3B5C" w:rsidRDefault="00E7406A">
            <w:pPr>
              <w:pStyle w:val="BulletText2"/>
            </w:pPr>
            <w:r w:rsidRPr="006F3B5C">
              <w:t>the origin, if known, and nature of the disability upon which the claim for extension is based and the period(s) during which training was precluded because of disability</w:t>
            </w:r>
          </w:p>
          <w:p w14:paraId="65E41087" w14:textId="77777777" w:rsidR="00E7406A" w:rsidRPr="006F3B5C" w:rsidRDefault="00E7406A">
            <w:pPr>
              <w:pStyle w:val="BulletText2"/>
            </w:pPr>
            <w:r w:rsidRPr="006F3B5C">
              <w:t>employment history during the period(s) in which educational pursuit was prevented by disability, including the dates and weekly hours of employment, names and addresses of employers, and types of jobs held, and</w:t>
            </w:r>
          </w:p>
          <w:p w14:paraId="65E41088" w14:textId="77777777" w:rsidR="00E7406A" w:rsidRPr="006F3B5C" w:rsidRDefault="00E7406A">
            <w:pPr>
              <w:pStyle w:val="BulletText2"/>
            </w:pPr>
            <w:r w:rsidRPr="006F3B5C">
              <w:t>the exceptional circumstances which prevented the claimant from enrolling in or pursuing a program of education during the period of disablement, if the disabling period was 30 days or less, and</w:t>
            </w:r>
          </w:p>
          <w:p w14:paraId="65E41089" w14:textId="77777777" w:rsidR="00E7406A" w:rsidRPr="006F3B5C" w:rsidRDefault="00E7406A">
            <w:pPr>
              <w:pStyle w:val="BulletText1"/>
            </w:pPr>
            <w:r w:rsidRPr="006F3B5C">
              <w:t>medical evidence of the disability, including a statement by a physician, indicating</w:t>
            </w:r>
          </w:p>
          <w:p w14:paraId="65E4108A" w14:textId="77777777" w:rsidR="00E7406A" w:rsidRPr="006F3B5C" w:rsidRDefault="00E7406A">
            <w:pPr>
              <w:pStyle w:val="BulletText2"/>
            </w:pPr>
            <w:r w:rsidRPr="006F3B5C">
              <w:t>diagnosis and treatment, the period(s) of disability, the dates during which, in the physician’s opinion, training was medically infeasible, and an evaluation of current feasibility of employment or training, and</w:t>
            </w:r>
          </w:p>
          <w:p w14:paraId="65E4108B" w14:textId="77777777" w:rsidR="00E7406A" w:rsidRPr="006F3B5C" w:rsidRDefault="00E7406A">
            <w:pPr>
              <w:pStyle w:val="BulletText2"/>
            </w:pPr>
            <w:proofErr w:type="gramStart"/>
            <w:r w:rsidRPr="006F3B5C">
              <w:t>hospital</w:t>
            </w:r>
            <w:proofErr w:type="gramEnd"/>
            <w:r w:rsidRPr="006F3B5C">
              <w:t xml:space="preserve"> reports, laboratory tests, and other relevant medical evidence referred to by the claimant or the attending physician.</w:t>
            </w:r>
          </w:p>
        </w:tc>
      </w:tr>
    </w:tbl>
    <w:p w14:paraId="65E4108F" w14:textId="77777777" w:rsidR="00E7406A" w:rsidRPr="006F3B5C" w:rsidRDefault="00A82436">
      <w:pPr>
        <w:pStyle w:val="BlockLine"/>
      </w:pPr>
      <w:r w:rsidRPr="006F3B5C">
        <w:fldChar w:fldCharType="begin"/>
      </w:r>
      <w:r w:rsidRPr="006F3B5C">
        <w:instrText xml:space="preserve"> PRIVATE INFOTYPE="PROCESS" </w:instrText>
      </w:r>
      <w:r w:rsidRPr="006F3B5C">
        <w:fldChar w:fldCharType="end"/>
      </w:r>
      <w:r w:rsidR="00E7406A" w:rsidRPr="006F3B5C">
        <w:t xml:space="preserve"> </w:t>
      </w:r>
    </w:p>
    <w:tbl>
      <w:tblPr>
        <w:tblW w:w="0" w:type="auto"/>
        <w:tblLayout w:type="fixed"/>
        <w:tblLook w:val="0000" w:firstRow="0" w:lastRow="0" w:firstColumn="0" w:lastColumn="0" w:noHBand="0" w:noVBand="0"/>
      </w:tblPr>
      <w:tblGrid>
        <w:gridCol w:w="1728"/>
        <w:gridCol w:w="7740"/>
      </w:tblGrid>
      <w:tr w:rsidR="00E7406A" w:rsidRPr="006F3B5C" w14:paraId="65E41092" w14:textId="77777777" w:rsidTr="0087122C">
        <w:trPr>
          <w:cantSplit/>
        </w:trPr>
        <w:tc>
          <w:tcPr>
            <w:tcW w:w="1728" w:type="dxa"/>
            <w:shd w:val="clear" w:color="auto" w:fill="auto"/>
          </w:tcPr>
          <w:p w14:paraId="65E41090" w14:textId="268BC207" w:rsidR="00E7406A" w:rsidRPr="006F3B5C" w:rsidRDefault="00E7406A" w:rsidP="00210EC0">
            <w:pPr>
              <w:pStyle w:val="Heading5"/>
            </w:pPr>
            <w:bookmarkStart w:id="53" w:name="_g.__Processing"/>
            <w:bookmarkEnd w:id="53"/>
            <w:proofErr w:type="gramStart"/>
            <w:r w:rsidRPr="006F3B5C">
              <w:t>g.  Processing</w:t>
            </w:r>
            <w:proofErr w:type="gramEnd"/>
            <w:r w:rsidR="00210EC0" w:rsidRPr="006F3B5C">
              <w:t xml:space="preserve"> Claims for Delimiting Date </w:t>
            </w:r>
            <w:r w:rsidR="003721D3" w:rsidRPr="006F3B5C">
              <w:t>Extensions</w:t>
            </w:r>
          </w:p>
        </w:tc>
        <w:tc>
          <w:tcPr>
            <w:tcW w:w="7740" w:type="dxa"/>
            <w:shd w:val="clear" w:color="auto" w:fill="auto"/>
          </w:tcPr>
          <w:p w14:paraId="65E41091" w14:textId="77777777" w:rsidR="00E7406A" w:rsidRPr="006F3B5C" w:rsidRDefault="00E7406A" w:rsidP="0087122C">
            <w:pPr>
              <w:pStyle w:val="BlockText"/>
            </w:pPr>
            <w:r w:rsidRPr="006F3B5C">
              <w:t>The table below describes the actions that the RPOs and the co-located ROs take when processing claims for delimiting date extensions.</w:t>
            </w:r>
          </w:p>
        </w:tc>
      </w:tr>
    </w:tbl>
    <w:p w14:paraId="65E41093" w14:textId="77777777" w:rsidR="00E7406A" w:rsidRPr="006F3B5C" w:rsidRDefault="00E7406A"/>
    <w:tbl>
      <w:tblPr>
        <w:tblW w:w="7596" w:type="dxa"/>
        <w:tblInd w:w="1872" w:type="dxa"/>
        <w:tblLayout w:type="fixed"/>
        <w:tblLook w:val="0000" w:firstRow="0" w:lastRow="0" w:firstColumn="0" w:lastColumn="0" w:noHBand="0" w:noVBand="0"/>
      </w:tblPr>
      <w:tblGrid>
        <w:gridCol w:w="884"/>
        <w:gridCol w:w="6712"/>
      </w:tblGrid>
      <w:tr w:rsidR="00E7406A" w:rsidRPr="006F3B5C" w14:paraId="65E41096" w14:textId="77777777" w:rsidTr="00ED6911">
        <w:trPr>
          <w:cantSplit/>
        </w:trPr>
        <w:tc>
          <w:tcPr>
            <w:tcW w:w="884" w:type="dxa"/>
            <w:tcBorders>
              <w:top w:val="single" w:sz="6" w:space="0" w:color="auto"/>
              <w:left w:val="single" w:sz="6" w:space="0" w:color="auto"/>
              <w:bottom w:val="single" w:sz="6" w:space="0" w:color="auto"/>
              <w:right w:val="single" w:sz="6" w:space="0" w:color="auto"/>
            </w:tcBorders>
            <w:shd w:val="clear" w:color="auto" w:fill="auto"/>
          </w:tcPr>
          <w:p w14:paraId="65E41094" w14:textId="77777777" w:rsidR="00E7406A" w:rsidRPr="006F3B5C" w:rsidRDefault="00E7406A" w:rsidP="0087122C">
            <w:pPr>
              <w:pStyle w:val="TableHeaderText"/>
            </w:pPr>
            <w:r w:rsidRPr="006F3B5C">
              <w:t>Step</w:t>
            </w:r>
          </w:p>
        </w:tc>
        <w:tc>
          <w:tcPr>
            <w:tcW w:w="6712" w:type="dxa"/>
            <w:tcBorders>
              <w:top w:val="single" w:sz="6" w:space="0" w:color="auto"/>
              <w:bottom w:val="single" w:sz="6" w:space="0" w:color="auto"/>
              <w:right w:val="single" w:sz="6" w:space="0" w:color="auto"/>
            </w:tcBorders>
            <w:shd w:val="clear" w:color="auto" w:fill="auto"/>
          </w:tcPr>
          <w:p w14:paraId="65E41095" w14:textId="77777777" w:rsidR="00E7406A" w:rsidRPr="006F3B5C" w:rsidRDefault="00E7406A" w:rsidP="0087122C">
            <w:pPr>
              <w:pStyle w:val="TableHeaderText"/>
            </w:pPr>
            <w:r w:rsidRPr="006F3B5C">
              <w:t>Action</w:t>
            </w:r>
          </w:p>
        </w:tc>
      </w:tr>
      <w:tr w:rsidR="00E7406A" w:rsidRPr="006F3B5C" w14:paraId="65E41099" w14:textId="77777777" w:rsidTr="00ED6911">
        <w:trPr>
          <w:cantSplit/>
        </w:trPr>
        <w:tc>
          <w:tcPr>
            <w:tcW w:w="884" w:type="dxa"/>
            <w:tcBorders>
              <w:top w:val="single" w:sz="6" w:space="0" w:color="auto"/>
              <w:left w:val="single" w:sz="6" w:space="0" w:color="auto"/>
              <w:bottom w:val="single" w:sz="6" w:space="0" w:color="auto"/>
              <w:right w:val="single" w:sz="6" w:space="0" w:color="auto"/>
            </w:tcBorders>
          </w:tcPr>
          <w:p w14:paraId="65E41097" w14:textId="77777777" w:rsidR="00E7406A" w:rsidRPr="006F3B5C" w:rsidRDefault="00E7406A" w:rsidP="0087122C">
            <w:pPr>
              <w:pStyle w:val="TableText"/>
              <w:jc w:val="center"/>
            </w:pPr>
            <w:r w:rsidRPr="006F3B5C">
              <w:t>1</w:t>
            </w:r>
          </w:p>
        </w:tc>
        <w:tc>
          <w:tcPr>
            <w:tcW w:w="6712" w:type="dxa"/>
            <w:tcBorders>
              <w:top w:val="single" w:sz="6" w:space="0" w:color="auto"/>
              <w:bottom w:val="single" w:sz="6" w:space="0" w:color="auto"/>
              <w:right w:val="single" w:sz="6" w:space="0" w:color="auto"/>
            </w:tcBorders>
          </w:tcPr>
          <w:p w14:paraId="65E41098" w14:textId="77777777" w:rsidR="00E7406A" w:rsidRPr="006F3B5C" w:rsidRDefault="00E7406A" w:rsidP="0087122C">
            <w:pPr>
              <w:pStyle w:val="TableText"/>
            </w:pPr>
            <w:r w:rsidRPr="006F3B5C">
              <w:t>An RPO receives a claim for a delimiting date extension.</w:t>
            </w:r>
          </w:p>
        </w:tc>
      </w:tr>
      <w:tr w:rsidR="00E7406A" w:rsidRPr="006F3B5C" w14:paraId="65E410A7" w14:textId="77777777" w:rsidTr="00ED6911">
        <w:trPr>
          <w:cantSplit/>
        </w:trPr>
        <w:tc>
          <w:tcPr>
            <w:tcW w:w="884" w:type="dxa"/>
            <w:tcBorders>
              <w:top w:val="single" w:sz="6" w:space="0" w:color="auto"/>
              <w:left w:val="single" w:sz="6" w:space="0" w:color="auto"/>
              <w:bottom w:val="single" w:sz="6" w:space="0" w:color="auto"/>
              <w:right w:val="single" w:sz="6" w:space="0" w:color="auto"/>
            </w:tcBorders>
          </w:tcPr>
          <w:p w14:paraId="65E4109A" w14:textId="77777777" w:rsidR="00E7406A" w:rsidRPr="006F3B5C" w:rsidRDefault="00E7406A" w:rsidP="0087122C">
            <w:pPr>
              <w:pStyle w:val="TableText"/>
              <w:jc w:val="center"/>
            </w:pPr>
            <w:r w:rsidRPr="006F3B5C">
              <w:lastRenderedPageBreak/>
              <w:t>2</w:t>
            </w:r>
          </w:p>
        </w:tc>
        <w:tc>
          <w:tcPr>
            <w:tcW w:w="6712" w:type="dxa"/>
            <w:tcBorders>
              <w:top w:val="single" w:sz="6" w:space="0" w:color="auto"/>
              <w:bottom w:val="single" w:sz="6" w:space="0" w:color="auto"/>
              <w:right w:val="single" w:sz="6" w:space="0" w:color="auto"/>
            </w:tcBorders>
          </w:tcPr>
          <w:p w14:paraId="65E4109B" w14:textId="77777777" w:rsidR="00E7406A" w:rsidRPr="006F3B5C" w:rsidRDefault="00E7406A" w:rsidP="0087122C">
            <w:pPr>
              <w:pStyle w:val="TableText"/>
            </w:pPr>
            <w:r w:rsidRPr="006F3B5C">
              <w:t>Is there sufficient evidence of record to warrant referral of the claim to the rating activity at the co-located RO?</w:t>
            </w:r>
          </w:p>
          <w:p w14:paraId="65E4109C" w14:textId="77777777" w:rsidR="00E7406A" w:rsidRPr="006F3B5C" w:rsidRDefault="00E7406A" w:rsidP="0087122C">
            <w:pPr>
              <w:pStyle w:val="TableText"/>
            </w:pPr>
          </w:p>
          <w:p w14:paraId="65E4109D" w14:textId="77777777" w:rsidR="00E7406A" w:rsidRPr="006F3B5C" w:rsidRDefault="00E7406A">
            <w:pPr>
              <w:pStyle w:val="BulletText1"/>
            </w:pPr>
            <w:r w:rsidRPr="006F3B5C">
              <w:t xml:space="preserve">If </w:t>
            </w:r>
            <w:r w:rsidRPr="006F3B5C">
              <w:rPr>
                <w:b/>
                <w:i/>
              </w:rPr>
              <w:t>yes</w:t>
            </w:r>
            <w:r w:rsidRPr="006F3B5C">
              <w:t>, the RPO</w:t>
            </w:r>
          </w:p>
          <w:p w14:paraId="65E4109E" w14:textId="77777777" w:rsidR="00E7406A" w:rsidRPr="006F3B5C" w:rsidRDefault="00E7406A">
            <w:pPr>
              <w:pStyle w:val="BulletText2"/>
            </w:pPr>
            <w:r w:rsidRPr="006F3B5C">
              <w:t>scans the evidence into The Image Management System (TIMS), an electronic database</w:t>
            </w:r>
          </w:p>
          <w:p w14:paraId="65E4109F" w14:textId="77777777" w:rsidR="00E7406A" w:rsidRPr="006F3B5C" w:rsidRDefault="00E7406A">
            <w:pPr>
              <w:pStyle w:val="BulletText2"/>
            </w:pPr>
            <w:r w:rsidRPr="006F3B5C">
              <w:t>forwards the hard copy of the evidence to the RO rating activity, and</w:t>
            </w:r>
          </w:p>
          <w:p w14:paraId="65E410A0" w14:textId="77777777" w:rsidR="00E7406A" w:rsidRPr="006F3B5C" w:rsidRDefault="00E7406A">
            <w:pPr>
              <w:pStyle w:val="BulletText2"/>
            </w:pPr>
            <w:proofErr w:type="gramStart"/>
            <w:r w:rsidRPr="006F3B5C">
              <w:t>goes</w:t>
            </w:r>
            <w:proofErr w:type="gramEnd"/>
            <w:r w:rsidRPr="006F3B5C">
              <w:t xml:space="preserve"> to Step 4.</w:t>
            </w:r>
          </w:p>
          <w:p w14:paraId="65E410A1" w14:textId="77777777" w:rsidR="00E7406A" w:rsidRPr="006F3B5C" w:rsidRDefault="00E7406A" w:rsidP="0087122C">
            <w:pPr>
              <w:pStyle w:val="TableText"/>
            </w:pPr>
          </w:p>
          <w:p w14:paraId="65E410A2" w14:textId="77777777" w:rsidR="00E7406A" w:rsidRPr="006F3B5C" w:rsidRDefault="00E7406A">
            <w:pPr>
              <w:pStyle w:val="BulletText1"/>
            </w:pPr>
            <w:r w:rsidRPr="006F3B5C">
              <w:t xml:space="preserve">If </w:t>
            </w:r>
            <w:r w:rsidRPr="006F3B5C">
              <w:rPr>
                <w:b/>
                <w:i/>
              </w:rPr>
              <w:t>no</w:t>
            </w:r>
            <w:r w:rsidRPr="006F3B5C">
              <w:t>, the RPO</w:t>
            </w:r>
          </w:p>
          <w:p w14:paraId="65E410A3" w14:textId="77777777" w:rsidR="00E7406A" w:rsidRPr="006F3B5C" w:rsidRDefault="00E7406A">
            <w:pPr>
              <w:pStyle w:val="BulletText2"/>
            </w:pPr>
            <w:r w:rsidRPr="006F3B5C">
              <w:t>sends a development letter to the claimant, and</w:t>
            </w:r>
          </w:p>
          <w:p w14:paraId="65E410A4" w14:textId="77777777" w:rsidR="00E7406A" w:rsidRPr="006F3B5C" w:rsidRDefault="00E7406A">
            <w:pPr>
              <w:pStyle w:val="BulletText2"/>
            </w:pPr>
            <w:proofErr w:type="gramStart"/>
            <w:r w:rsidRPr="006F3B5C">
              <w:t>goes</w:t>
            </w:r>
            <w:proofErr w:type="gramEnd"/>
            <w:r w:rsidRPr="006F3B5C">
              <w:t xml:space="preserve"> to Step 3. </w:t>
            </w:r>
          </w:p>
          <w:p w14:paraId="65E410A5" w14:textId="77777777" w:rsidR="00E7406A" w:rsidRPr="006F3B5C" w:rsidRDefault="00E7406A" w:rsidP="0087122C">
            <w:pPr>
              <w:pStyle w:val="TableText"/>
            </w:pPr>
          </w:p>
          <w:p w14:paraId="65E410A6" w14:textId="77777777" w:rsidR="00E7406A" w:rsidRPr="006F3B5C" w:rsidRDefault="00E7406A" w:rsidP="0087122C">
            <w:pPr>
              <w:pStyle w:val="TableText"/>
            </w:pPr>
            <w:r w:rsidRPr="006F3B5C">
              <w:rPr>
                <w:b/>
                <w:i/>
              </w:rPr>
              <w:t>Reference</w:t>
            </w:r>
            <w:r w:rsidRPr="006F3B5C">
              <w:t xml:space="preserve">:  For information on when to refer claims to the rating activity, see </w:t>
            </w:r>
            <w:hyperlink r:id="rId130" w:history="1">
              <w:r w:rsidRPr="006F3B5C">
                <w:rPr>
                  <w:rStyle w:val="Hyperlink"/>
                </w:rPr>
                <w:t>M21-1MR, Part IX, Subpart ii, 2.9.f</w:t>
              </w:r>
            </w:hyperlink>
            <w:r w:rsidRPr="006F3B5C">
              <w:t>.</w:t>
            </w:r>
          </w:p>
        </w:tc>
      </w:tr>
      <w:tr w:rsidR="00E7406A" w:rsidRPr="006F3B5C" w14:paraId="65E410B3" w14:textId="77777777" w:rsidTr="00ED6911">
        <w:trPr>
          <w:cantSplit/>
        </w:trPr>
        <w:tc>
          <w:tcPr>
            <w:tcW w:w="884" w:type="dxa"/>
            <w:tcBorders>
              <w:top w:val="single" w:sz="6" w:space="0" w:color="auto"/>
              <w:left w:val="single" w:sz="6" w:space="0" w:color="auto"/>
              <w:bottom w:val="single" w:sz="6" w:space="0" w:color="auto"/>
              <w:right w:val="single" w:sz="6" w:space="0" w:color="auto"/>
            </w:tcBorders>
          </w:tcPr>
          <w:p w14:paraId="65E410A8" w14:textId="77777777" w:rsidR="00E7406A" w:rsidRPr="006F3B5C" w:rsidRDefault="00E7406A" w:rsidP="0087122C">
            <w:pPr>
              <w:pStyle w:val="TableText"/>
              <w:jc w:val="center"/>
            </w:pPr>
            <w:r w:rsidRPr="006F3B5C">
              <w:t>3</w:t>
            </w:r>
          </w:p>
        </w:tc>
        <w:tc>
          <w:tcPr>
            <w:tcW w:w="6712" w:type="dxa"/>
            <w:tcBorders>
              <w:top w:val="single" w:sz="6" w:space="0" w:color="auto"/>
              <w:bottom w:val="single" w:sz="6" w:space="0" w:color="auto"/>
              <w:right w:val="single" w:sz="6" w:space="0" w:color="auto"/>
            </w:tcBorders>
          </w:tcPr>
          <w:p w14:paraId="65E410A9" w14:textId="77777777" w:rsidR="00E7406A" w:rsidRPr="006F3B5C" w:rsidRDefault="00E7406A" w:rsidP="0087122C">
            <w:pPr>
              <w:pStyle w:val="TableText"/>
            </w:pPr>
            <w:r w:rsidRPr="006F3B5C">
              <w:t>Did the claimant provide the evidence requested?</w:t>
            </w:r>
          </w:p>
          <w:p w14:paraId="65E410AA" w14:textId="77777777" w:rsidR="00E7406A" w:rsidRPr="006F3B5C" w:rsidRDefault="00E7406A" w:rsidP="0087122C">
            <w:pPr>
              <w:pStyle w:val="TableText"/>
            </w:pPr>
          </w:p>
          <w:p w14:paraId="65E410AB" w14:textId="77777777" w:rsidR="00E7406A" w:rsidRPr="006F3B5C" w:rsidRDefault="00E7406A">
            <w:pPr>
              <w:pStyle w:val="BulletText1"/>
            </w:pPr>
            <w:r w:rsidRPr="006F3B5C">
              <w:t xml:space="preserve">If </w:t>
            </w:r>
            <w:r w:rsidRPr="006F3B5C">
              <w:rPr>
                <w:b/>
                <w:i/>
              </w:rPr>
              <w:t>yes</w:t>
            </w:r>
            <w:r w:rsidRPr="006F3B5C">
              <w:t>, the RPO</w:t>
            </w:r>
          </w:p>
          <w:p w14:paraId="65E410AC" w14:textId="77777777" w:rsidR="00E7406A" w:rsidRPr="006F3B5C" w:rsidRDefault="00E7406A">
            <w:pPr>
              <w:pStyle w:val="BulletText2"/>
            </w:pPr>
            <w:r w:rsidRPr="006F3B5C">
              <w:t>scans the medical evidence into TIMS</w:t>
            </w:r>
          </w:p>
          <w:p w14:paraId="65E410AD" w14:textId="77777777" w:rsidR="00E7406A" w:rsidRPr="006F3B5C" w:rsidRDefault="00E7406A">
            <w:pPr>
              <w:pStyle w:val="BulletText2"/>
            </w:pPr>
            <w:r w:rsidRPr="006F3B5C">
              <w:t>forwards the hard copy of the medical evidence to the RO rating activity, and</w:t>
            </w:r>
          </w:p>
          <w:p w14:paraId="65E410AE" w14:textId="77777777" w:rsidR="00E7406A" w:rsidRPr="006F3B5C" w:rsidRDefault="00E7406A">
            <w:pPr>
              <w:pStyle w:val="BulletText2"/>
            </w:pPr>
            <w:proofErr w:type="gramStart"/>
            <w:r w:rsidRPr="006F3B5C">
              <w:t>goes</w:t>
            </w:r>
            <w:proofErr w:type="gramEnd"/>
            <w:r w:rsidRPr="006F3B5C">
              <w:t xml:space="preserve"> to Step 4.</w:t>
            </w:r>
          </w:p>
          <w:p w14:paraId="65E410AF" w14:textId="77777777" w:rsidR="00E7406A" w:rsidRPr="006F3B5C" w:rsidRDefault="00E7406A" w:rsidP="0087122C">
            <w:pPr>
              <w:pStyle w:val="TableText"/>
            </w:pPr>
          </w:p>
          <w:p w14:paraId="65E410B0" w14:textId="77777777" w:rsidR="00E7406A" w:rsidRPr="006F3B5C" w:rsidRDefault="00E7406A">
            <w:pPr>
              <w:pStyle w:val="BulletText1"/>
            </w:pPr>
            <w:r w:rsidRPr="006F3B5C">
              <w:t xml:space="preserve">If </w:t>
            </w:r>
            <w:r w:rsidRPr="006F3B5C">
              <w:rPr>
                <w:b/>
                <w:i/>
              </w:rPr>
              <w:t>no</w:t>
            </w:r>
            <w:r w:rsidRPr="006F3B5C">
              <w:t>, the RPO</w:t>
            </w:r>
          </w:p>
          <w:p w14:paraId="65E410B1" w14:textId="77777777" w:rsidR="00E7406A" w:rsidRPr="006F3B5C" w:rsidRDefault="00E7406A">
            <w:pPr>
              <w:pStyle w:val="BulletText2"/>
            </w:pPr>
            <w:r w:rsidRPr="006F3B5C">
              <w:t>denies the claim, and</w:t>
            </w:r>
          </w:p>
          <w:p w14:paraId="65E410B2" w14:textId="77777777" w:rsidR="00E7406A" w:rsidRPr="006F3B5C" w:rsidRDefault="00E7406A">
            <w:pPr>
              <w:pStyle w:val="BulletText2"/>
            </w:pPr>
            <w:proofErr w:type="gramStart"/>
            <w:r w:rsidRPr="006F3B5C">
              <w:t>notifies</w:t>
            </w:r>
            <w:proofErr w:type="gramEnd"/>
            <w:r w:rsidRPr="006F3B5C">
              <w:t xml:space="preserve"> the claimant of the decision.</w:t>
            </w:r>
          </w:p>
        </w:tc>
      </w:tr>
      <w:tr w:rsidR="00E7406A" w:rsidRPr="006F3B5C" w14:paraId="65E410C3" w14:textId="77777777" w:rsidTr="00ED6911">
        <w:trPr>
          <w:cantSplit/>
        </w:trPr>
        <w:tc>
          <w:tcPr>
            <w:tcW w:w="884" w:type="dxa"/>
            <w:tcBorders>
              <w:top w:val="single" w:sz="6" w:space="0" w:color="auto"/>
              <w:left w:val="single" w:sz="6" w:space="0" w:color="auto"/>
              <w:bottom w:val="single" w:sz="6" w:space="0" w:color="auto"/>
              <w:right w:val="single" w:sz="6" w:space="0" w:color="auto"/>
            </w:tcBorders>
          </w:tcPr>
          <w:p w14:paraId="65E410BD" w14:textId="77777777" w:rsidR="00E7406A" w:rsidRPr="006F3B5C" w:rsidRDefault="00E7406A" w:rsidP="0087122C">
            <w:pPr>
              <w:pStyle w:val="TableText"/>
              <w:jc w:val="center"/>
            </w:pPr>
            <w:r w:rsidRPr="006F3B5C">
              <w:t>4</w:t>
            </w:r>
          </w:p>
        </w:tc>
        <w:tc>
          <w:tcPr>
            <w:tcW w:w="6712" w:type="dxa"/>
            <w:tcBorders>
              <w:top w:val="single" w:sz="6" w:space="0" w:color="auto"/>
              <w:bottom w:val="single" w:sz="6" w:space="0" w:color="auto"/>
              <w:right w:val="single" w:sz="6" w:space="0" w:color="auto"/>
            </w:tcBorders>
          </w:tcPr>
          <w:p w14:paraId="65E410BE" w14:textId="77777777" w:rsidR="00E7406A" w:rsidRPr="006F3B5C" w:rsidRDefault="00E7406A" w:rsidP="0087122C">
            <w:pPr>
              <w:pStyle w:val="TableText"/>
            </w:pPr>
            <w:r w:rsidRPr="006F3B5C">
              <w:t>The RO rating activity</w:t>
            </w:r>
          </w:p>
          <w:p w14:paraId="65E410BF" w14:textId="77777777" w:rsidR="00E7406A" w:rsidRPr="006F3B5C" w:rsidRDefault="00E7406A">
            <w:pPr>
              <w:pStyle w:val="BulletText1"/>
            </w:pPr>
            <w:r w:rsidRPr="006F3B5C">
              <w:t>prepares a rating decision, and</w:t>
            </w:r>
          </w:p>
          <w:p w14:paraId="65E410C0" w14:textId="77777777" w:rsidR="00E7406A" w:rsidRPr="006F3B5C" w:rsidRDefault="00E7406A">
            <w:pPr>
              <w:pStyle w:val="BulletText1"/>
            </w:pPr>
            <w:r w:rsidRPr="006F3B5C">
              <w:t xml:space="preserve">furnishes the RPO </w:t>
            </w:r>
          </w:p>
          <w:p w14:paraId="65E410C1" w14:textId="77777777" w:rsidR="00E7406A" w:rsidRPr="006F3B5C" w:rsidRDefault="00E7406A">
            <w:pPr>
              <w:pStyle w:val="BulletText2"/>
            </w:pPr>
            <w:r w:rsidRPr="006F3B5C">
              <w:t xml:space="preserve"> a copy of the decision, and</w:t>
            </w:r>
          </w:p>
          <w:p w14:paraId="65E410C2" w14:textId="77777777" w:rsidR="00E7406A" w:rsidRPr="006F3B5C" w:rsidRDefault="00E7406A">
            <w:pPr>
              <w:pStyle w:val="BulletText2"/>
            </w:pPr>
            <w:proofErr w:type="gramStart"/>
            <w:r w:rsidRPr="006F3B5C">
              <w:t>the</w:t>
            </w:r>
            <w:proofErr w:type="gramEnd"/>
            <w:r w:rsidRPr="006F3B5C">
              <w:t xml:space="preserve"> evidence considered in the claim.</w:t>
            </w:r>
          </w:p>
        </w:tc>
      </w:tr>
      <w:tr w:rsidR="00E7406A" w:rsidRPr="006F3B5C" w14:paraId="65E410C9" w14:textId="77777777" w:rsidTr="00ED6911">
        <w:trPr>
          <w:cantSplit/>
        </w:trPr>
        <w:tc>
          <w:tcPr>
            <w:tcW w:w="884" w:type="dxa"/>
            <w:tcBorders>
              <w:top w:val="single" w:sz="6" w:space="0" w:color="auto"/>
              <w:left w:val="single" w:sz="6" w:space="0" w:color="auto"/>
              <w:bottom w:val="single" w:sz="6" w:space="0" w:color="auto"/>
              <w:right w:val="single" w:sz="6" w:space="0" w:color="auto"/>
            </w:tcBorders>
          </w:tcPr>
          <w:p w14:paraId="65E410C4" w14:textId="77777777" w:rsidR="00E7406A" w:rsidRPr="006F3B5C" w:rsidRDefault="00E7406A" w:rsidP="0087122C">
            <w:pPr>
              <w:pStyle w:val="TableText"/>
              <w:jc w:val="center"/>
            </w:pPr>
            <w:r w:rsidRPr="006F3B5C">
              <w:t>5</w:t>
            </w:r>
          </w:p>
        </w:tc>
        <w:tc>
          <w:tcPr>
            <w:tcW w:w="6712" w:type="dxa"/>
            <w:tcBorders>
              <w:top w:val="single" w:sz="6" w:space="0" w:color="auto"/>
              <w:bottom w:val="single" w:sz="6" w:space="0" w:color="auto"/>
              <w:right w:val="single" w:sz="6" w:space="0" w:color="auto"/>
            </w:tcBorders>
          </w:tcPr>
          <w:p w14:paraId="65E410C5" w14:textId="77777777" w:rsidR="00E7406A" w:rsidRPr="006F3B5C" w:rsidRDefault="00E7406A" w:rsidP="0087122C">
            <w:pPr>
              <w:pStyle w:val="TableText"/>
            </w:pPr>
            <w:r w:rsidRPr="006F3B5C">
              <w:t>The RPO</w:t>
            </w:r>
          </w:p>
          <w:p w14:paraId="65E410C6" w14:textId="77777777" w:rsidR="00E7406A" w:rsidRPr="006F3B5C" w:rsidRDefault="00E7406A">
            <w:pPr>
              <w:pStyle w:val="BulletText1"/>
            </w:pPr>
            <w:r w:rsidRPr="006F3B5C">
              <w:t>scans the rating decision into TIMS</w:t>
            </w:r>
          </w:p>
          <w:p w14:paraId="65E410C7" w14:textId="77777777" w:rsidR="00E7406A" w:rsidRPr="006F3B5C" w:rsidRDefault="00E7406A">
            <w:pPr>
              <w:pStyle w:val="BulletText1"/>
            </w:pPr>
            <w:r w:rsidRPr="006F3B5C">
              <w:t>takes final action on the claim based on the rating determination, and</w:t>
            </w:r>
          </w:p>
          <w:p w14:paraId="65E410C8" w14:textId="77777777" w:rsidR="00E7406A" w:rsidRPr="006F3B5C" w:rsidRDefault="00E7406A">
            <w:pPr>
              <w:pStyle w:val="BulletText1"/>
            </w:pPr>
            <w:proofErr w:type="gramStart"/>
            <w:r w:rsidRPr="006F3B5C">
              <w:t>notifies</w:t>
            </w:r>
            <w:proofErr w:type="gramEnd"/>
            <w:r w:rsidRPr="006F3B5C">
              <w:t xml:space="preserve"> the claimant of the decision.</w:t>
            </w:r>
          </w:p>
        </w:tc>
      </w:tr>
    </w:tbl>
    <w:p w14:paraId="65E410CA" w14:textId="77777777" w:rsidR="00E7406A" w:rsidRPr="006F3B5C" w:rsidRDefault="00E7406A"/>
    <w:tbl>
      <w:tblPr>
        <w:tblW w:w="7488" w:type="dxa"/>
        <w:tblInd w:w="1872" w:type="dxa"/>
        <w:tblLayout w:type="fixed"/>
        <w:tblLook w:val="0000" w:firstRow="0" w:lastRow="0" w:firstColumn="0" w:lastColumn="0" w:noHBand="0" w:noVBand="0"/>
      </w:tblPr>
      <w:tblGrid>
        <w:gridCol w:w="7488"/>
      </w:tblGrid>
      <w:tr w:rsidR="00E7406A" w:rsidRPr="006F3B5C" w14:paraId="65E410CC" w14:textId="77777777" w:rsidTr="0087122C">
        <w:trPr>
          <w:cantSplit/>
        </w:trPr>
        <w:tc>
          <w:tcPr>
            <w:tcW w:w="7488" w:type="dxa"/>
          </w:tcPr>
          <w:p w14:paraId="65E410CB" w14:textId="1436CB9B" w:rsidR="00E7406A" w:rsidRPr="006F3B5C" w:rsidRDefault="00E7406A" w:rsidP="00331C3F">
            <w:pPr>
              <w:pStyle w:val="NoteText"/>
            </w:pPr>
            <w:r w:rsidRPr="006F3B5C">
              <w:rPr>
                <w:b/>
                <w:i/>
              </w:rPr>
              <w:t>Note</w:t>
            </w:r>
            <w:r w:rsidRPr="006F3B5C">
              <w:t xml:space="preserve">:  Information from a </w:t>
            </w:r>
            <w:r w:rsidR="002A33EA" w:rsidRPr="006F3B5C">
              <w:t>Veteran</w:t>
            </w:r>
            <w:r w:rsidRPr="006F3B5C">
              <w:t xml:space="preserve">’s claims folder needed to process a claim should be furnished electronically (via telephone, fax, e-mail, etc.) whenever possible.  If review of a claims folder is required, an RPO may request its temporary transfer.   </w:t>
            </w:r>
          </w:p>
        </w:tc>
      </w:tr>
    </w:tbl>
    <w:p w14:paraId="65E410CD" w14:textId="77777777" w:rsidR="00E7406A" w:rsidRPr="006F3B5C" w:rsidRDefault="00A82436">
      <w:pPr>
        <w:pStyle w:val="BlockLine"/>
      </w:pPr>
      <w:r w:rsidRPr="006F3B5C">
        <w:fldChar w:fldCharType="begin"/>
      </w:r>
      <w:r w:rsidRPr="006F3B5C">
        <w:instrText xml:space="preserve"> PRIVATE INFOTYPE="PROCEDURE" </w:instrText>
      </w:r>
      <w:r w:rsidRPr="006F3B5C">
        <w:fldChar w:fldCharType="end"/>
      </w:r>
      <w:r w:rsidR="00E7406A" w:rsidRPr="006F3B5C">
        <w:t xml:space="preserve"> </w:t>
      </w:r>
    </w:p>
    <w:tbl>
      <w:tblPr>
        <w:tblW w:w="0" w:type="auto"/>
        <w:tblLayout w:type="fixed"/>
        <w:tblLook w:val="0000" w:firstRow="0" w:lastRow="0" w:firstColumn="0" w:lastColumn="0" w:noHBand="0" w:noVBand="0"/>
      </w:tblPr>
      <w:tblGrid>
        <w:gridCol w:w="1728"/>
        <w:gridCol w:w="7740"/>
      </w:tblGrid>
      <w:tr w:rsidR="00E7406A" w:rsidRPr="006F3B5C" w14:paraId="65E410DB" w14:textId="77777777" w:rsidTr="0087122C">
        <w:trPr>
          <w:cantSplit/>
        </w:trPr>
        <w:tc>
          <w:tcPr>
            <w:tcW w:w="1728" w:type="dxa"/>
            <w:shd w:val="clear" w:color="auto" w:fill="auto"/>
          </w:tcPr>
          <w:p w14:paraId="65E410CE" w14:textId="77777777" w:rsidR="00E7406A" w:rsidRPr="006F3B5C" w:rsidRDefault="00E7406A">
            <w:pPr>
              <w:pStyle w:val="Heading5"/>
            </w:pPr>
            <w:bookmarkStart w:id="54" w:name="_h.__Reviewing"/>
            <w:bookmarkEnd w:id="54"/>
            <w:proofErr w:type="gramStart"/>
            <w:r w:rsidRPr="006F3B5C">
              <w:lastRenderedPageBreak/>
              <w:t>h.  Reviewing</w:t>
            </w:r>
            <w:proofErr w:type="gramEnd"/>
            <w:r w:rsidRPr="006F3B5C">
              <w:t xml:space="preserve"> Medical Records for Evidence Relating to Non-Education Service Benefits</w:t>
            </w:r>
          </w:p>
        </w:tc>
        <w:tc>
          <w:tcPr>
            <w:tcW w:w="7740" w:type="dxa"/>
            <w:shd w:val="clear" w:color="auto" w:fill="auto"/>
          </w:tcPr>
          <w:p w14:paraId="65E410CF" w14:textId="77777777" w:rsidR="00E7406A" w:rsidRPr="006F3B5C" w:rsidRDefault="00E7406A" w:rsidP="0087122C">
            <w:pPr>
              <w:pStyle w:val="BlockText"/>
            </w:pPr>
            <w:r w:rsidRPr="006F3B5C">
              <w:t xml:space="preserve">RO Rating </w:t>
            </w:r>
            <w:r w:rsidR="002A33EA" w:rsidRPr="006F3B5C">
              <w:t>Veteran</w:t>
            </w:r>
            <w:r w:rsidRPr="006F3B5C">
              <w:t>s Service Representatives (RSVRs) must carefully review medical records furnished by RPOs for evidence that could relate to non-Education Service benefits.</w:t>
            </w:r>
          </w:p>
          <w:p w14:paraId="65E410D0" w14:textId="77777777" w:rsidR="00E7406A" w:rsidRPr="006F3B5C" w:rsidRDefault="00E7406A" w:rsidP="0087122C">
            <w:pPr>
              <w:pStyle w:val="BlockText"/>
            </w:pPr>
          </w:p>
          <w:p w14:paraId="65E410D1" w14:textId="77777777" w:rsidR="00E7406A" w:rsidRPr="006F3B5C" w:rsidRDefault="00E7406A" w:rsidP="0087122C">
            <w:pPr>
              <w:pStyle w:val="BlockText"/>
            </w:pPr>
            <w:r w:rsidRPr="006F3B5C">
              <w:t>When reviewing medical records, RSVRs should</w:t>
            </w:r>
          </w:p>
          <w:p w14:paraId="65E410D2" w14:textId="77777777" w:rsidR="00E7406A" w:rsidRPr="006F3B5C" w:rsidRDefault="00E7406A" w:rsidP="0087122C">
            <w:pPr>
              <w:pStyle w:val="BlockText"/>
            </w:pPr>
          </w:p>
          <w:p w14:paraId="65E410D3" w14:textId="152DA9F1" w:rsidR="00E7406A" w:rsidRPr="006F3B5C" w:rsidRDefault="00E7406A">
            <w:pPr>
              <w:pStyle w:val="BulletText1"/>
            </w:pPr>
            <w:r w:rsidRPr="006F3B5C">
              <w:t>access the appropriate Share screens to determine</w:t>
            </w:r>
          </w:p>
          <w:p w14:paraId="65E410D4" w14:textId="0A43DA2D" w:rsidR="00E7406A" w:rsidRPr="006F3B5C" w:rsidRDefault="00E7406A">
            <w:pPr>
              <w:pStyle w:val="BulletText2"/>
            </w:pPr>
            <w:r w:rsidRPr="006F3B5C">
              <w:t xml:space="preserve">the existence and location of the </w:t>
            </w:r>
            <w:r w:rsidR="002A33EA" w:rsidRPr="006F3B5C">
              <w:t>Veteran</w:t>
            </w:r>
            <w:r w:rsidRPr="006F3B5C">
              <w:t>’s claims folder, and</w:t>
            </w:r>
          </w:p>
          <w:p w14:paraId="65E410D5" w14:textId="77777777" w:rsidR="00E7406A" w:rsidRPr="006F3B5C" w:rsidRDefault="00E7406A">
            <w:pPr>
              <w:pStyle w:val="BulletText2"/>
            </w:pPr>
            <w:r w:rsidRPr="006F3B5C">
              <w:t>what SC disabilities, if any, have been established</w:t>
            </w:r>
          </w:p>
          <w:p w14:paraId="65E410D6" w14:textId="77777777" w:rsidR="00E7406A" w:rsidRPr="006F3B5C" w:rsidRDefault="00E7406A">
            <w:pPr>
              <w:pStyle w:val="BulletText1"/>
            </w:pPr>
            <w:r w:rsidRPr="006F3B5C">
              <w:t>contact the RO where the claims folder is located for clarification of SC disabilities, if necessary</w:t>
            </w:r>
          </w:p>
          <w:p w14:paraId="65E410D7" w14:textId="77777777" w:rsidR="00E7406A" w:rsidRPr="006F3B5C" w:rsidRDefault="00E7406A">
            <w:pPr>
              <w:pStyle w:val="BulletText1"/>
            </w:pPr>
            <w:r w:rsidRPr="006F3B5C">
              <w:t xml:space="preserve">examine the medical records for </w:t>
            </w:r>
          </w:p>
          <w:p w14:paraId="65E410D8" w14:textId="77777777" w:rsidR="00E7406A" w:rsidRPr="006F3B5C" w:rsidRDefault="00E7406A">
            <w:pPr>
              <w:pStyle w:val="BulletText2"/>
            </w:pPr>
            <w:r w:rsidRPr="006F3B5C">
              <w:t>any informal or formal claims for non-Education Service benefits, such as  compensation, and</w:t>
            </w:r>
          </w:p>
          <w:p w14:paraId="65E410D9" w14:textId="77777777" w:rsidR="00E7406A" w:rsidRPr="006F3B5C" w:rsidRDefault="00E7406A">
            <w:pPr>
              <w:pStyle w:val="BulletText2"/>
            </w:pPr>
            <w:r w:rsidRPr="006F3B5C">
              <w:t xml:space="preserve"> records that pertain to a previously-established SC disability, and</w:t>
            </w:r>
          </w:p>
          <w:p w14:paraId="65E410DA" w14:textId="77777777" w:rsidR="00E7406A" w:rsidRPr="006F3B5C" w:rsidRDefault="00E7406A">
            <w:pPr>
              <w:pStyle w:val="BulletText2"/>
            </w:pPr>
            <w:r w:rsidRPr="006F3B5C">
              <w:t xml:space="preserve"> </w:t>
            </w:r>
            <w:proofErr w:type="gramStart"/>
            <w:r w:rsidRPr="006F3B5C">
              <w:t>forward</w:t>
            </w:r>
            <w:proofErr w:type="gramEnd"/>
            <w:r w:rsidRPr="006F3B5C">
              <w:t xml:space="preserve"> the pertinent medical records and/or claims for benefits to the RO where the claims folder is located.</w:t>
            </w:r>
          </w:p>
        </w:tc>
      </w:tr>
    </w:tbl>
    <w:p w14:paraId="65E410DE" w14:textId="77777777" w:rsidR="00E7406A" w:rsidRPr="006F3B5C" w:rsidRDefault="00A82436">
      <w:pPr>
        <w:pStyle w:val="BlockLine"/>
      </w:pPr>
      <w:r w:rsidRPr="006F3B5C">
        <w:fldChar w:fldCharType="begin"/>
      </w:r>
      <w:r w:rsidRPr="006F3B5C">
        <w:instrText xml:space="preserve"> PRIVATE INFOTYPE="PROCEDURE"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0ED" w14:textId="77777777" w:rsidTr="0087122C">
        <w:trPr>
          <w:cantSplit/>
        </w:trPr>
        <w:tc>
          <w:tcPr>
            <w:tcW w:w="1728" w:type="dxa"/>
            <w:shd w:val="clear" w:color="auto" w:fill="auto"/>
          </w:tcPr>
          <w:p w14:paraId="65E410DF" w14:textId="77777777" w:rsidR="00E7406A" w:rsidRPr="006F3B5C" w:rsidRDefault="00E7406A">
            <w:pPr>
              <w:pStyle w:val="Heading5"/>
            </w:pPr>
            <w:bookmarkStart w:id="55" w:name="_i.__Rating"/>
            <w:bookmarkEnd w:id="55"/>
            <w:proofErr w:type="gramStart"/>
            <w:r w:rsidRPr="006F3B5C">
              <w:t>i.  Rating</w:t>
            </w:r>
            <w:proofErr w:type="gramEnd"/>
            <w:r w:rsidRPr="006F3B5C">
              <w:t xml:space="preserve"> Conclusion</w:t>
            </w:r>
            <w:r w:rsidR="00210EC0" w:rsidRPr="006F3B5C">
              <w:t xml:space="preserve"> for Determination of Delimiting Date Extension</w:t>
            </w:r>
          </w:p>
        </w:tc>
        <w:tc>
          <w:tcPr>
            <w:tcW w:w="7740" w:type="dxa"/>
            <w:shd w:val="clear" w:color="auto" w:fill="auto"/>
          </w:tcPr>
          <w:p w14:paraId="65E410E0" w14:textId="77777777" w:rsidR="00E7406A" w:rsidRPr="006F3B5C" w:rsidRDefault="00E7406A" w:rsidP="0087122C">
            <w:pPr>
              <w:pStyle w:val="BlockText"/>
            </w:pPr>
            <w:r w:rsidRPr="006F3B5C">
              <w:t xml:space="preserve">In the rating decision, under the </w:t>
            </w:r>
            <w:r w:rsidRPr="006F3B5C">
              <w:rPr>
                <w:i/>
              </w:rPr>
              <w:t>Decision</w:t>
            </w:r>
            <w:r w:rsidRPr="006F3B5C">
              <w:t>, show either</w:t>
            </w:r>
          </w:p>
          <w:p w14:paraId="65E410E1" w14:textId="77777777" w:rsidR="00E7406A" w:rsidRPr="006F3B5C" w:rsidRDefault="00E7406A" w:rsidP="0087122C">
            <w:pPr>
              <w:pStyle w:val="BlockText"/>
            </w:pPr>
          </w:p>
          <w:p w14:paraId="65E410E2" w14:textId="77777777" w:rsidR="00E7406A" w:rsidRPr="006F3B5C" w:rsidRDefault="00E7406A">
            <w:pPr>
              <w:pStyle w:val="BulletText1"/>
            </w:pPr>
            <w:r w:rsidRPr="006F3B5C">
              <w:t>“</w:t>
            </w:r>
            <w:r w:rsidRPr="006F3B5C">
              <w:rPr>
                <w:i/>
                <w:iCs/>
              </w:rPr>
              <w:t>Extension of Delimiting Date Under Ch. 30, 38 U.S.C. 3031(d)</w:t>
            </w:r>
            <w:r w:rsidRPr="006F3B5C">
              <w:t xml:space="preserve"> </w:t>
            </w:r>
            <w:r w:rsidRPr="006F3B5C">
              <w:rPr>
                <w:b/>
              </w:rPr>
              <w:t>[is] [is not]</w:t>
            </w:r>
            <w:r w:rsidRPr="006F3B5C">
              <w:t xml:space="preserve"> </w:t>
            </w:r>
            <w:r w:rsidRPr="006F3B5C">
              <w:rPr>
                <w:i/>
                <w:iCs/>
              </w:rPr>
              <w:t>granted</w:t>
            </w:r>
            <w:r w:rsidRPr="006F3B5C">
              <w:t>”</w:t>
            </w:r>
          </w:p>
          <w:p w14:paraId="65E410E3" w14:textId="77777777" w:rsidR="00E7406A" w:rsidRPr="006F3B5C" w:rsidRDefault="00E7406A">
            <w:pPr>
              <w:pStyle w:val="BulletText1"/>
            </w:pPr>
            <w:r w:rsidRPr="006F3B5C">
              <w:t>“</w:t>
            </w:r>
            <w:r w:rsidRPr="006F3B5C">
              <w:rPr>
                <w:i/>
                <w:iCs/>
              </w:rPr>
              <w:t>Extension of Delimiting Date Under Ch. 31, 38 U.S.C. 3103</w:t>
            </w:r>
            <w:r w:rsidRPr="006F3B5C">
              <w:t xml:space="preserve"> </w:t>
            </w:r>
            <w:r w:rsidRPr="006F3B5C">
              <w:rPr>
                <w:b/>
              </w:rPr>
              <w:t>[is] [is not]</w:t>
            </w:r>
            <w:r w:rsidRPr="006F3B5C">
              <w:t xml:space="preserve"> </w:t>
            </w:r>
            <w:r w:rsidRPr="006F3B5C">
              <w:rPr>
                <w:i/>
                <w:iCs/>
              </w:rPr>
              <w:t>granted</w:t>
            </w:r>
            <w:r w:rsidRPr="006F3B5C">
              <w:t>”</w:t>
            </w:r>
          </w:p>
          <w:p w14:paraId="65E410E4" w14:textId="77777777" w:rsidR="00E7406A" w:rsidRPr="006F3B5C" w:rsidRDefault="00E7406A">
            <w:pPr>
              <w:pStyle w:val="BulletText1"/>
            </w:pPr>
            <w:r w:rsidRPr="006F3B5C">
              <w:t>“</w:t>
            </w:r>
            <w:r w:rsidRPr="006F3B5C">
              <w:rPr>
                <w:i/>
                <w:iCs/>
              </w:rPr>
              <w:t>Extension of Delimiting Date Under Ch. 32, 38 U.S.C. 3232(2)(A) and (B)</w:t>
            </w:r>
            <w:r w:rsidRPr="006F3B5C">
              <w:t xml:space="preserve"> </w:t>
            </w:r>
            <w:r w:rsidRPr="006F3B5C">
              <w:rPr>
                <w:b/>
              </w:rPr>
              <w:t>[is] [is not]</w:t>
            </w:r>
            <w:r w:rsidRPr="006F3B5C">
              <w:t xml:space="preserve"> </w:t>
            </w:r>
            <w:r w:rsidRPr="006F3B5C">
              <w:rPr>
                <w:i/>
                <w:iCs/>
              </w:rPr>
              <w:t>granted</w:t>
            </w:r>
            <w:r w:rsidRPr="006F3B5C">
              <w:t>”</w:t>
            </w:r>
          </w:p>
          <w:p w14:paraId="65E410E5" w14:textId="77777777" w:rsidR="007F7EB0" w:rsidRPr="006F3B5C" w:rsidRDefault="007F7EB0">
            <w:pPr>
              <w:pStyle w:val="BulletText1"/>
            </w:pPr>
            <w:r w:rsidRPr="006F3B5C">
              <w:t>“</w:t>
            </w:r>
            <w:r w:rsidRPr="006F3B5C">
              <w:rPr>
                <w:i/>
                <w:iCs/>
              </w:rPr>
              <w:t>Extension of Delimiting Date Under Ch.</w:t>
            </w:r>
            <w:r w:rsidR="0059036E" w:rsidRPr="006F3B5C">
              <w:rPr>
                <w:i/>
                <w:iCs/>
              </w:rPr>
              <w:t xml:space="preserve"> 33</w:t>
            </w:r>
            <w:r w:rsidRPr="006F3B5C">
              <w:rPr>
                <w:i/>
                <w:iCs/>
              </w:rPr>
              <w:t>, 38 U.S.C. 3</w:t>
            </w:r>
            <w:r w:rsidR="0059036E" w:rsidRPr="006F3B5C">
              <w:rPr>
                <w:i/>
                <w:iCs/>
              </w:rPr>
              <w:t>3</w:t>
            </w:r>
            <w:r w:rsidR="00D91CB9" w:rsidRPr="006F3B5C">
              <w:rPr>
                <w:i/>
                <w:iCs/>
              </w:rPr>
              <w:t>12(b</w:t>
            </w:r>
            <w:r w:rsidRPr="006F3B5C">
              <w:rPr>
                <w:i/>
                <w:iCs/>
              </w:rPr>
              <w:t>)(</w:t>
            </w:r>
            <w:r w:rsidR="00D91CB9" w:rsidRPr="006F3B5C">
              <w:rPr>
                <w:i/>
                <w:iCs/>
              </w:rPr>
              <w:t>1</w:t>
            </w:r>
            <w:r w:rsidRPr="006F3B5C">
              <w:rPr>
                <w:i/>
                <w:iCs/>
              </w:rPr>
              <w:t xml:space="preserve">) </w:t>
            </w:r>
            <w:r w:rsidRPr="006F3B5C">
              <w:rPr>
                <w:b/>
              </w:rPr>
              <w:t>[is] [is not]</w:t>
            </w:r>
            <w:r w:rsidRPr="006F3B5C">
              <w:t xml:space="preserve"> </w:t>
            </w:r>
            <w:r w:rsidRPr="006F3B5C">
              <w:rPr>
                <w:i/>
                <w:iCs/>
              </w:rPr>
              <w:t>granted</w:t>
            </w:r>
            <w:r w:rsidRPr="006F3B5C">
              <w:t>”</w:t>
            </w:r>
          </w:p>
          <w:p w14:paraId="65E410E6" w14:textId="77777777" w:rsidR="00E7406A" w:rsidRPr="006F3B5C" w:rsidRDefault="00E7406A">
            <w:pPr>
              <w:pStyle w:val="BulletText1"/>
            </w:pPr>
            <w:r w:rsidRPr="006F3B5C">
              <w:t>“</w:t>
            </w:r>
            <w:r w:rsidRPr="006F3B5C">
              <w:rPr>
                <w:i/>
                <w:iCs/>
              </w:rPr>
              <w:t>Extension of Delimiting Date Under Ch. 35, 38 U.S.C. 3512(B)</w:t>
            </w:r>
            <w:r w:rsidRPr="006F3B5C">
              <w:t xml:space="preserve"> </w:t>
            </w:r>
            <w:r w:rsidRPr="006F3B5C">
              <w:rPr>
                <w:b/>
              </w:rPr>
              <w:t>[is] [is not]</w:t>
            </w:r>
            <w:r w:rsidRPr="006F3B5C">
              <w:t xml:space="preserve"> </w:t>
            </w:r>
            <w:r w:rsidRPr="006F3B5C">
              <w:rPr>
                <w:i/>
                <w:iCs/>
              </w:rPr>
              <w:t>granted</w:t>
            </w:r>
            <w:r w:rsidRPr="006F3B5C">
              <w:t>,” or</w:t>
            </w:r>
          </w:p>
          <w:p w14:paraId="65E410E7" w14:textId="77777777" w:rsidR="00E7406A" w:rsidRPr="006F3B5C" w:rsidRDefault="00E7406A">
            <w:pPr>
              <w:pStyle w:val="BulletText1"/>
            </w:pPr>
            <w:r w:rsidRPr="006F3B5C">
              <w:t>“</w:t>
            </w:r>
            <w:r w:rsidRPr="006F3B5C">
              <w:rPr>
                <w:i/>
                <w:iCs/>
              </w:rPr>
              <w:t>Extension of Delimiting Date Under Ch. 1606, 10 U.S.C. 16133(b</w:t>
            </w:r>
            <w:proofErr w:type="gramStart"/>
            <w:r w:rsidRPr="006F3B5C">
              <w:rPr>
                <w:i/>
                <w:iCs/>
              </w:rPr>
              <w:t>)(</w:t>
            </w:r>
            <w:proofErr w:type="gramEnd"/>
            <w:r w:rsidRPr="006F3B5C">
              <w:rPr>
                <w:i/>
                <w:iCs/>
              </w:rPr>
              <w:t>3)</w:t>
            </w:r>
            <w:r w:rsidRPr="006F3B5C">
              <w:t xml:space="preserve"> </w:t>
            </w:r>
            <w:r w:rsidRPr="006F3B5C">
              <w:rPr>
                <w:b/>
              </w:rPr>
              <w:t>[is] [is not]</w:t>
            </w:r>
            <w:r w:rsidRPr="006F3B5C">
              <w:t xml:space="preserve"> </w:t>
            </w:r>
            <w:r w:rsidRPr="006F3B5C">
              <w:rPr>
                <w:i/>
                <w:iCs/>
              </w:rPr>
              <w:t>granted</w:t>
            </w:r>
            <w:r w:rsidRPr="006F3B5C">
              <w:t>.”</w:t>
            </w:r>
          </w:p>
          <w:p w14:paraId="65E410E8" w14:textId="77777777" w:rsidR="00E7406A" w:rsidRPr="006F3B5C" w:rsidRDefault="00E7406A" w:rsidP="0087122C">
            <w:pPr>
              <w:pStyle w:val="BlockText"/>
            </w:pPr>
          </w:p>
          <w:p w14:paraId="65E410E9" w14:textId="77777777" w:rsidR="00E7406A" w:rsidRPr="006F3B5C" w:rsidRDefault="00E7406A" w:rsidP="0087122C">
            <w:pPr>
              <w:pStyle w:val="BlockText"/>
            </w:pPr>
            <w:r w:rsidRPr="006F3B5C">
              <w:t xml:space="preserve">In the coded conclusion, show either </w:t>
            </w:r>
          </w:p>
          <w:p w14:paraId="65E410EA" w14:textId="77777777" w:rsidR="00E7406A" w:rsidRPr="006F3B5C" w:rsidRDefault="00E7406A" w:rsidP="0087122C">
            <w:pPr>
              <w:pStyle w:val="BlockText"/>
            </w:pPr>
          </w:p>
          <w:p w14:paraId="65E410EB" w14:textId="77777777" w:rsidR="00E7406A" w:rsidRPr="006F3B5C" w:rsidRDefault="00E7406A">
            <w:pPr>
              <w:pStyle w:val="BulletText1"/>
            </w:pPr>
            <w:r w:rsidRPr="006F3B5C">
              <w:t>“</w:t>
            </w:r>
            <w:r w:rsidRPr="006F3B5C">
              <w:rPr>
                <w:i/>
                <w:iCs/>
              </w:rPr>
              <w:t>Training medically infeasible from</w:t>
            </w:r>
            <w:r w:rsidRPr="006F3B5C">
              <w:t xml:space="preserve"> </w:t>
            </w:r>
            <w:r w:rsidRPr="006F3B5C">
              <w:rPr>
                <w:b/>
              </w:rPr>
              <w:t>[date]</w:t>
            </w:r>
            <w:r w:rsidRPr="006F3B5C">
              <w:t xml:space="preserve"> </w:t>
            </w:r>
            <w:r w:rsidRPr="006F3B5C">
              <w:rPr>
                <w:i/>
                <w:iCs/>
              </w:rPr>
              <w:t>through</w:t>
            </w:r>
            <w:r w:rsidRPr="006F3B5C">
              <w:t xml:space="preserve"> </w:t>
            </w:r>
            <w:r w:rsidRPr="006F3B5C">
              <w:rPr>
                <w:b/>
              </w:rPr>
              <w:t>[date]</w:t>
            </w:r>
            <w:r w:rsidRPr="006F3B5C">
              <w:t>,” or</w:t>
            </w:r>
          </w:p>
          <w:p w14:paraId="65E410EC" w14:textId="77777777" w:rsidR="00E7406A" w:rsidRPr="006F3B5C" w:rsidRDefault="00E7406A">
            <w:pPr>
              <w:pStyle w:val="BulletText1"/>
            </w:pPr>
            <w:r w:rsidRPr="006F3B5C">
              <w:t>“</w:t>
            </w:r>
            <w:r w:rsidRPr="006F3B5C">
              <w:rPr>
                <w:i/>
                <w:iCs/>
              </w:rPr>
              <w:t>Disability did not make training medically infeasible</w:t>
            </w:r>
            <w:r w:rsidRPr="006F3B5C">
              <w:t>.”</w:t>
            </w:r>
          </w:p>
        </w:tc>
      </w:tr>
    </w:tbl>
    <w:p w14:paraId="65E410EE" w14:textId="77777777" w:rsidR="00E7406A" w:rsidRPr="006F3B5C" w:rsidRDefault="00E7406A">
      <w:pPr>
        <w:pStyle w:val="BlockLine"/>
      </w:pPr>
    </w:p>
    <w:p w14:paraId="65E410EF" w14:textId="77777777" w:rsidR="00E7406A" w:rsidRPr="006F3B5C" w:rsidRDefault="00E7406A">
      <w:pPr>
        <w:pStyle w:val="Heading4"/>
      </w:pPr>
      <w:r w:rsidRPr="006F3B5C">
        <w:br w:type="page"/>
      </w:r>
      <w:r w:rsidRPr="006F3B5C">
        <w:lastRenderedPageBreak/>
        <w:t>9.  Rating for Insurance Purposes</w:t>
      </w:r>
    </w:p>
    <w:p w14:paraId="65E410F0" w14:textId="77777777" w:rsidR="00E7406A" w:rsidRPr="006F3B5C" w:rsidRDefault="00E7406A">
      <w:pPr>
        <w:pStyle w:val="BlockLine"/>
        <w:pBdr>
          <w:top w:val="single" w:sz="6" w:space="0" w:color="auto"/>
        </w:pBdr>
      </w:pPr>
      <w:r w:rsidRPr="006F3B5C">
        <w:fldChar w:fldCharType="begin"/>
      </w:r>
      <w:r w:rsidRPr="006F3B5C">
        <w:instrText xml:space="preserve"> PRIVATE INFOTYPE="OTHER"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0FC" w14:textId="77777777" w:rsidTr="0087122C">
        <w:trPr>
          <w:cantSplit/>
        </w:trPr>
        <w:tc>
          <w:tcPr>
            <w:tcW w:w="1728" w:type="dxa"/>
            <w:shd w:val="clear" w:color="auto" w:fill="auto"/>
          </w:tcPr>
          <w:p w14:paraId="65E410F1" w14:textId="77777777" w:rsidR="00E7406A" w:rsidRPr="006F3B5C" w:rsidRDefault="00E7406A">
            <w:pPr>
              <w:pStyle w:val="Heading5"/>
            </w:pPr>
            <w:r w:rsidRPr="006F3B5C">
              <w:t>Introduction</w:t>
            </w:r>
          </w:p>
        </w:tc>
        <w:tc>
          <w:tcPr>
            <w:tcW w:w="7740" w:type="dxa"/>
            <w:shd w:val="clear" w:color="auto" w:fill="auto"/>
          </w:tcPr>
          <w:p w14:paraId="65E410F2" w14:textId="77777777" w:rsidR="00E7406A" w:rsidRPr="006F3B5C" w:rsidRDefault="00E7406A" w:rsidP="0087122C">
            <w:pPr>
              <w:pStyle w:val="BlockText"/>
            </w:pPr>
            <w:r w:rsidRPr="006F3B5C">
              <w:t xml:space="preserve">This topic contains information on rating for insurance purposes, including </w:t>
            </w:r>
          </w:p>
          <w:p w14:paraId="65E410F3" w14:textId="77777777" w:rsidR="00E7406A" w:rsidRPr="006F3B5C" w:rsidRDefault="00E7406A" w:rsidP="0087122C">
            <w:pPr>
              <w:pStyle w:val="BlockText"/>
            </w:pPr>
          </w:p>
          <w:p w14:paraId="65E410F4" w14:textId="437A2FCF" w:rsidR="00E7406A" w:rsidRPr="006F3B5C" w:rsidRDefault="00DD59CE">
            <w:pPr>
              <w:pStyle w:val="BulletText1"/>
            </w:pPr>
            <w:hyperlink w:anchor="_a.__Eligibility" w:history="1">
              <w:r w:rsidR="00E7406A" w:rsidRPr="006F3B5C">
                <w:rPr>
                  <w:rStyle w:val="Hyperlink"/>
                </w:rPr>
                <w:t xml:space="preserve">eligibility for Service-Disabled </w:t>
              </w:r>
              <w:r w:rsidR="002A33EA" w:rsidRPr="006F3B5C">
                <w:rPr>
                  <w:rStyle w:val="Hyperlink"/>
                </w:rPr>
                <w:t>Veteran</w:t>
              </w:r>
              <w:r w:rsidR="00E7406A" w:rsidRPr="006F3B5C">
                <w:rPr>
                  <w:rStyle w:val="Hyperlink"/>
                </w:rPr>
                <w:t>s Insurance (SDVI)</w:t>
              </w:r>
            </w:hyperlink>
          </w:p>
          <w:p w14:paraId="65E410F5" w14:textId="7481685A" w:rsidR="00E7406A" w:rsidRPr="006F3B5C" w:rsidRDefault="00DD59CE">
            <w:pPr>
              <w:pStyle w:val="BulletText1"/>
            </w:pPr>
            <w:hyperlink w:anchor="_b.__When_2" w:history="1">
              <w:r w:rsidR="00E7406A" w:rsidRPr="006F3B5C">
                <w:rPr>
                  <w:rStyle w:val="Hyperlink"/>
                </w:rPr>
                <w:t>when to apply for SDVI</w:t>
              </w:r>
            </w:hyperlink>
          </w:p>
          <w:p w14:paraId="65E410F6" w14:textId="546D51A3" w:rsidR="00E7406A" w:rsidRPr="006F3B5C" w:rsidRDefault="00DD59CE">
            <w:pPr>
              <w:pStyle w:val="BulletText1"/>
            </w:pPr>
            <w:hyperlink w:anchor="_c.__Who" w:history="1">
              <w:r w:rsidR="00E7406A" w:rsidRPr="006F3B5C">
                <w:rPr>
                  <w:rStyle w:val="Hyperlink"/>
                </w:rPr>
                <w:t>who may apply for SDVI</w:t>
              </w:r>
            </w:hyperlink>
          </w:p>
          <w:p w14:paraId="65E410F7" w14:textId="73015E42" w:rsidR="00E7406A" w:rsidRPr="006F3B5C" w:rsidRDefault="00DD59CE">
            <w:pPr>
              <w:pStyle w:val="BulletText1"/>
            </w:pPr>
            <w:hyperlink w:anchor="_d.__Eligibility" w:history="1">
              <w:r w:rsidR="00E7406A" w:rsidRPr="006F3B5C">
                <w:rPr>
                  <w:rStyle w:val="Hyperlink"/>
                </w:rPr>
                <w:t>eligibility for Gratuitous SDVI after death</w:t>
              </w:r>
            </w:hyperlink>
          </w:p>
          <w:p w14:paraId="65E410F8" w14:textId="3A4EA231" w:rsidR="00E7406A" w:rsidRPr="006F3B5C" w:rsidRDefault="00DD59CE">
            <w:pPr>
              <w:pStyle w:val="BulletText1"/>
            </w:pPr>
            <w:hyperlink w:anchor="_e.__When" w:history="1">
              <w:r w:rsidR="00E7406A" w:rsidRPr="006F3B5C">
                <w:rPr>
                  <w:rStyle w:val="Hyperlink"/>
                </w:rPr>
                <w:t>when a rating decision is required</w:t>
              </w:r>
              <w:r w:rsidR="00B9113C" w:rsidRPr="006F3B5C">
                <w:rPr>
                  <w:rStyle w:val="Hyperlink"/>
                </w:rPr>
                <w:t xml:space="preserve"> for determination of SDVI eligibility</w:t>
              </w:r>
            </w:hyperlink>
          </w:p>
          <w:p w14:paraId="65E410F9" w14:textId="78FF6329" w:rsidR="00E7406A" w:rsidRPr="006F3B5C" w:rsidRDefault="00DD59CE">
            <w:pPr>
              <w:pStyle w:val="BulletText1"/>
            </w:pPr>
            <w:hyperlink w:anchor="_f.__Handling" w:history="1">
              <w:r w:rsidR="00E7406A" w:rsidRPr="006F3B5C">
                <w:rPr>
                  <w:rStyle w:val="Hyperlink"/>
                </w:rPr>
                <w:t xml:space="preserve">handling </w:t>
              </w:r>
              <w:r w:rsidR="00B9113C" w:rsidRPr="006F3B5C">
                <w:rPr>
                  <w:rStyle w:val="Hyperlink"/>
                </w:rPr>
                <w:t xml:space="preserve">insurance cases involving </w:t>
              </w:r>
              <w:r w:rsidR="00E7406A" w:rsidRPr="006F3B5C">
                <w:rPr>
                  <w:rStyle w:val="Hyperlink"/>
                </w:rPr>
                <w:t>coma incident to the terminal state</w:t>
              </w:r>
            </w:hyperlink>
          </w:p>
          <w:p w14:paraId="65E410FA" w14:textId="2229F43C" w:rsidR="00E7406A" w:rsidRPr="006F3B5C" w:rsidRDefault="00DD59CE">
            <w:pPr>
              <w:pStyle w:val="BulletText1"/>
            </w:pPr>
            <w:hyperlink w:anchor="_g.__Handling" w:history="1">
              <w:r w:rsidR="00E7406A" w:rsidRPr="006F3B5C">
                <w:rPr>
                  <w:rStyle w:val="Hyperlink"/>
                </w:rPr>
                <w:t xml:space="preserve">handling </w:t>
              </w:r>
              <w:r w:rsidR="00B9113C" w:rsidRPr="006F3B5C">
                <w:rPr>
                  <w:rStyle w:val="Hyperlink"/>
                </w:rPr>
                <w:t xml:space="preserve">insurance cases involving </w:t>
              </w:r>
              <w:r w:rsidR="00E7406A" w:rsidRPr="006F3B5C">
                <w:rPr>
                  <w:rStyle w:val="Hyperlink"/>
                </w:rPr>
                <w:t>suicide</w:t>
              </w:r>
            </w:hyperlink>
            <w:r w:rsidR="00E7406A" w:rsidRPr="006F3B5C">
              <w:t xml:space="preserve">, and </w:t>
            </w:r>
          </w:p>
          <w:p w14:paraId="65E410FB" w14:textId="07DA1E54" w:rsidR="00E7406A" w:rsidRPr="006F3B5C" w:rsidRDefault="00DD59CE">
            <w:pPr>
              <w:pStyle w:val="BulletText1"/>
            </w:pPr>
            <w:hyperlink w:anchor="_h.__Preparing" w:history="1">
              <w:proofErr w:type="gramStart"/>
              <w:r w:rsidR="00B9113C" w:rsidRPr="006F3B5C">
                <w:rPr>
                  <w:rStyle w:val="Hyperlink"/>
                </w:rPr>
                <w:t>preparing</w:t>
              </w:r>
              <w:proofErr w:type="gramEnd"/>
              <w:r w:rsidR="00B9113C" w:rsidRPr="006F3B5C">
                <w:rPr>
                  <w:rStyle w:val="Hyperlink"/>
                </w:rPr>
                <w:t xml:space="preserve"> </w:t>
              </w:r>
              <w:r w:rsidR="00E7406A" w:rsidRPr="006F3B5C">
                <w:rPr>
                  <w:rStyle w:val="Hyperlink"/>
                </w:rPr>
                <w:t>the rating decision</w:t>
              </w:r>
              <w:r w:rsidR="00B9113C" w:rsidRPr="006F3B5C">
                <w:rPr>
                  <w:rStyle w:val="Hyperlink"/>
                </w:rPr>
                <w:t xml:space="preserve"> for insurance purposes</w:t>
              </w:r>
            </w:hyperlink>
            <w:r w:rsidR="00E7406A" w:rsidRPr="006F3B5C">
              <w:t>.</w:t>
            </w:r>
          </w:p>
        </w:tc>
      </w:tr>
    </w:tbl>
    <w:p w14:paraId="65E410FD" w14:textId="77777777" w:rsidR="00E7406A" w:rsidRPr="006F3B5C"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1100" w14:textId="77777777" w:rsidTr="0087122C">
        <w:trPr>
          <w:cantSplit/>
        </w:trPr>
        <w:tc>
          <w:tcPr>
            <w:tcW w:w="1728" w:type="dxa"/>
            <w:shd w:val="clear" w:color="auto" w:fill="auto"/>
          </w:tcPr>
          <w:p w14:paraId="65E410FE" w14:textId="77777777" w:rsidR="00E7406A" w:rsidRPr="006F3B5C" w:rsidRDefault="00E7406A">
            <w:pPr>
              <w:pStyle w:val="Heading5"/>
            </w:pPr>
            <w:r w:rsidRPr="006F3B5C">
              <w:t>Change Date</w:t>
            </w:r>
          </w:p>
        </w:tc>
        <w:tc>
          <w:tcPr>
            <w:tcW w:w="7740" w:type="dxa"/>
            <w:shd w:val="clear" w:color="auto" w:fill="auto"/>
          </w:tcPr>
          <w:p w14:paraId="65E410FF" w14:textId="77777777" w:rsidR="00E7406A" w:rsidRPr="006F3B5C" w:rsidRDefault="00E7406A" w:rsidP="0087122C">
            <w:pPr>
              <w:pStyle w:val="BlockText"/>
            </w:pPr>
            <w:r w:rsidRPr="006F3B5C">
              <w:t>November 21, 2006</w:t>
            </w:r>
          </w:p>
        </w:tc>
      </w:tr>
    </w:tbl>
    <w:p w14:paraId="65E41101"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109" w14:textId="77777777" w:rsidTr="0087122C">
        <w:trPr>
          <w:cantSplit/>
        </w:trPr>
        <w:tc>
          <w:tcPr>
            <w:tcW w:w="1728" w:type="dxa"/>
            <w:shd w:val="clear" w:color="auto" w:fill="auto"/>
          </w:tcPr>
          <w:p w14:paraId="65E41102" w14:textId="77777777" w:rsidR="00E7406A" w:rsidRPr="006F3B5C" w:rsidRDefault="00E7406A">
            <w:pPr>
              <w:pStyle w:val="Heading5"/>
            </w:pPr>
            <w:bookmarkStart w:id="56" w:name="_a.__Eligibility"/>
            <w:bookmarkEnd w:id="56"/>
            <w:proofErr w:type="gramStart"/>
            <w:r w:rsidRPr="006F3B5C">
              <w:t>a.  Eligibility</w:t>
            </w:r>
            <w:proofErr w:type="gramEnd"/>
            <w:r w:rsidRPr="006F3B5C">
              <w:t xml:space="preserve"> for SDVI</w:t>
            </w:r>
          </w:p>
        </w:tc>
        <w:tc>
          <w:tcPr>
            <w:tcW w:w="7740" w:type="dxa"/>
            <w:shd w:val="clear" w:color="auto" w:fill="auto"/>
          </w:tcPr>
          <w:p w14:paraId="65E41103" w14:textId="77777777" w:rsidR="00E7406A" w:rsidRPr="006F3B5C" w:rsidRDefault="002A33EA" w:rsidP="0087122C">
            <w:pPr>
              <w:pStyle w:val="BlockText"/>
              <w:rPr>
                <w:b/>
              </w:rPr>
            </w:pPr>
            <w:r w:rsidRPr="006F3B5C">
              <w:t>Veteran</w:t>
            </w:r>
            <w:r w:rsidR="00E7406A" w:rsidRPr="006F3B5C">
              <w:t xml:space="preserve">s may apply for non-participating Service-Disabled </w:t>
            </w:r>
            <w:r w:rsidRPr="006F3B5C">
              <w:t>Veteran</w:t>
            </w:r>
            <w:r w:rsidR="00E7406A" w:rsidRPr="006F3B5C">
              <w:t>s Insurance (SDVI) if they</w:t>
            </w:r>
          </w:p>
          <w:p w14:paraId="65E41104" w14:textId="77777777" w:rsidR="00E7406A" w:rsidRPr="006F3B5C" w:rsidRDefault="00E7406A" w:rsidP="0087122C">
            <w:pPr>
              <w:pStyle w:val="BlockText"/>
            </w:pPr>
          </w:p>
          <w:p w14:paraId="65E41105" w14:textId="77777777" w:rsidR="00E7406A" w:rsidRPr="006F3B5C" w:rsidRDefault="00E7406A">
            <w:pPr>
              <w:pStyle w:val="BulletText1"/>
            </w:pPr>
            <w:r w:rsidRPr="006F3B5C">
              <w:t>were released from active service on or after April 25, 1951, under other than dishonorable conditions, and</w:t>
            </w:r>
          </w:p>
          <w:p w14:paraId="65E41106" w14:textId="55CA2281" w:rsidR="00E7406A" w:rsidRPr="006F3B5C" w:rsidRDefault="00E7406A">
            <w:pPr>
              <w:pStyle w:val="BulletText1"/>
            </w:pPr>
            <w:proofErr w:type="gramStart"/>
            <w:r w:rsidRPr="006F3B5C">
              <w:t>have</w:t>
            </w:r>
            <w:proofErr w:type="gramEnd"/>
            <w:r w:rsidRPr="006F3B5C">
              <w:t xml:space="preserve"> a</w:t>
            </w:r>
            <w:r w:rsidR="00074DCC" w:rsidRPr="006F3B5C">
              <w:t>n</w:t>
            </w:r>
            <w:r w:rsidRPr="006F3B5C">
              <w:t xml:space="preserve"> SC disability or disabilities evaluated at zero percent or higher.</w:t>
            </w:r>
          </w:p>
          <w:p w14:paraId="65E41107" w14:textId="77777777" w:rsidR="00E7406A" w:rsidRPr="006F3B5C" w:rsidRDefault="00E7406A" w:rsidP="0087122C">
            <w:pPr>
              <w:pStyle w:val="BlockText"/>
            </w:pPr>
          </w:p>
          <w:p w14:paraId="65E41108" w14:textId="77777777" w:rsidR="00E7406A" w:rsidRPr="006F3B5C" w:rsidRDefault="00E7406A" w:rsidP="0087122C">
            <w:pPr>
              <w:pStyle w:val="BlockText"/>
            </w:pPr>
            <w:r w:rsidRPr="006F3B5C">
              <w:rPr>
                <w:b/>
                <w:bCs/>
                <w:i/>
                <w:iCs/>
              </w:rPr>
              <w:t>Note</w:t>
            </w:r>
            <w:r w:rsidRPr="006F3B5C">
              <w:t>:  SDVI is also called “RH Insurance” because the policy numbers are prefixed with “</w:t>
            </w:r>
            <w:r w:rsidRPr="006F3B5C">
              <w:rPr>
                <w:i/>
              </w:rPr>
              <w:t>RH</w:t>
            </w:r>
            <w:r w:rsidRPr="006F3B5C">
              <w:t>.”</w:t>
            </w:r>
          </w:p>
        </w:tc>
      </w:tr>
    </w:tbl>
    <w:p w14:paraId="65E4110A"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10D" w14:textId="77777777" w:rsidTr="0087122C">
        <w:trPr>
          <w:cantSplit/>
        </w:trPr>
        <w:tc>
          <w:tcPr>
            <w:tcW w:w="1728" w:type="dxa"/>
            <w:shd w:val="clear" w:color="auto" w:fill="auto"/>
          </w:tcPr>
          <w:p w14:paraId="65E4110B" w14:textId="77777777" w:rsidR="00E7406A" w:rsidRPr="006F3B5C" w:rsidRDefault="00E7406A">
            <w:pPr>
              <w:pStyle w:val="Heading5"/>
            </w:pPr>
            <w:bookmarkStart w:id="57" w:name="_b.__When_2"/>
            <w:bookmarkEnd w:id="57"/>
            <w:proofErr w:type="gramStart"/>
            <w:r w:rsidRPr="006F3B5C">
              <w:t>b.  When</w:t>
            </w:r>
            <w:proofErr w:type="gramEnd"/>
            <w:r w:rsidRPr="006F3B5C">
              <w:t xml:space="preserve"> to Apply for SDVI</w:t>
            </w:r>
          </w:p>
        </w:tc>
        <w:tc>
          <w:tcPr>
            <w:tcW w:w="7740" w:type="dxa"/>
            <w:shd w:val="clear" w:color="auto" w:fill="auto"/>
          </w:tcPr>
          <w:p w14:paraId="65E4110C" w14:textId="295D40A6" w:rsidR="00E7406A" w:rsidRPr="006F3B5C" w:rsidRDefault="00E7406A" w:rsidP="0087122C">
            <w:pPr>
              <w:pStyle w:val="BlockText"/>
            </w:pPr>
            <w:r w:rsidRPr="006F3B5C">
              <w:t xml:space="preserve">Application for SDVI must be made within two years from the date of notice initially granting </w:t>
            </w:r>
            <w:r w:rsidR="00074DCC" w:rsidRPr="006F3B5C">
              <w:t>service connection</w:t>
            </w:r>
            <w:r w:rsidRPr="006F3B5C">
              <w:t xml:space="preserve"> for a disability.</w:t>
            </w:r>
          </w:p>
        </w:tc>
      </w:tr>
    </w:tbl>
    <w:p w14:paraId="65E41110"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117" w14:textId="77777777" w:rsidTr="0087122C">
        <w:trPr>
          <w:cantSplit/>
        </w:trPr>
        <w:tc>
          <w:tcPr>
            <w:tcW w:w="1728" w:type="dxa"/>
            <w:shd w:val="clear" w:color="auto" w:fill="auto"/>
          </w:tcPr>
          <w:p w14:paraId="65E41111" w14:textId="77777777" w:rsidR="00E7406A" w:rsidRPr="006F3B5C" w:rsidRDefault="00E7406A">
            <w:pPr>
              <w:pStyle w:val="Heading5"/>
            </w:pPr>
            <w:bookmarkStart w:id="58" w:name="_c.__Who"/>
            <w:bookmarkEnd w:id="58"/>
            <w:proofErr w:type="gramStart"/>
            <w:r w:rsidRPr="006F3B5C">
              <w:t>c.  Who</w:t>
            </w:r>
            <w:proofErr w:type="gramEnd"/>
            <w:r w:rsidRPr="006F3B5C">
              <w:t xml:space="preserve"> May Apply for SDVI</w:t>
            </w:r>
          </w:p>
        </w:tc>
        <w:tc>
          <w:tcPr>
            <w:tcW w:w="7740" w:type="dxa"/>
            <w:shd w:val="clear" w:color="auto" w:fill="auto"/>
          </w:tcPr>
          <w:p w14:paraId="65E41112" w14:textId="77777777" w:rsidR="00E7406A" w:rsidRPr="006F3B5C" w:rsidRDefault="00E7406A" w:rsidP="0087122C">
            <w:pPr>
              <w:pStyle w:val="BlockText"/>
            </w:pPr>
            <w:r w:rsidRPr="006F3B5C">
              <w:t xml:space="preserve">The </w:t>
            </w:r>
            <w:r w:rsidR="002A33EA" w:rsidRPr="006F3B5C">
              <w:t>Veteran</w:t>
            </w:r>
            <w:r w:rsidRPr="006F3B5C">
              <w:t xml:space="preserve"> must be in good health to apply for SDVI, with the exception </w:t>
            </w:r>
            <w:proofErr w:type="gramStart"/>
            <w:r w:rsidRPr="006F3B5C">
              <w:t>of  the</w:t>
            </w:r>
            <w:proofErr w:type="gramEnd"/>
            <w:r w:rsidRPr="006F3B5C">
              <w:t xml:space="preserve"> SC disability.</w:t>
            </w:r>
          </w:p>
          <w:p w14:paraId="65E41113" w14:textId="77777777" w:rsidR="00E7406A" w:rsidRPr="006F3B5C" w:rsidRDefault="00E7406A" w:rsidP="0087122C">
            <w:pPr>
              <w:pStyle w:val="BlockText"/>
            </w:pPr>
          </w:p>
          <w:p w14:paraId="65E41114" w14:textId="77777777" w:rsidR="00E7406A" w:rsidRPr="006F3B5C" w:rsidRDefault="00E7406A" w:rsidP="0087122C">
            <w:pPr>
              <w:pStyle w:val="BlockText"/>
            </w:pPr>
            <w:r w:rsidRPr="006F3B5C">
              <w:t xml:space="preserve">If the applicant is shown to have been mentally incompetent during any part of the two-year period, only a legal guardian may apply for this insurance, and if required by state law, after the court has authorized the guardian to make such application.  </w:t>
            </w:r>
          </w:p>
          <w:p w14:paraId="65E41115" w14:textId="77777777" w:rsidR="00E7406A" w:rsidRPr="006F3B5C" w:rsidRDefault="00E7406A" w:rsidP="0087122C">
            <w:pPr>
              <w:pStyle w:val="BlockText"/>
            </w:pPr>
          </w:p>
          <w:p w14:paraId="65E41116" w14:textId="7985DFFE" w:rsidR="00E7406A" w:rsidRPr="006F3B5C" w:rsidRDefault="00E7406A" w:rsidP="0087122C">
            <w:pPr>
              <w:pStyle w:val="BlockText"/>
            </w:pPr>
            <w:r w:rsidRPr="006F3B5C">
              <w:rPr>
                <w:b/>
                <w:i/>
              </w:rPr>
              <w:t>Note</w:t>
            </w:r>
            <w:r w:rsidRPr="006F3B5C">
              <w:t xml:space="preserve">:  Since the </w:t>
            </w:r>
            <w:r w:rsidR="002A33EA" w:rsidRPr="006F3B5C">
              <w:t>Veteran</w:t>
            </w:r>
            <w:r w:rsidRPr="006F3B5C">
              <w:t xml:space="preserve"> must be in good health except for the SC disability, the mental incompetency must be due to </w:t>
            </w:r>
            <w:r w:rsidR="00074DCC" w:rsidRPr="006F3B5C">
              <w:t xml:space="preserve">the </w:t>
            </w:r>
            <w:r w:rsidRPr="006F3B5C">
              <w:t>SC disability.</w:t>
            </w:r>
          </w:p>
        </w:tc>
      </w:tr>
    </w:tbl>
    <w:p w14:paraId="65E41118"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123" w14:textId="77777777" w:rsidTr="0087122C">
        <w:trPr>
          <w:cantSplit/>
        </w:trPr>
        <w:tc>
          <w:tcPr>
            <w:tcW w:w="1728" w:type="dxa"/>
            <w:shd w:val="clear" w:color="auto" w:fill="auto"/>
          </w:tcPr>
          <w:p w14:paraId="65E41119" w14:textId="77777777" w:rsidR="00E7406A" w:rsidRPr="006F3B5C" w:rsidRDefault="00E7406A">
            <w:pPr>
              <w:pStyle w:val="Heading5"/>
            </w:pPr>
            <w:bookmarkStart w:id="59" w:name="_d.__Eligibility"/>
            <w:bookmarkEnd w:id="59"/>
            <w:proofErr w:type="gramStart"/>
            <w:r w:rsidRPr="006F3B5C">
              <w:lastRenderedPageBreak/>
              <w:t>d.  Eligibility</w:t>
            </w:r>
            <w:proofErr w:type="gramEnd"/>
            <w:r w:rsidRPr="006F3B5C">
              <w:t xml:space="preserve"> for Gratuitous SDVI After Death</w:t>
            </w:r>
          </w:p>
        </w:tc>
        <w:tc>
          <w:tcPr>
            <w:tcW w:w="7740" w:type="dxa"/>
            <w:shd w:val="clear" w:color="auto" w:fill="auto"/>
          </w:tcPr>
          <w:p w14:paraId="65E4111A" w14:textId="77777777" w:rsidR="00E7406A" w:rsidRPr="006F3B5C" w:rsidRDefault="00E7406A" w:rsidP="0087122C">
            <w:pPr>
              <w:pStyle w:val="BlockText"/>
            </w:pPr>
            <w:r w:rsidRPr="006F3B5C">
              <w:t xml:space="preserve">Gratuitous SDVI may be granted on behalf of mentally incompetent </w:t>
            </w:r>
            <w:r w:rsidR="002A33EA" w:rsidRPr="006F3B5C">
              <w:t>Veteran</w:t>
            </w:r>
            <w:r w:rsidRPr="006F3B5C">
              <w:t>s who were otherwise eligible to be granted SDVI but due to mental incompetency died without filing an application.</w:t>
            </w:r>
          </w:p>
          <w:p w14:paraId="65E4111B" w14:textId="77777777" w:rsidR="00E7406A" w:rsidRPr="006F3B5C" w:rsidRDefault="00E7406A" w:rsidP="0087122C">
            <w:pPr>
              <w:pStyle w:val="BlockText"/>
            </w:pPr>
          </w:p>
          <w:p w14:paraId="65E4111C" w14:textId="1FEEFC40" w:rsidR="00E7406A" w:rsidRPr="006F3B5C" w:rsidRDefault="00E7406A" w:rsidP="0087122C">
            <w:pPr>
              <w:pStyle w:val="BlockText"/>
            </w:pPr>
            <w:r w:rsidRPr="006F3B5C">
              <w:t>The mental incompetency must have arisen from a</w:t>
            </w:r>
            <w:r w:rsidR="00074DCC" w:rsidRPr="006F3B5C">
              <w:t>n</w:t>
            </w:r>
            <w:r w:rsidRPr="006F3B5C">
              <w:t xml:space="preserve"> SC disability either</w:t>
            </w:r>
          </w:p>
          <w:p w14:paraId="65E4111D" w14:textId="77777777" w:rsidR="00E7406A" w:rsidRPr="006F3B5C" w:rsidRDefault="00E7406A" w:rsidP="0087122C">
            <w:pPr>
              <w:pStyle w:val="BlockText"/>
            </w:pPr>
          </w:p>
          <w:p w14:paraId="65E4111E" w14:textId="77777777" w:rsidR="00E7406A" w:rsidRPr="006F3B5C" w:rsidRDefault="00E7406A">
            <w:pPr>
              <w:pStyle w:val="BulletText1"/>
            </w:pPr>
            <w:r w:rsidRPr="006F3B5C">
              <w:t>at the time of release from active service</w:t>
            </w:r>
          </w:p>
          <w:p w14:paraId="65E4111F" w14:textId="77777777" w:rsidR="00E7406A" w:rsidRPr="006F3B5C" w:rsidRDefault="00E7406A">
            <w:pPr>
              <w:pStyle w:val="BulletText1"/>
            </w:pPr>
            <w:r w:rsidRPr="006F3B5C">
              <w:t>during any part of the two-year period from the date any disability is first determined to be SC, or</w:t>
            </w:r>
          </w:p>
          <w:p w14:paraId="65E41120" w14:textId="36A34F78" w:rsidR="00E7406A" w:rsidRPr="006F3B5C" w:rsidRDefault="00E7406A">
            <w:pPr>
              <w:pStyle w:val="BulletText1"/>
            </w:pPr>
            <w:proofErr w:type="gramStart"/>
            <w:r w:rsidRPr="006F3B5C">
              <w:t>any</w:t>
            </w:r>
            <w:proofErr w:type="gramEnd"/>
            <w:r w:rsidRPr="006F3B5C">
              <w:t xml:space="preserve"> time after release from service if </w:t>
            </w:r>
            <w:r w:rsidR="003A214B" w:rsidRPr="006F3B5C">
              <w:t>service connection</w:t>
            </w:r>
            <w:r w:rsidRPr="006F3B5C">
              <w:t xml:space="preserve"> is not established until after death.</w:t>
            </w:r>
          </w:p>
          <w:p w14:paraId="65E41121" w14:textId="77777777" w:rsidR="00E7406A" w:rsidRPr="006F3B5C" w:rsidRDefault="00E7406A" w:rsidP="0087122C">
            <w:pPr>
              <w:pStyle w:val="BlockText"/>
            </w:pPr>
          </w:p>
          <w:p w14:paraId="65E41122" w14:textId="77777777" w:rsidR="00E7406A" w:rsidRPr="006F3B5C" w:rsidRDefault="00E7406A" w:rsidP="0087122C">
            <w:pPr>
              <w:pStyle w:val="BlockText"/>
            </w:pPr>
            <w:r w:rsidRPr="006F3B5C">
              <w:rPr>
                <w:b/>
                <w:i/>
              </w:rPr>
              <w:t>Note</w:t>
            </w:r>
            <w:r w:rsidRPr="006F3B5C">
              <w:t xml:space="preserve">:  To be eligible for Gratuitous SDVI, the </w:t>
            </w:r>
            <w:r w:rsidR="002A33EA" w:rsidRPr="006F3B5C">
              <w:t>Veteran</w:t>
            </w:r>
            <w:r w:rsidRPr="006F3B5C">
              <w:t xml:space="preserve"> must have remained continuously mentally incompetent until date of death, and must have died before the appointment of a guardian, or within two years after the appointment of a guardian.</w:t>
            </w:r>
          </w:p>
        </w:tc>
      </w:tr>
    </w:tbl>
    <w:p w14:paraId="65E41124"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12A" w14:textId="77777777" w:rsidTr="0087122C">
        <w:trPr>
          <w:cantSplit/>
        </w:trPr>
        <w:tc>
          <w:tcPr>
            <w:tcW w:w="1728" w:type="dxa"/>
            <w:shd w:val="clear" w:color="auto" w:fill="auto"/>
          </w:tcPr>
          <w:p w14:paraId="65E41125" w14:textId="77777777" w:rsidR="00E7406A" w:rsidRPr="006F3B5C" w:rsidRDefault="00E7406A">
            <w:pPr>
              <w:pStyle w:val="Heading5"/>
            </w:pPr>
            <w:bookmarkStart w:id="60" w:name="_e.__When"/>
            <w:bookmarkEnd w:id="60"/>
            <w:proofErr w:type="gramStart"/>
            <w:r w:rsidRPr="006F3B5C">
              <w:t>e.  When</w:t>
            </w:r>
            <w:proofErr w:type="gramEnd"/>
            <w:r w:rsidRPr="006F3B5C">
              <w:t xml:space="preserve"> a Rating Decision Is Required</w:t>
            </w:r>
            <w:r w:rsidR="00B9113C" w:rsidRPr="006F3B5C">
              <w:t xml:space="preserve"> for Determination of SDVI Eligibility</w:t>
            </w:r>
          </w:p>
        </w:tc>
        <w:tc>
          <w:tcPr>
            <w:tcW w:w="7740" w:type="dxa"/>
            <w:shd w:val="clear" w:color="auto" w:fill="auto"/>
          </w:tcPr>
          <w:p w14:paraId="65E41126" w14:textId="77777777" w:rsidR="00E7406A" w:rsidRPr="006F3B5C" w:rsidRDefault="00E7406A" w:rsidP="0087122C">
            <w:pPr>
              <w:pStyle w:val="BlockText"/>
            </w:pPr>
            <w:r w:rsidRPr="006F3B5C">
              <w:t xml:space="preserve">A rating decision is required when the Insurance Center (IC) refers </w:t>
            </w:r>
          </w:p>
          <w:p w14:paraId="65E41127" w14:textId="77777777" w:rsidR="00E7406A" w:rsidRPr="006F3B5C" w:rsidRDefault="00E7406A" w:rsidP="0087122C">
            <w:pPr>
              <w:pStyle w:val="BlockText"/>
            </w:pPr>
          </w:p>
          <w:p w14:paraId="65E41128" w14:textId="77777777" w:rsidR="00E7406A" w:rsidRPr="006F3B5C" w:rsidRDefault="00E7406A">
            <w:pPr>
              <w:pStyle w:val="BulletText1"/>
            </w:pPr>
            <w:r w:rsidRPr="006F3B5C">
              <w:t>an e-mail request, or</w:t>
            </w:r>
          </w:p>
          <w:p w14:paraId="65E41129" w14:textId="77777777" w:rsidR="00E7406A" w:rsidRPr="006F3B5C" w:rsidRDefault="00E7406A">
            <w:pPr>
              <w:pStyle w:val="BulletText1"/>
            </w:pPr>
            <w:r w:rsidRPr="006F3B5C">
              <w:rPr>
                <w:i/>
              </w:rPr>
              <w:t>VA Form 29-4373</w:t>
            </w:r>
            <w:r w:rsidRPr="006F3B5C">
              <w:t>, “</w:t>
            </w:r>
            <w:r w:rsidRPr="006F3B5C">
              <w:rPr>
                <w:i/>
              </w:rPr>
              <w:t>Request for Disability Compensation Rating for Insurance Purposes--Government Life Insurance</w:t>
            </w:r>
            <w:r w:rsidRPr="006F3B5C">
              <w:t>.”</w:t>
            </w:r>
          </w:p>
        </w:tc>
      </w:tr>
    </w:tbl>
    <w:p w14:paraId="65E4112D"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134" w14:textId="77777777" w:rsidTr="0087122C">
        <w:trPr>
          <w:cantSplit/>
        </w:trPr>
        <w:tc>
          <w:tcPr>
            <w:tcW w:w="1728" w:type="dxa"/>
            <w:shd w:val="clear" w:color="auto" w:fill="auto"/>
          </w:tcPr>
          <w:p w14:paraId="65E4112E" w14:textId="77777777" w:rsidR="00E7406A" w:rsidRPr="006F3B5C" w:rsidRDefault="00E7406A">
            <w:pPr>
              <w:pStyle w:val="Heading5"/>
            </w:pPr>
            <w:bookmarkStart w:id="61" w:name="_f.__Handling"/>
            <w:bookmarkEnd w:id="61"/>
            <w:proofErr w:type="gramStart"/>
            <w:r w:rsidRPr="006F3B5C">
              <w:t>f.  Handling</w:t>
            </w:r>
            <w:proofErr w:type="gramEnd"/>
            <w:r w:rsidRPr="006F3B5C">
              <w:t xml:space="preserve"> </w:t>
            </w:r>
            <w:r w:rsidR="00B9113C" w:rsidRPr="006F3B5C">
              <w:t xml:space="preserve">Insurance Cases Involving </w:t>
            </w:r>
            <w:r w:rsidRPr="006F3B5C">
              <w:t>Coma Incident to the Terminal State</w:t>
            </w:r>
          </w:p>
        </w:tc>
        <w:tc>
          <w:tcPr>
            <w:tcW w:w="7740" w:type="dxa"/>
            <w:shd w:val="clear" w:color="auto" w:fill="auto"/>
          </w:tcPr>
          <w:p w14:paraId="65E4112F" w14:textId="77777777" w:rsidR="00E7406A" w:rsidRPr="006F3B5C" w:rsidRDefault="00E7406A" w:rsidP="0087122C">
            <w:pPr>
              <w:pStyle w:val="BlockText"/>
              <w:rPr>
                <w:b/>
              </w:rPr>
            </w:pPr>
            <w:r w:rsidRPr="006F3B5C">
              <w:t>Brief periods of coma incident to the terminal state are commonly encountered.</w:t>
            </w:r>
          </w:p>
          <w:p w14:paraId="65E41130" w14:textId="77777777" w:rsidR="00E7406A" w:rsidRPr="006F3B5C" w:rsidRDefault="00E7406A" w:rsidP="0087122C">
            <w:pPr>
              <w:pStyle w:val="BlockText"/>
            </w:pPr>
          </w:p>
          <w:p w14:paraId="65E41131" w14:textId="77777777" w:rsidR="00E7406A" w:rsidRPr="006F3B5C" w:rsidRDefault="00E7406A" w:rsidP="0087122C">
            <w:pPr>
              <w:pStyle w:val="BlockText"/>
            </w:pPr>
            <w:r w:rsidRPr="006F3B5C">
              <w:t xml:space="preserve">In the absence of other manifestations of mental incapacity to contract, manage personal affairs, or disburse funds, such brief periods of coma may be insufficient to support a rating of mental incompetency under </w:t>
            </w:r>
            <w:hyperlink r:id="rId131" w:history="1">
              <w:r w:rsidR="00F93E37" w:rsidRPr="006F3B5C">
                <w:rPr>
                  <w:rStyle w:val="Hyperlink"/>
                </w:rPr>
                <w:t>38 U.S.C. 1</w:t>
              </w:r>
              <w:r w:rsidRPr="006F3B5C">
                <w:rPr>
                  <w:rStyle w:val="Hyperlink"/>
                </w:rPr>
                <w:t>922(b)</w:t>
              </w:r>
            </w:hyperlink>
            <w:r w:rsidRPr="006F3B5C">
              <w:t xml:space="preserve">.  </w:t>
            </w:r>
          </w:p>
          <w:p w14:paraId="65E41132" w14:textId="77777777" w:rsidR="00E7406A" w:rsidRPr="006F3B5C" w:rsidRDefault="00E7406A" w:rsidP="0087122C">
            <w:pPr>
              <w:pStyle w:val="BlockText"/>
            </w:pPr>
          </w:p>
          <w:p w14:paraId="65E41133" w14:textId="6883FDB5" w:rsidR="00E7406A" w:rsidRPr="006F3B5C" w:rsidRDefault="00E7406A" w:rsidP="0087122C">
            <w:pPr>
              <w:pStyle w:val="BlockText"/>
            </w:pPr>
            <w:r w:rsidRPr="006F3B5C">
              <w:t xml:space="preserve">The fact that </w:t>
            </w:r>
            <w:r w:rsidR="003721D3" w:rsidRPr="006F3B5C">
              <w:t>service</w:t>
            </w:r>
            <w:r w:rsidR="003A214B" w:rsidRPr="006F3B5C">
              <w:t xml:space="preserve"> connection</w:t>
            </w:r>
            <w:r w:rsidRPr="006F3B5C">
              <w:t xml:space="preserve"> has been established for the cause of death does not carry with it the implication that the </w:t>
            </w:r>
            <w:r w:rsidR="002A33EA" w:rsidRPr="006F3B5C">
              <w:t>Veteran</w:t>
            </w:r>
            <w:r w:rsidRPr="006F3B5C">
              <w:t xml:space="preserve"> was mentally incompetent at the time of death or at any time during the critical period for purposes of </w:t>
            </w:r>
            <w:hyperlink r:id="rId132" w:history="1">
              <w:r w:rsidR="00F93E37" w:rsidRPr="006F3B5C">
                <w:rPr>
                  <w:rStyle w:val="Hyperlink"/>
                </w:rPr>
                <w:t>38 U.S.C. 1</w:t>
              </w:r>
              <w:r w:rsidRPr="006F3B5C">
                <w:rPr>
                  <w:rStyle w:val="Hyperlink"/>
                </w:rPr>
                <w:t>922(b)</w:t>
              </w:r>
            </w:hyperlink>
            <w:r w:rsidRPr="006F3B5C">
              <w:t>.</w:t>
            </w:r>
          </w:p>
        </w:tc>
      </w:tr>
    </w:tbl>
    <w:p w14:paraId="65E41135"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13C" w14:textId="77777777" w:rsidTr="0087122C">
        <w:trPr>
          <w:cantSplit/>
        </w:trPr>
        <w:tc>
          <w:tcPr>
            <w:tcW w:w="1728" w:type="dxa"/>
            <w:shd w:val="clear" w:color="auto" w:fill="auto"/>
          </w:tcPr>
          <w:p w14:paraId="65E41136" w14:textId="77777777" w:rsidR="00E7406A" w:rsidRPr="006F3B5C" w:rsidRDefault="00E7406A" w:rsidP="00B9113C">
            <w:pPr>
              <w:pStyle w:val="Heading5"/>
            </w:pPr>
            <w:bookmarkStart w:id="62" w:name="_g.__Handling"/>
            <w:bookmarkEnd w:id="62"/>
            <w:proofErr w:type="gramStart"/>
            <w:r w:rsidRPr="006F3B5C">
              <w:t>g.  Handling</w:t>
            </w:r>
            <w:proofErr w:type="gramEnd"/>
            <w:r w:rsidRPr="006F3B5C">
              <w:t xml:space="preserve"> </w:t>
            </w:r>
            <w:r w:rsidR="00B9113C" w:rsidRPr="006F3B5C">
              <w:t xml:space="preserve">Insurance Cases  Involving </w:t>
            </w:r>
            <w:r w:rsidRPr="006F3B5C">
              <w:t>Suicide</w:t>
            </w:r>
          </w:p>
        </w:tc>
        <w:tc>
          <w:tcPr>
            <w:tcW w:w="7740" w:type="dxa"/>
            <w:shd w:val="clear" w:color="auto" w:fill="auto"/>
          </w:tcPr>
          <w:p w14:paraId="65E41137" w14:textId="77777777" w:rsidR="00E7406A" w:rsidRPr="006F3B5C" w:rsidRDefault="00E7406A" w:rsidP="0087122C">
            <w:pPr>
              <w:pStyle w:val="BlockText"/>
            </w:pPr>
            <w:r w:rsidRPr="006F3B5C">
              <w:t xml:space="preserve">A finding in a death rating that a </w:t>
            </w:r>
            <w:r w:rsidR="002A33EA" w:rsidRPr="006F3B5C">
              <w:t>Veteran</w:t>
            </w:r>
            <w:r w:rsidRPr="006F3B5C">
              <w:t xml:space="preserve"> was of unsound mind at the time of suicide under the provisions of </w:t>
            </w:r>
            <w:hyperlink r:id="rId133" w:history="1">
              <w:r w:rsidR="000711AA" w:rsidRPr="006F3B5C">
                <w:rPr>
                  <w:rStyle w:val="Hyperlink"/>
                </w:rPr>
                <w:t xml:space="preserve">38 </w:t>
              </w:r>
              <w:r w:rsidR="002A33EA" w:rsidRPr="006F3B5C">
                <w:rPr>
                  <w:rStyle w:val="Hyperlink"/>
                </w:rPr>
                <w:t>CFR</w:t>
              </w:r>
              <w:r w:rsidR="000711AA" w:rsidRPr="006F3B5C">
                <w:rPr>
                  <w:rStyle w:val="Hyperlink"/>
                </w:rPr>
                <w:t xml:space="preserve"> 3</w:t>
              </w:r>
              <w:r w:rsidRPr="006F3B5C">
                <w:rPr>
                  <w:rStyle w:val="Hyperlink"/>
                </w:rPr>
                <w:t>.302</w:t>
              </w:r>
            </w:hyperlink>
            <w:r w:rsidRPr="006F3B5C">
              <w:t xml:space="preserve"> does not mean the </w:t>
            </w:r>
            <w:r w:rsidR="002A33EA" w:rsidRPr="006F3B5C">
              <w:t>Veteran</w:t>
            </w:r>
            <w:r w:rsidRPr="006F3B5C">
              <w:t xml:space="preserve"> was mentally incompetent for purposes of </w:t>
            </w:r>
            <w:hyperlink r:id="rId134" w:history="1">
              <w:r w:rsidR="00F93E37" w:rsidRPr="006F3B5C">
                <w:rPr>
                  <w:rStyle w:val="Hyperlink"/>
                </w:rPr>
                <w:t>38 U.S.C. 1</w:t>
              </w:r>
              <w:r w:rsidRPr="006F3B5C">
                <w:rPr>
                  <w:rStyle w:val="Hyperlink"/>
                </w:rPr>
                <w:t>922(b)</w:t>
              </w:r>
            </w:hyperlink>
            <w:r w:rsidRPr="006F3B5C">
              <w:t xml:space="preserve">.  </w:t>
            </w:r>
          </w:p>
          <w:p w14:paraId="65E41138" w14:textId="77777777" w:rsidR="00E7406A" w:rsidRPr="006F3B5C" w:rsidRDefault="00E7406A" w:rsidP="0087122C">
            <w:pPr>
              <w:pStyle w:val="BlockText"/>
            </w:pPr>
          </w:p>
          <w:p w14:paraId="65E41139" w14:textId="77777777" w:rsidR="00E7406A" w:rsidRPr="006F3B5C" w:rsidRDefault="00E7406A" w:rsidP="0087122C">
            <w:pPr>
              <w:pStyle w:val="BlockText"/>
            </w:pPr>
            <w:r w:rsidRPr="006F3B5C">
              <w:t xml:space="preserve">Make a rating under </w:t>
            </w:r>
            <w:hyperlink r:id="rId135" w:history="1">
              <w:r w:rsidR="00F93E37" w:rsidRPr="006F3B5C">
                <w:rPr>
                  <w:rStyle w:val="Hyperlink"/>
                </w:rPr>
                <w:t>38 U.S.C. 1</w:t>
              </w:r>
              <w:r w:rsidRPr="006F3B5C">
                <w:rPr>
                  <w:rStyle w:val="Hyperlink"/>
                </w:rPr>
                <w:t>922(b)</w:t>
              </w:r>
            </w:hyperlink>
            <w:r w:rsidRPr="006F3B5C">
              <w:t xml:space="preserve"> based on all the evidence of record, and support any rating of mental incompetency by objective evidence that shows the </w:t>
            </w:r>
            <w:r w:rsidR="002A33EA" w:rsidRPr="006F3B5C">
              <w:t>Veteran</w:t>
            </w:r>
            <w:r w:rsidRPr="006F3B5C">
              <w:t xml:space="preserve">’s state of mind.  </w:t>
            </w:r>
          </w:p>
          <w:p w14:paraId="65E4113A" w14:textId="77777777" w:rsidR="00E7406A" w:rsidRPr="006F3B5C" w:rsidRDefault="00E7406A" w:rsidP="0087122C">
            <w:pPr>
              <w:pStyle w:val="BlockText"/>
            </w:pPr>
          </w:p>
          <w:p w14:paraId="65E4113B" w14:textId="77777777" w:rsidR="00E7406A" w:rsidRPr="006F3B5C" w:rsidRDefault="00E7406A" w:rsidP="0087122C">
            <w:pPr>
              <w:pStyle w:val="BlockText"/>
            </w:pPr>
            <w:r w:rsidRPr="006F3B5C">
              <w:rPr>
                <w:b/>
                <w:i/>
              </w:rPr>
              <w:t>Reference</w:t>
            </w:r>
            <w:r w:rsidRPr="006F3B5C">
              <w:t xml:space="preserve">:  For a definition of mental incompetency, see </w:t>
            </w:r>
            <w:hyperlink r:id="rId136" w:history="1">
              <w:r w:rsidR="000711AA" w:rsidRPr="006F3B5C">
                <w:rPr>
                  <w:rStyle w:val="Hyperlink"/>
                </w:rPr>
                <w:t xml:space="preserve">38 </w:t>
              </w:r>
              <w:r w:rsidR="002A33EA" w:rsidRPr="006F3B5C">
                <w:rPr>
                  <w:rStyle w:val="Hyperlink"/>
                </w:rPr>
                <w:t>CFR</w:t>
              </w:r>
              <w:r w:rsidR="000711AA" w:rsidRPr="006F3B5C">
                <w:rPr>
                  <w:rStyle w:val="Hyperlink"/>
                </w:rPr>
                <w:t xml:space="preserve"> 3</w:t>
              </w:r>
              <w:r w:rsidRPr="006F3B5C">
                <w:rPr>
                  <w:rStyle w:val="Hyperlink"/>
                </w:rPr>
                <w:t>.353</w:t>
              </w:r>
            </w:hyperlink>
            <w:r w:rsidRPr="006F3B5C">
              <w:t>.</w:t>
            </w:r>
          </w:p>
        </w:tc>
      </w:tr>
    </w:tbl>
    <w:p w14:paraId="65E4113D" w14:textId="77777777" w:rsidR="00E7406A" w:rsidRPr="006F3B5C" w:rsidRDefault="00A82436">
      <w:pPr>
        <w:pStyle w:val="BlockLine"/>
      </w:pPr>
      <w:r w:rsidRPr="006F3B5C">
        <w:lastRenderedPageBreak/>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148" w14:textId="77777777" w:rsidTr="0087122C">
        <w:trPr>
          <w:cantSplit/>
        </w:trPr>
        <w:tc>
          <w:tcPr>
            <w:tcW w:w="1728" w:type="dxa"/>
            <w:shd w:val="clear" w:color="auto" w:fill="auto"/>
          </w:tcPr>
          <w:p w14:paraId="65E4113E" w14:textId="77777777" w:rsidR="00E7406A" w:rsidRPr="006F3B5C" w:rsidRDefault="00E7406A">
            <w:pPr>
              <w:pStyle w:val="Heading5"/>
            </w:pPr>
            <w:bookmarkStart w:id="63" w:name="_h.__Preparing"/>
            <w:bookmarkEnd w:id="63"/>
            <w:proofErr w:type="gramStart"/>
            <w:r w:rsidRPr="006F3B5C">
              <w:t xml:space="preserve">h.  </w:t>
            </w:r>
            <w:r w:rsidR="00B9113C" w:rsidRPr="006F3B5C">
              <w:t>Preparing</w:t>
            </w:r>
            <w:proofErr w:type="gramEnd"/>
            <w:r w:rsidR="00B9113C" w:rsidRPr="006F3B5C">
              <w:t xml:space="preserve"> the </w:t>
            </w:r>
            <w:r w:rsidRPr="006F3B5C">
              <w:t>Rating Decision</w:t>
            </w:r>
            <w:r w:rsidR="00B9113C" w:rsidRPr="006F3B5C">
              <w:t xml:space="preserve"> for Insurance Purposes</w:t>
            </w:r>
          </w:p>
        </w:tc>
        <w:tc>
          <w:tcPr>
            <w:tcW w:w="7740" w:type="dxa"/>
            <w:shd w:val="clear" w:color="auto" w:fill="auto"/>
          </w:tcPr>
          <w:p w14:paraId="65E4113F" w14:textId="77777777" w:rsidR="00E7406A" w:rsidRPr="006F3B5C" w:rsidRDefault="00E7406A" w:rsidP="0087122C">
            <w:pPr>
              <w:pStyle w:val="BlockText"/>
            </w:pPr>
            <w:r w:rsidRPr="006F3B5C">
              <w:t>When preparing the rating decision</w:t>
            </w:r>
          </w:p>
          <w:p w14:paraId="65E41140" w14:textId="77777777" w:rsidR="00E7406A" w:rsidRPr="006F3B5C" w:rsidRDefault="00E7406A" w:rsidP="0087122C">
            <w:pPr>
              <w:pStyle w:val="BlockText"/>
            </w:pPr>
          </w:p>
          <w:p w14:paraId="65E41141" w14:textId="77777777" w:rsidR="00E7406A" w:rsidRPr="006F3B5C" w:rsidRDefault="00E7406A">
            <w:pPr>
              <w:pStyle w:val="BulletText1"/>
            </w:pPr>
            <w:r w:rsidRPr="006F3B5C">
              <w:t>prepare a copy of the rating for the IC</w:t>
            </w:r>
          </w:p>
          <w:p w14:paraId="65E41142" w14:textId="77777777" w:rsidR="00E7406A" w:rsidRPr="006F3B5C" w:rsidRDefault="00E7406A">
            <w:pPr>
              <w:pStyle w:val="BulletText1"/>
            </w:pPr>
            <w:r w:rsidRPr="006F3B5C">
              <w:t xml:space="preserve">under the </w:t>
            </w:r>
            <w:r w:rsidRPr="006F3B5C">
              <w:rPr>
                <w:i/>
              </w:rPr>
              <w:t>Decision</w:t>
            </w:r>
            <w:r w:rsidRPr="006F3B5C">
              <w:t xml:space="preserve">, show either </w:t>
            </w:r>
          </w:p>
          <w:p w14:paraId="65E41143" w14:textId="77777777" w:rsidR="00E7406A" w:rsidRPr="006F3B5C" w:rsidRDefault="00E7406A">
            <w:pPr>
              <w:pStyle w:val="BulletText2"/>
            </w:pPr>
            <w:r w:rsidRPr="006F3B5C">
              <w:t xml:space="preserve">“Incompetency for insurance purposes </w:t>
            </w:r>
            <w:r w:rsidRPr="006F3B5C">
              <w:rPr>
                <w:b/>
              </w:rPr>
              <w:t>[is] [is not]</w:t>
            </w:r>
            <w:r w:rsidRPr="006F3B5C">
              <w:t xml:space="preserve"> established,” or</w:t>
            </w:r>
          </w:p>
          <w:p w14:paraId="65E41144" w14:textId="77777777" w:rsidR="00E7406A" w:rsidRPr="006F3B5C" w:rsidRDefault="00E7406A">
            <w:pPr>
              <w:pStyle w:val="BulletText2"/>
            </w:pPr>
            <w:r w:rsidRPr="006F3B5C">
              <w:t xml:space="preserve">“Entitlement to Gratuitous Insurance under </w:t>
            </w:r>
            <w:r w:rsidR="00F93E37" w:rsidRPr="006F3B5C">
              <w:t>38 U.S.C. 1</w:t>
            </w:r>
            <w:r w:rsidRPr="006F3B5C">
              <w:t>922</w:t>
            </w:r>
            <w:r w:rsidRPr="006F3B5C">
              <w:rPr>
                <w:b/>
              </w:rPr>
              <w:t xml:space="preserve"> [is] [is not]</w:t>
            </w:r>
            <w:r w:rsidRPr="006F3B5C">
              <w:t xml:space="preserve"> established”</w:t>
            </w:r>
          </w:p>
          <w:p w14:paraId="65E41145" w14:textId="77777777" w:rsidR="00E7406A" w:rsidRPr="006F3B5C" w:rsidRDefault="00E7406A">
            <w:pPr>
              <w:pStyle w:val="BulletText1"/>
            </w:pPr>
            <w:r w:rsidRPr="006F3B5C">
              <w:t xml:space="preserve">show the </w:t>
            </w:r>
            <w:r w:rsidR="002A33EA" w:rsidRPr="006F3B5C">
              <w:t>Veteran</w:t>
            </w:r>
            <w:r w:rsidRPr="006F3B5C">
              <w:t xml:space="preserve">’s address, including the zip code above the </w:t>
            </w:r>
            <w:r w:rsidRPr="006F3B5C">
              <w:rPr>
                <w:i/>
              </w:rPr>
              <w:t>Jurisdiction</w:t>
            </w:r>
            <w:r w:rsidRPr="006F3B5C">
              <w:rPr>
                <w:iCs/>
              </w:rPr>
              <w:t xml:space="preserve"> section</w:t>
            </w:r>
          </w:p>
          <w:p w14:paraId="65E41146" w14:textId="77777777" w:rsidR="00E7406A" w:rsidRPr="006F3B5C" w:rsidRDefault="00E7406A">
            <w:pPr>
              <w:pStyle w:val="BulletText1"/>
            </w:pPr>
            <w:r w:rsidRPr="006F3B5C">
              <w:t xml:space="preserve">dispose of conditions listed on </w:t>
            </w:r>
            <w:r w:rsidRPr="006F3B5C">
              <w:rPr>
                <w:i/>
              </w:rPr>
              <w:t>VA Form 29-4373</w:t>
            </w:r>
            <w:r w:rsidRPr="006F3B5C">
              <w:t>, which are considered to be symptoms of a rated disability by a statement to this ef</w:t>
            </w:r>
            <w:r w:rsidR="00DE6890" w:rsidRPr="006F3B5C">
              <w:t>fect in the narrative</w:t>
            </w:r>
            <w:r w:rsidRPr="006F3B5C">
              <w:t xml:space="preserve"> part of the rating decision, and</w:t>
            </w:r>
          </w:p>
          <w:p w14:paraId="65E41147" w14:textId="77777777" w:rsidR="00E7406A" w:rsidRPr="006F3B5C" w:rsidRDefault="00E7406A">
            <w:pPr>
              <w:pStyle w:val="BulletText1"/>
            </w:pPr>
            <w:proofErr w:type="gramStart"/>
            <w:r w:rsidRPr="006F3B5C">
              <w:t>in</w:t>
            </w:r>
            <w:proofErr w:type="gramEnd"/>
            <w:r w:rsidRPr="006F3B5C">
              <w:t xml:space="preserve"> the coded conclusion, show the codes and evaluations appropriate to compensation entitlement.</w:t>
            </w:r>
          </w:p>
        </w:tc>
      </w:tr>
    </w:tbl>
    <w:p w14:paraId="65E41149" w14:textId="77777777" w:rsidR="00E7406A" w:rsidRPr="006F3B5C" w:rsidRDefault="00E7406A">
      <w:pPr>
        <w:pStyle w:val="BlockLine"/>
      </w:pPr>
    </w:p>
    <w:p w14:paraId="65E4114A" w14:textId="77777777" w:rsidR="00E7406A" w:rsidRPr="006F3B5C" w:rsidRDefault="00E7406A">
      <w:pPr>
        <w:pStyle w:val="Heading4"/>
      </w:pPr>
      <w:r w:rsidRPr="006F3B5C">
        <w:br w:type="page"/>
      </w:r>
      <w:r w:rsidRPr="006F3B5C">
        <w:lastRenderedPageBreak/>
        <w:t xml:space="preserve">10.  Rating for the Polish and Czechoslovakian Armed Forces Under </w:t>
      </w:r>
      <w:r w:rsidR="00F93E37" w:rsidRPr="006F3B5C">
        <w:t>38 U.S.C. 1</w:t>
      </w:r>
      <w:r w:rsidRPr="006F3B5C">
        <w:t>09(c)</w:t>
      </w:r>
    </w:p>
    <w:p w14:paraId="65E4114B" w14:textId="77777777" w:rsidR="00E7406A" w:rsidRPr="006F3B5C" w:rsidRDefault="00E7406A">
      <w:pPr>
        <w:pStyle w:val="BlockLine"/>
      </w:pPr>
      <w:r w:rsidRPr="006F3B5C">
        <w:fldChar w:fldCharType="begin"/>
      </w:r>
      <w:r w:rsidRPr="006F3B5C">
        <w:instrText xml:space="preserve"> PRIVATE INFOTYPE="OTHER"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152" w14:textId="77777777" w:rsidTr="0087122C">
        <w:trPr>
          <w:cantSplit/>
        </w:trPr>
        <w:tc>
          <w:tcPr>
            <w:tcW w:w="1728" w:type="dxa"/>
            <w:shd w:val="clear" w:color="auto" w:fill="auto"/>
          </w:tcPr>
          <w:p w14:paraId="65E4114C" w14:textId="77777777" w:rsidR="00E7406A" w:rsidRPr="006F3B5C" w:rsidRDefault="00E7406A">
            <w:pPr>
              <w:pStyle w:val="Heading5"/>
            </w:pPr>
            <w:r w:rsidRPr="006F3B5C">
              <w:t>Introduction</w:t>
            </w:r>
          </w:p>
        </w:tc>
        <w:tc>
          <w:tcPr>
            <w:tcW w:w="7740" w:type="dxa"/>
            <w:shd w:val="clear" w:color="auto" w:fill="auto"/>
          </w:tcPr>
          <w:p w14:paraId="65E4114D" w14:textId="77777777" w:rsidR="00E7406A" w:rsidRPr="006F3B5C" w:rsidRDefault="00E7406A" w:rsidP="0087122C">
            <w:pPr>
              <w:pStyle w:val="BlockText"/>
            </w:pPr>
            <w:r w:rsidRPr="006F3B5C">
              <w:t>This topic contains information on rating for the Polish an</w:t>
            </w:r>
            <w:r w:rsidR="00B9113C" w:rsidRPr="006F3B5C">
              <w:t>d Czechoslovakian Armed Forces u</w:t>
            </w:r>
            <w:r w:rsidRPr="006F3B5C">
              <w:t xml:space="preserve">nder </w:t>
            </w:r>
            <w:r w:rsidR="00F93E37" w:rsidRPr="006F3B5C">
              <w:t>38 U.S.C. 1</w:t>
            </w:r>
            <w:r w:rsidRPr="006F3B5C">
              <w:t>09(c), including</w:t>
            </w:r>
          </w:p>
          <w:p w14:paraId="65E4114E" w14:textId="77777777" w:rsidR="00E7406A" w:rsidRPr="006F3B5C" w:rsidRDefault="00E7406A" w:rsidP="0087122C">
            <w:pPr>
              <w:pStyle w:val="BlockText"/>
            </w:pPr>
          </w:p>
          <w:p w14:paraId="65E4114F" w14:textId="4B98C3BE" w:rsidR="00E7406A" w:rsidRPr="006F3B5C" w:rsidRDefault="003A214B">
            <w:pPr>
              <w:pStyle w:val="BulletText1"/>
              <w:rPr>
                <w:rStyle w:val="Hyperlink"/>
              </w:rPr>
            </w:pPr>
            <w:r w:rsidRPr="006F3B5C">
              <w:fldChar w:fldCharType="begin"/>
            </w:r>
            <w:r w:rsidRPr="006F3B5C">
              <w:instrText xml:space="preserve"> HYPERLINK  \l "_a.__Jurisdiction" </w:instrText>
            </w:r>
            <w:r w:rsidRPr="006F3B5C">
              <w:fldChar w:fldCharType="separate"/>
            </w:r>
            <w:r w:rsidR="00E7406A" w:rsidRPr="006F3B5C">
              <w:rPr>
                <w:rStyle w:val="Hyperlink"/>
              </w:rPr>
              <w:t>jurisdiction for determinations</w:t>
            </w:r>
            <w:r w:rsidR="00B9113C" w:rsidRPr="006F3B5C">
              <w:rPr>
                <w:rStyle w:val="Hyperlink"/>
              </w:rPr>
              <w:t xml:space="preserve"> under 38 </w:t>
            </w:r>
            <w:proofErr w:type="spellStart"/>
            <w:r w:rsidR="00B9113C" w:rsidRPr="006F3B5C">
              <w:rPr>
                <w:rStyle w:val="Hyperlink"/>
              </w:rPr>
              <w:t>U.S.C</w:t>
            </w:r>
            <w:proofErr w:type="spellEnd"/>
            <w:r w:rsidR="00B9113C" w:rsidRPr="006F3B5C">
              <w:rPr>
                <w:rStyle w:val="Hyperlink"/>
              </w:rPr>
              <w:t>. 109(c)</w:t>
            </w:r>
          </w:p>
          <w:p w14:paraId="65E41150" w14:textId="4BB555A0" w:rsidR="00E7406A" w:rsidRPr="006F3B5C" w:rsidRDefault="003A214B">
            <w:pPr>
              <w:pStyle w:val="BulletText1"/>
            </w:pPr>
            <w:r w:rsidRPr="006F3B5C">
              <w:fldChar w:fldCharType="end"/>
            </w:r>
            <w:hyperlink w:anchor="_b.__Basing" w:history="1">
              <w:r w:rsidR="00E7406A" w:rsidRPr="006F3B5C">
                <w:rPr>
                  <w:rStyle w:val="Hyperlink"/>
                </w:rPr>
                <w:t xml:space="preserve">basing rating determinations </w:t>
              </w:r>
              <w:r w:rsidR="00B9113C" w:rsidRPr="006F3B5C">
                <w:rPr>
                  <w:rStyle w:val="Hyperlink"/>
                </w:rPr>
                <w:t xml:space="preserve">38 U.S.C. 109(c) </w:t>
              </w:r>
              <w:r w:rsidR="00E7406A" w:rsidRPr="006F3B5C">
                <w:rPr>
                  <w:rStyle w:val="Hyperlink"/>
                </w:rPr>
                <w:t>on the evidence</w:t>
              </w:r>
            </w:hyperlink>
            <w:r w:rsidR="00E7406A" w:rsidRPr="006F3B5C">
              <w:t>, and</w:t>
            </w:r>
          </w:p>
          <w:p w14:paraId="65E41151" w14:textId="57DCAC4C" w:rsidR="00E7406A" w:rsidRPr="006F3B5C" w:rsidRDefault="00DD59CE">
            <w:pPr>
              <w:pStyle w:val="BulletText1"/>
            </w:pPr>
            <w:hyperlink w:anchor="_c.__Rating" w:history="1">
              <w:proofErr w:type="gramStart"/>
              <w:r w:rsidR="00E7406A" w:rsidRPr="006F3B5C">
                <w:rPr>
                  <w:rStyle w:val="Hyperlink"/>
                </w:rPr>
                <w:t>rating</w:t>
              </w:r>
              <w:proofErr w:type="gramEnd"/>
              <w:r w:rsidR="00E7406A" w:rsidRPr="006F3B5C">
                <w:rPr>
                  <w:rStyle w:val="Hyperlink"/>
                </w:rPr>
                <w:t xml:space="preserve"> decision</w:t>
              </w:r>
              <w:r w:rsidR="00B9113C" w:rsidRPr="006F3B5C">
                <w:rPr>
                  <w:rStyle w:val="Hyperlink"/>
                </w:rPr>
                <w:t xml:space="preserve"> for eligibility under 38 U.S.C. 109(c)</w:t>
              </w:r>
              <w:r w:rsidR="00E7406A" w:rsidRPr="006F3B5C">
                <w:rPr>
                  <w:rStyle w:val="Hyperlink"/>
                </w:rPr>
                <w:t>.</w:t>
              </w:r>
            </w:hyperlink>
          </w:p>
        </w:tc>
      </w:tr>
    </w:tbl>
    <w:p w14:paraId="65E41153" w14:textId="77777777" w:rsidR="00E7406A" w:rsidRPr="006F3B5C"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6F3B5C" w14:paraId="65E41156" w14:textId="77777777" w:rsidTr="0087122C">
        <w:trPr>
          <w:cantSplit/>
        </w:trPr>
        <w:tc>
          <w:tcPr>
            <w:tcW w:w="1728" w:type="dxa"/>
            <w:shd w:val="clear" w:color="auto" w:fill="auto"/>
          </w:tcPr>
          <w:p w14:paraId="65E41154" w14:textId="77777777" w:rsidR="00E7406A" w:rsidRPr="006F3B5C" w:rsidRDefault="00E7406A">
            <w:pPr>
              <w:pStyle w:val="Heading5"/>
            </w:pPr>
            <w:r w:rsidRPr="006F3B5C">
              <w:t>Change Date</w:t>
            </w:r>
          </w:p>
        </w:tc>
        <w:tc>
          <w:tcPr>
            <w:tcW w:w="7740" w:type="dxa"/>
            <w:shd w:val="clear" w:color="auto" w:fill="auto"/>
          </w:tcPr>
          <w:p w14:paraId="65E41155" w14:textId="77777777" w:rsidR="00E7406A" w:rsidRPr="006F3B5C" w:rsidRDefault="00E7406A" w:rsidP="0087122C">
            <w:pPr>
              <w:pStyle w:val="BlockText"/>
            </w:pPr>
            <w:r w:rsidRPr="006F3B5C">
              <w:t>November 21, 2006</w:t>
            </w:r>
          </w:p>
        </w:tc>
      </w:tr>
    </w:tbl>
    <w:p w14:paraId="65E41157"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15C" w14:textId="77777777" w:rsidTr="0087122C">
        <w:trPr>
          <w:cantSplit/>
        </w:trPr>
        <w:tc>
          <w:tcPr>
            <w:tcW w:w="1728" w:type="dxa"/>
            <w:shd w:val="clear" w:color="auto" w:fill="auto"/>
          </w:tcPr>
          <w:p w14:paraId="65E41158" w14:textId="77777777" w:rsidR="00E7406A" w:rsidRPr="006F3B5C" w:rsidRDefault="00E7406A">
            <w:pPr>
              <w:pStyle w:val="Heading5"/>
            </w:pPr>
            <w:bookmarkStart w:id="64" w:name="_a.__Jurisdiction"/>
            <w:bookmarkEnd w:id="64"/>
            <w:proofErr w:type="gramStart"/>
            <w:r w:rsidRPr="006F3B5C">
              <w:t>a.  Jurisdiction</w:t>
            </w:r>
            <w:proofErr w:type="gramEnd"/>
            <w:r w:rsidRPr="006F3B5C">
              <w:t xml:space="preserve"> for Determinations Under </w:t>
            </w:r>
            <w:r w:rsidR="00F93E37" w:rsidRPr="006F3B5C">
              <w:t>38 U.S.C. 1</w:t>
            </w:r>
            <w:r w:rsidRPr="006F3B5C">
              <w:t>09(c)</w:t>
            </w:r>
          </w:p>
        </w:tc>
        <w:tc>
          <w:tcPr>
            <w:tcW w:w="7740" w:type="dxa"/>
            <w:shd w:val="clear" w:color="auto" w:fill="auto"/>
          </w:tcPr>
          <w:p w14:paraId="65E41159" w14:textId="38559AFD" w:rsidR="00E7406A" w:rsidRPr="006F3B5C" w:rsidRDefault="00E7406A" w:rsidP="0087122C">
            <w:pPr>
              <w:pStyle w:val="BlockText"/>
            </w:pPr>
            <w:r w:rsidRPr="006F3B5C">
              <w:t xml:space="preserve">The VSC of the Wilmington VA Medical and Regional Office Center (VAM&amp;ROC) has sole jurisdiction for all rating determinations required for the Polish and Czechoslovakian Armed Forces under </w:t>
            </w:r>
            <w:hyperlink r:id="rId137" w:history="1">
              <w:r w:rsidR="00F93E37" w:rsidRPr="006F3B5C">
                <w:rPr>
                  <w:rStyle w:val="Hyperlink"/>
                </w:rPr>
                <w:t>38 U.S.C. 1</w:t>
              </w:r>
              <w:r w:rsidRPr="006F3B5C">
                <w:rPr>
                  <w:rStyle w:val="Hyperlink"/>
                </w:rPr>
                <w:t>09(c)</w:t>
              </w:r>
            </w:hyperlink>
            <w:r w:rsidRPr="006F3B5C">
              <w:t xml:space="preserve"> per </w:t>
            </w:r>
            <w:hyperlink r:id="rId138" w:history="1">
              <w:r w:rsidR="000711AA" w:rsidRPr="006F3B5C">
                <w:rPr>
                  <w:rStyle w:val="Hyperlink"/>
                </w:rPr>
                <w:t xml:space="preserve">38 </w:t>
              </w:r>
              <w:r w:rsidR="002A33EA" w:rsidRPr="006F3B5C">
                <w:rPr>
                  <w:rStyle w:val="Hyperlink"/>
                </w:rPr>
                <w:t>CFR</w:t>
              </w:r>
              <w:r w:rsidR="000711AA" w:rsidRPr="006F3B5C">
                <w:rPr>
                  <w:rStyle w:val="Hyperlink"/>
                </w:rPr>
                <w:t xml:space="preserve"> 3</w:t>
              </w:r>
              <w:r w:rsidRPr="006F3B5C">
                <w:rPr>
                  <w:rStyle w:val="Hyperlink"/>
                </w:rPr>
                <w:t>.359</w:t>
              </w:r>
            </w:hyperlink>
            <w:r w:rsidRPr="006F3B5C">
              <w:t xml:space="preserve">.  </w:t>
            </w:r>
          </w:p>
          <w:p w14:paraId="65E4115A" w14:textId="77777777" w:rsidR="00E7406A" w:rsidRPr="006F3B5C" w:rsidRDefault="00E7406A" w:rsidP="0087122C">
            <w:pPr>
              <w:pStyle w:val="BlockText"/>
            </w:pPr>
          </w:p>
          <w:p w14:paraId="65E4115B" w14:textId="77777777" w:rsidR="00E7406A" w:rsidRPr="006F3B5C" w:rsidRDefault="00E7406A" w:rsidP="0087122C">
            <w:pPr>
              <w:pStyle w:val="BlockText"/>
              <w:rPr>
                <w:b/>
              </w:rPr>
            </w:pPr>
            <w:r w:rsidRPr="006F3B5C">
              <w:t>Route requests received by any other RO to the Wilmington VAM&amp;ROC with information as to the referral provided to the submitting health care facility.</w:t>
            </w:r>
          </w:p>
        </w:tc>
      </w:tr>
    </w:tbl>
    <w:p w14:paraId="65E4115D" w14:textId="77777777" w:rsidR="00E7406A" w:rsidRPr="006F3B5C" w:rsidRDefault="00A82436">
      <w:pPr>
        <w:pStyle w:val="BlockLine"/>
      </w:pPr>
      <w:r w:rsidRPr="006F3B5C">
        <w:fldChar w:fldCharType="begin"/>
      </w:r>
      <w:r w:rsidRPr="006F3B5C">
        <w:instrText xml:space="preserve"> PRIVATE INFOTYPE="PRINCIPLE"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164" w14:textId="77777777" w:rsidTr="0087122C">
        <w:trPr>
          <w:cantSplit/>
        </w:trPr>
        <w:tc>
          <w:tcPr>
            <w:tcW w:w="1728" w:type="dxa"/>
            <w:shd w:val="clear" w:color="auto" w:fill="auto"/>
          </w:tcPr>
          <w:p w14:paraId="65E4115E" w14:textId="77777777" w:rsidR="00E7406A" w:rsidRPr="006F3B5C" w:rsidRDefault="00E7406A">
            <w:pPr>
              <w:pStyle w:val="Heading5"/>
            </w:pPr>
            <w:bookmarkStart w:id="65" w:name="_b.__Basing"/>
            <w:bookmarkEnd w:id="65"/>
            <w:proofErr w:type="gramStart"/>
            <w:r w:rsidRPr="006F3B5C">
              <w:t>b.  Basing</w:t>
            </w:r>
            <w:proofErr w:type="gramEnd"/>
            <w:r w:rsidRPr="006F3B5C">
              <w:t xml:space="preserve"> Rating Determinations </w:t>
            </w:r>
            <w:r w:rsidR="00B9113C" w:rsidRPr="006F3B5C">
              <w:t xml:space="preserve">Under 38 U.S.C. 109(c) </w:t>
            </w:r>
            <w:r w:rsidRPr="006F3B5C">
              <w:t>on the Evidence</w:t>
            </w:r>
          </w:p>
        </w:tc>
        <w:tc>
          <w:tcPr>
            <w:tcW w:w="7740" w:type="dxa"/>
            <w:shd w:val="clear" w:color="auto" w:fill="auto"/>
          </w:tcPr>
          <w:p w14:paraId="65E4115F" w14:textId="77777777" w:rsidR="00E7406A" w:rsidRPr="006F3B5C" w:rsidRDefault="00E7406A" w:rsidP="0087122C">
            <w:pPr>
              <w:pStyle w:val="BlockText"/>
            </w:pPr>
            <w:r w:rsidRPr="006F3B5C">
              <w:t xml:space="preserve">Base rating determinations on the evidence submitted with the request.  </w:t>
            </w:r>
          </w:p>
          <w:p w14:paraId="65E41160" w14:textId="77777777" w:rsidR="00E7406A" w:rsidRPr="006F3B5C" w:rsidRDefault="00E7406A" w:rsidP="0087122C">
            <w:pPr>
              <w:pStyle w:val="BlockText"/>
            </w:pPr>
          </w:p>
          <w:p w14:paraId="65E41161" w14:textId="77777777" w:rsidR="00E7406A" w:rsidRPr="006F3B5C" w:rsidRDefault="00E7406A" w:rsidP="0087122C">
            <w:pPr>
              <w:pStyle w:val="BlockText"/>
            </w:pPr>
            <w:r w:rsidRPr="006F3B5C">
              <w:t xml:space="preserve">The medical facility is responsible for fully developing the claim before sending the request directly to MAS (136) in the Wilmington VAM&amp;ROC.  </w:t>
            </w:r>
          </w:p>
          <w:p w14:paraId="65E41162" w14:textId="77777777" w:rsidR="00E7406A" w:rsidRPr="006F3B5C" w:rsidRDefault="00E7406A" w:rsidP="0087122C">
            <w:pPr>
              <w:pStyle w:val="BlockText"/>
            </w:pPr>
          </w:p>
          <w:p w14:paraId="65E41163" w14:textId="77777777" w:rsidR="00E7406A" w:rsidRPr="006F3B5C" w:rsidRDefault="00E7406A" w:rsidP="0087122C">
            <w:pPr>
              <w:pStyle w:val="BlockText"/>
              <w:rPr>
                <w:b/>
              </w:rPr>
            </w:pPr>
            <w:r w:rsidRPr="006F3B5C">
              <w:rPr>
                <w:b/>
                <w:i/>
              </w:rPr>
              <w:t>Reference</w:t>
            </w:r>
            <w:r w:rsidRPr="006F3B5C">
              <w:t xml:space="preserve">:  For more information on jurisdiction over claims folders, see </w:t>
            </w:r>
            <w:hyperlink r:id="rId139" w:history="1">
              <w:r w:rsidRPr="006F3B5C">
                <w:rPr>
                  <w:rStyle w:val="Hyperlink"/>
                </w:rPr>
                <w:t>M21-1MR, Part III, Subpart ii, 5.A</w:t>
              </w:r>
            </w:hyperlink>
            <w:r w:rsidRPr="006F3B5C">
              <w:t>.</w:t>
            </w:r>
          </w:p>
        </w:tc>
      </w:tr>
    </w:tbl>
    <w:p w14:paraId="65E41167" w14:textId="77777777" w:rsidR="00E7406A" w:rsidRPr="006F3B5C" w:rsidRDefault="00A82436">
      <w:pPr>
        <w:pStyle w:val="BlockLine"/>
      </w:pPr>
      <w:r w:rsidRPr="006F3B5C">
        <w:fldChar w:fldCharType="begin"/>
      </w:r>
      <w:r w:rsidRPr="006F3B5C">
        <w:instrText xml:space="preserve"> PRIVATE INFOTYPE="PROCEDURE" </w:instrText>
      </w:r>
      <w:r w:rsidRPr="006F3B5C">
        <w:fldChar w:fldCharType="end"/>
      </w:r>
    </w:p>
    <w:tbl>
      <w:tblPr>
        <w:tblW w:w="0" w:type="auto"/>
        <w:tblLayout w:type="fixed"/>
        <w:tblLook w:val="0000" w:firstRow="0" w:lastRow="0" w:firstColumn="0" w:lastColumn="0" w:noHBand="0" w:noVBand="0"/>
      </w:tblPr>
      <w:tblGrid>
        <w:gridCol w:w="1728"/>
        <w:gridCol w:w="7740"/>
      </w:tblGrid>
      <w:tr w:rsidR="00E7406A" w:rsidRPr="006F3B5C" w14:paraId="65E41170" w14:textId="77777777" w:rsidTr="0087122C">
        <w:trPr>
          <w:cantSplit/>
        </w:trPr>
        <w:tc>
          <w:tcPr>
            <w:tcW w:w="1728" w:type="dxa"/>
            <w:shd w:val="clear" w:color="auto" w:fill="auto"/>
          </w:tcPr>
          <w:p w14:paraId="65E41168" w14:textId="77777777" w:rsidR="00E7406A" w:rsidRPr="006F3B5C" w:rsidRDefault="00E7406A">
            <w:pPr>
              <w:pStyle w:val="Heading5"/>
            </w:pPr>
            <w:bookmarkStart w:id="66" w:name="_c.__Rating"/>
            <w:bookmarkEnd w:id="66"/>
            <w:proofErr w:type="gramStart"/>
            <w:r w:rsidRPr="006F3B5C">
              <w:t>c.  Rating</w:t>
            </w:r>
            <w:proofErr w:type="gramEnd"/>
            <w:r w:rsidRPr="006F3B5C">
              <w:t xml:space="preserve"> Decision</w:t>
            </w:r>
            <w:r w:rsidR="00B9113C" w:rsidRPr="006F3B5C">
              <w:t xml:space="preserve"> for Eligibility Under 38 U.S.C. 109(c)</w:t>
            </w:r>
          </w:p>
        </w:tc>
        <w:tc>
          <w:tcPr>
            <w:tcW w:w="7740" w:type="dxa"/>
            <w:shd w:val="clear" w:color="auto" w:fill="auto"/>
          </w:tcPr>
          <w:p w14:paraId="65E41169" w14:textId="77777777" w:rsidR="00E7406A" w:rsidRPr="006F3B5C" w:rsidRDefault="00E7406A" w:rsidP="0087122C">
            <w:pPr>
              <w:pStyle w:val="BlockText"/>
            </w:pPr>
            <w:r w:rsidRPr="006F3B5C">
              <w:t xml:space="preserve">In the rating decision, under the part </w:t>
            </w:r>
            <w:r w:rsidRPr="006F3B5C">
              <w:rPr>
                <w:iCs/>
              </w:rPr>
              <w:t>Decision</w:t>
            </w:r>
            <w:r w:rsidRPr="006F3B5C">
              <w:t xml:space="preserve">, show “Eligibility for hospital or outpatient treatment Under </w:t>
            </w:r>
            <w:r w:rsidR="00F93E37" w:rsidRPr="006F3B5C">
              <w:t>38 U.S.C. 1</w:t>
            </w:r>
            <w:r w:rsidRPr="006F3B5C">
              <w:t xml:space="preserve">09(c) </w:t>
            </w:r>
            <w:r w:rsidRPr="006F3B5C">
              <w:rPr>
                <w:b/>
              </w:rPr>
              <w:t>[is] [is not]</w:t>
            </w:r>
            <w:r w:rsidRPr="006F3B5C">
              <w:t xml:space="preserve"> established.”</w:t>
            </w:r>
          </w:p>
          <w:p w14:paraId="65E4116A" w14:textId="77777777" w:rsidR="00E7406A" w:rsidRPr="006F3B5C" w:rsidRDefault="00E7406A" w:rsidP="0087122C">
            <w:pPr>
              <w:pStyle w:val="BlockText"/>
            </w:pPr>
          </w:p>
          <w:p w14:paraId="65E4116B" w14:textId="77777777" w:rsidR="00E7406A" w:rsidRPr="006F3B5C" w:rsidRDefault="00E7406A" w:rsidP="0087122C">
            <w:pPr>
              <w:pStyle w:val="BlockText"/>
            </w:pPr>
            <w:r w:rsidRPr="006F3B5C">
              <w:t>In the coded conclusion, evaluate conditions established as SC with a statement of either “</w:t>
            </w:r>
            <w:r w:rsidRPr="006F3B5C">
              <w:rPr>
                <w:i/>
              </w:rPr>
              <w:t>50 percent or more</w:t>
            </w:r>
            <w:r w:rsidRPr="006F3B5C">
              <w:t>” or “</w:t>
            </w:r>
            <w:r w:rsidRPr="006F3B5C">
              <w:rPr>
                <w:i/>
              </w:rPr>
              <w:t>less than 50 percent</w:t>
            </w:r>
            <w:r w:rsidRPr="006F3B5C">
              <w:t>.”</w:t>
            </w:r>
          </w:p>
          <w:p w14:paraId="65E4116C" w14:textId="77777777" w:rsidR="00E7406A" w:rsidRPr="006F3B5C" w:rsidRDefault="00E7406A" w:rsidP="0087122C">
            <w:pPr>
              <w:pStyle w:val="BlockText"/>
            </w:pPr>
          </w:p>
          <w:p w14:paraId="65E4116D" w14:textId="77777777" w:rsidR="00E7406A" w:rsidRPr="006F3B5C" w:rsidRDefault="00E7406A" w:rsidP="0087122C">
            <w:pPr>
              <w:pStyle w:val="BlockText"/>
            </w:pPr>
            <w:r w:rsidRPr="006F3B5C">
              <w:t>Notes:</w:t>
            </w:r>
          </w:p>
          <w:p w14:paraId="65E4116E" w14:textId="09CEDD06" w:rsidR="00E7406A" w:rsidRPr="006F3B5C" w:rsidRDefault="00E7406A">
            <w:pPr>
              <w:pStyle w:val="BulletText1"/>
            </w:pPr>
            <w:r w:rsidRPr="006F3B5C">
              <w:t xml:space="preserve">Apply existing criteria for the determination of </w:t>
            </w:r>
            <w:r w:rsidR="003A214B" w:rsidRPr="006F3B5C">
              <w:t>service connection</w:t>
            </w:r>
            <w:r w:rsidRPr="006F3B5C">
              <w:t xml:space="preserve"> and degree of disability.  </w:t>
            </w:r>
          </w:p>
          <w:p w14:paraId="65E4116F" w14:textId="77777777" w:rsidR="00E7406A" w:rsidRPr="006F3B5C" w:rsidRDefault="00E7406A">
            <w:pPr>
              <w:pStyle w:val="BulletText1"/>
            </w:pPr>
            <w:r w:rsidRPr="006F3B5C">
              <w:t>Return the completed rating and all other materials to the Medical Administration Service, Wilmington, for their maintenance of eligibility records.</w:t>
            </w:r>
          </w:p>
        </w:tc>
      </w:tr>
    </w:tbl>
    <w:p w14:paraId="65E41171" w14:textId="77777777" w:rsidR="00E7406A" w:rsidRPr="006F3B5C" w:rsidRDefault="00E7406A">
      <w:pPr>
        <w:pStyle w:val="BlockLine"/>
      </w:pPr>
    </w:p>
    <w:p w14:paraId="65E41172" w14:textId="77777777" w:rsidR="00E7406A" w:rsidRPr="006F3B5C" w:rsidRDefault="00E7406A">
      <w:pPr>
        <w:pStyle w:val="Heading4"/>
      </w:pPr>
      <w:r w:rsidRPr="006F3B5C">
        <w:br w:type="page"/>
      </w:r>
      <w:r w:rsidRPr="006F3B5C">
        <w:lastRenderedPageBreak/>
        <w:t>11.  Addendum A.  Alignment of ROs and RPOs</w:t>
      </w:r>
    </w:p>
    <w:p w14:paraId="65E41173" w14:textId="77777777" w:rsidR="00E7406A" w:rsidRPr="006F3B5C" w:rsidRDefault="00E7406A">
      <w:pPr>
        <w:pStyle w:val="BlockLine"/>
      </w:pPr>
      <w:r w:rsidRPr="006F3B5C">
        <w:t xml:space="preserve"> </w:t>
      </w:r>
    </w:p>
    <w:tbl>
      <w:tblPr>
        <w:tblW w:w="0" w:type="auto"/>
        <w:tblLayout w:type="fixed"/>
        <w:tblLook w:val="0000" w:firstRow="0" w:lastRow="0" w:firstColumn="0" w:lastColumn="0" w:noHBand="0" w:noVBand="0"/>
      </w:tblPr>
      <w:tblGrid>
        <w:gridCol w:w="1728"/>
        <w:gridCol w:w="7740"/>
      </w:tblGrid>
      <w:tr w:rsidR="00E7406A" w:rsidRPr="006F3B5C" w14:paraId="65E41176" w14:textId="77777777" w:rsidTr="0087122C">
        <w:trPr>
          <w:cantSplit/>
        </w:trPr>
        <w:tc>
          <w:tcPr>
            <w:tcW w:w="1728" w:type="dxa"/>
            <w:shd w:val="clear" w:color="auto" w:fill="auto"/>
          </w:tcPr>
          <w:p w14:paraId="65E41174" w14:textId="77777777" w:rsidR="00E7406A" w:rsidRPr="006F3B5C" w:rsidRDefault="00E7406A">
            <w:pPr>
              <w:pStyle w:val="Heading5"/>
            </w:pPr>
            <w:r w:rsidRPr="006F3B5C">
              <w:t>Change Date</w:t>
            </w:r>
          </w:p>
        </w:tc>
        <w:tc>
          <w:tcPr>
            <w:tcW w:w="7740" w:type="dxa"/>
            <w:shd w:val="clear" w:color="auto" w:fill="auto"/>
          </w:tcPr>
          <w:p w14:paraId="65E41175" w14:textId="77777777" w:rsidR="00E7406A" w:rsidRPr="006F3B5C" w:rsidRDefault="00612B07" w:rsidP="0087122C">
            <w:pPr>
              <w:pStyle w:val="BlockText"/>
            </w:pPr>
            <w:r w:rsidRPr="006F3B5C">
              <w:t>February 3, 2011</w:t>
            </w:r>
          </w:p>
        </w:tc>
      </w:tr>
    </w:tbl>
    <w:p w14:paraId="65E41177" w14:textId="77777777" w:rsidR="00E7406A" w:rsidRPr="006F3B5C" w:rsidRDefault="00A82436">
      <w:pPr>
        <w:pStyle w:val="BlockLine"/>
      </w:pPr>
      <w:r w:rsidRPr="006F3B5C">
        <w:fldChar w:fldCharType="begin"/>
      </w:r>
      <w:r w:rsidRPr="006F3B5C">
        <w:instrText xml:space="preserve"> PRIVATE INFOTYPE="CONCEPT" </w:instrText>
      </w:r>
      <w:r w:rsidRPr="006F3B5C">
        <w:fldChar w:fldCharType="end"/>
      </w:r>
      <w:r w:rsidR="00E7406A" w:rsidRPr="006F3B5C">
        <w:t xml:space="preserve"> </w:t>
      </w:r>
    </w:p>
    <w:tbl>
      <w:tblPr>
        <w:tblW w:w="0" w:type="auto"/>
        <w:tblLayout w:type="fixed"/>
        <w:tblLook w:val="0000" w:firstRow="0" w:lastRow="0" w:firstColumn="0" w:lastColumn="0" w:noHBand="0" w:noVBand="0"/>
      </w:tblPr>
      <w:tblGrid>
        <w:gridCol w:w="1728"/>
        <w:gridCol w:w="7740"/>
      </w:tblGrid>
      <w:tr w:rsidR="00E7406A" w:rsidRPr="006F3B5C" w14:paraId="65E41181" w14:textId="77777777" w:rsidTr="0087122C">
        <w:trPr>
          <w:cantSplit/>
        </w:trPr>
        <w:tc>
          <w:tcPr>
            <w:tcW w:w="1728" w:type="dxa"/>
            <w:shd w:val="clear" w:color="auto" w:fill="auto"/>
          </w:tcPr>
          <w:p w14:paraId="65E41178" w14:textId="77777777" w:rsidR="00E7406A" w:rsidRPr="006F3B5C" w:rsidRDefault="00E7406A">
            <w:pPr>
              <w:pStyle w:val="Heading5"/>
            </w:pPr>
            <w:proofErr w:type="gramStart"/>
            <w:r w:rsidRPr="006F3B5C">
              <w:t>a.  Alignment</w:t>
            </w:r>
            <w:proofErr w:type="gramEnd"/>
            <w:r w:rsidRPr="006F3B5C">
              <w:t xml:space="preserve"> of ROs and RPOs</w:t>
            </w:r>
            <w:r w:rsidR="00B9113C" w:rsidRPr="006F3B5C">
              <w:t xml:space="preserve"> for Jurisdiction of Education Claims</w:t>
            </w:r>
          </w:p>
        </w:tc>
        <w:tc>
          <w:tcPr>
            <w:tcW w:w="7740" w:type="dxa"/>
            <w:shd w:val="clear" w:color="auto" w:fill="auto"/>
          </w:tcPr>
          <w:p w14:paraId="65E41179" w14:textId="77777777" w:rsidR="00E7406A" w:rsidRPr="006F3B5C" w:rsidRDefault="00E7406A" w:rsidP="0087122C">
            <w:pPr>
              <w:pStyle w:val="BlockText"/>
            </w:pPr>
            <w:r w:rsidRPr="006F3B5C">
              <w:t>The jurisdiction of an RPO over an education claim is based on the address of the educational facility where the beneficiary is enrolled.  For example, if the beneficiary attends a college in Ohio, the Buffalo RPO would have jurisdiction over the education claim.</w:t>
            </w:r>
          </w:p>
          <w:p w14:paraId="65E4117A" w14:textId="77777777" w:rsidR="00E7406A" w:rsidRPr="006F3B5C" w:rsidRDefault="00E7406A" w:rsidP="0087122C">
            <w:pPr>
              <w:pStyle w:val="BlockText"/>
            </w:pPr>
          </w:p>
          <w:p w14:paraId="65E4117B" w14:textId="77777777" w:rsidR="00E7406A" w:rsidRPr="006F3B5C" w:rsidRDefault="00E7406A" w:rsidP="0087122C">
            <w:pPr>
              <w:pStyle w:val="BlockText"/>
            </w:pPr>
            <w:r w:rsidRPr="006F3B5C">
              <w:t xml:space="preserve"> The table below shows which ROs are aligned with RPOs in</w:t>
            </w:r>
          </w:p>
          <w:p w14:paraId="65E4117C" w14:textId="77777777" w:rsidR="00E7406A" w:rsidRPr="006F3B5C" w:rsidRDefault="00E7406A" w:rsidP="0087122C">
            <w:pPr>
              <w:pStyle w:val="BlockText"/>
            </w:pPr>
          </w:p>
          <w:p w14:paraId="65E4117D" w14:textId="77777777" w:rsidR="00E7406A" w:rsidRPr="006F3B5C" w:rsidRDefault="00E7406A">
            <w:pPr>
              <w:pStyle w:val="BulletText1"/>
            </w:pPr>
            <w:r w:rsidRPr="006F3B5C">
              <w:t>Atlanta</w:t>
            </w:r>
          </w:p>
          <w:p w14:paraId="65E4117E" w14:textId="77777777" w:rsidR="00E7406A" w:rsidRPr="006F3B5C" w:rsidRDefault="00E7406A">
            <w:pPr>
              <w:pStyle w:val="BulletText1"/>
            </w:pPr>
            <w:r w:rsidRPr="006F3B5C">
              <w:t>Buffalo</w:t>
            </w:r>
          </w:p>
          <w:p w14:paraId="65E4117F" w14:textId="77777777" w:rsidR="00E7406A" w:rsidRPr="006F3B5C" w:rsidRDefault="00E7406A">
            <w:pPr>
              <w:pStyle w:val="BulletText1"/>
            </w:pPr>
            <w:r w:rsidRPr="006F3B5C">
              <w:t>St. Louis, and</w:t>
            </w:r>
          </w:p>
          <w:p w14:paraId="65E41180" w14:textId="77777777" w:rsidR="00E7406A" w:rsidRPr="006F3B5C" w:rsidRDefault="00E7406A">
            <w:pPr>
              <w:pStyle w:val="BulletText1"/>
            </w:pPr>
            <w:r w:rsidRPr="006F3B5C">
              <w:t>Muskogee.</w:t>
            </w:r>
          </w:p>
        </w:tc>
      </w:tr>
    </w:tbl>
    <w:p w14:paraId="65E41182" w14:textId="77777777" w:rsidR="00E7406A" w:rsidRPr="006F3B5C" w:rsidRDefault="00E7406A"/>
    <w:tbl>
      <w:tblPr>
        <w:tblW w:w="0" w:type="auto"/>
        <w:tblLayout w:type="fixed"/>
        <w:tblLook w:val="0000" w:firstRow="0" w:lastRow="0" w:firstColumn="0" w:lastColumn="0" w:noHBand="0" w:noVBand="0"/>
      </w:tblPr>
      <w:tblGrid>
        <w:gridCol w:w="2340"/>
        <w:gridCol w:w="2340"/>
        <w:gridCol w:w="2340"/>
        <w:gridCol w:w="2341"/>
      </w:tblGrid>
      <w:tr w:rsidR="00E7406A" w:rsidRPr="006F3B5C" w14:paraId="65E41187"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shd w:val="clear" w:color="auto" w:fill="auto"/>
          </w:tcPr>
          <w:p w14:paraId="65E41183" w14:textId="77777777" w:rsidR="00E7406A" w:rsidRPr="006F3B5C" w:rsidRDefault="00E7406A" w:rsidP="0087122C">
            <w:pPr>
              <w:pStyle w:val="TableHeaderText"/>
            </w:pPr>
            <w:r w:rsidRPr="006F3B5C">
              <w:t>RPO Atlanta</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65E41184" w14:textId="77777777" w:rsidR="00E7406A" w:rsidRPr="006F3B5C" w:rsidRDefault="00E7406A" w:rsidP="0087122C">
            <w:pPr>
              <w:pStyle w:val="TableHeaderText"/>
            </w:pPr>
            <w:r w:rsidRPr="006F3B5C">
              <w:t>RPO Buffalo</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65E41185" w14:textId="77777777" w:rsidR="00E7406A" w:rsidRPr="006F3B5C" w:rsidRDefault="00E7406A" w:rsidP="0087122C">
            <w:pPr>
              <w:pStyle w:val="TableHeaderText"/>
            </w:pPr>
            <w:r w:rsidRPr="006F3B5C">
              <w:t>RPO St. Louis</w:t>
            </w:r>
          </w:p>
        </w:tc>
        <w:tc>
          <w:tcPr>
            <w:tcW w:w="2341" w:type="dxa"/>
            <w:tcBorders>
              <w:top w:val="single" w:sz="6" w:space="0" w:color="auto"/>
              <w:left w:val="single" w:sz="6" w:space="0" w:color="auto"/>
              <w:bottom w:val="single" w:sz="6" w:space="0" w:color="auto"/>
              <w:right w:val="single" w:sz="6" w:space="0" w:color="auto"/>
            </w:tcBorders>
            <w:shd w:val="clear" w:color="auto" w:fill="auto"/>
          </w:tcPr>
          <w:p w14:paraId="65E41186" w14:textId="77777777" w:rsidR="00E7406A" w:rsidRPr="006F3B5C" w:rsidRDefault="00E7406A" w:rsidP="0087122C">
            <w:pPr>
              <w:pStyle w:val="TableHeaderText"/>
            </w:pPr>
            <w:r w:rsidRPr="006F3B5C">
              <w:t>RPO Muskogee</w:t>
            </w:r>
          </w:p>
        </w:tc>
      </w:tr>
      <w:tr w:rsidR="00E7406A" w:rsidRPr="006F3B5C" w14:paraId="65E4118C"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88" w14:textId="77777777" w:rsidR="00E7406A" w:rsidRPr="006F3B5C" w:rsidRDefault="00E7406A" w:rsidP="0087122C">
            <w:pPr>
              <w:pStyle w:val="TableText"/>
              <w:jc w:val="center"/>
              <w:rPr>
                <w:b/>
              </w:rPr>
            </w:pPr>
            <w:r w:rsidRPr="006F3B5C">
              <w:rPr>
                <w:b/>
              </w:rPr>
              <w:t>Atlanta</w:t>
            </w:r>
          </w:p>
        </w:tc>
        <w:tc>
          <w:tcPr>
            <w:tcW w:w="2340" w:type="dxa"/>
            <w:tcBorders>
              <w:top w:val="single" w:sz="6" w:space="0" w:color="auto"/>
              <w:left w:val="single" w:sz="6" w:space="0" w:color="auto"/>
              <w:bottom w:val="single" w:sz="6" w:space="0" w:color="auto"/>
              <w:right w:val="single" w:sz="6" w:space="0" w:color="auto"/>
            </w:tcBorders>
          </w:tcPr>
          <w:p w14:paraId="65E41189" w14:textId="77777777" w:rsidR="00E7406A" w:rsidRPr="006F3B5C" w:rsidRDefault="00E7406A" w:rsidP="0087122C">
            <w:pPr>
              <w:pStyle w:val="TableText"/>
              <w:jc w:val="center"/>
            </w:pPr>
            <w:r w:rsidRPr="006F3B5C">
              <w:t>Baltimore</w:t>
            </w:r>
          </w:p>
        </w:tc>
        <w:tc>
          <w:tcPr>
            <w:tcW w:w="2340" w:type="dxa"/>
            <w:tcBorders>
              <w:top w:val="single" w:sz="6" w:space="0" w:color="auto"/>
              <w:left w:val="single" w:sz="6" w:space="0" w:color="auto"/>
              <w:bottom w:val="single" w:sz="6" w:space="0" w:color="auto"/>
              <w:right w:val="single" w:sz="6" w:space="0" w:color="auto"/>
            </w:tcBorders>
          </w:tcPr>
          <w:p w14:paraId="65E4118A" w14:textId="77777777" w:rsidR="00E7406A" w:rsidRPr="006F3B5C" w:rsidRDefault="00E7406A" w:rsidP="0087122C">
            <w:pPr>
              <w:pStyle w:val="TableText"/>
              <w:jc w:val="center"/>
            </w:pPr>
            <w:r w:rsidRPr="006F3B5C">
              <w:t>Chicago</w:t>
            </w:r>
          </w:p>
        </w:tc>
        <w:tc>
          <w:tcPr>
            <w:tcW w:w="2341" w:type="dxa"/>
            <w:tcBorders>
              <w:top w:val="single" w:sz="6" w:space="0" w:color="auto"/>
              <w:left w:val="single" w:sz="6" w:space="0" w:color="auto"/>
              <w:bottom w:val="single" w:sz="6" w:space="0" w:color="auto"/>
              <w:right w:val="single" w:sz="6" w:space="0" w:color="auto"/>
            </w:tcBorders>
          </w:tcPr>
          <w:p w14:paraId="65E4118B" w14:textId="77777777" w:rsidR="00E7406A" w:rsidRPr="006F3B5C" w:rsidRDefault="00E7406A" w:rsidP="0087122C">
            <w:pPr>
              <w:pStyle w:val="TableText"/>
              <w:jc w:val="center"/>
            </w:pPr>
            <w:r w:rsidRPr="006F3B5C">
              <w:t>Albuquerque</w:t>
            </w:r>
          </w:p>
        </w:tc>
      </w:tr>
      <w:tr w:rsidR="00E7406A" w:rsidRPr="006F3B5C" w14:paraId="65E41191"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8D" w14:textId="77777777" w:rsidR="00E7406A" w:rsidRPr="006F3B5C" w:rsidRDefault="00E7406A" w:rsidP="0087122C">
            <w:pPr>
              <w:pStyle w:val="TableText"/>
              <w:jc w:val="center"/>
            </w:pPr>
            <w:r w:rsidRPr="006F3B5C">
              <w:t>Columbia</w:t>
            </w:r>
          </w:p>
        </w:tc>
        <w:tc>
          <w:tcPr>
            <w:tcW w:w="2340" w:type="dxa"/>
            <w:tcBorders>
              <w:top w:val="single" w:sz="6" w:space="0" w:color="auto"/>
              <w:left w:val="single" w:sz="6" w:space="0" w:color="auto"/>
              <w:bottom w:val="single" w:sz="6" w:space="0" w:color="auto"/>
              <w:right w:val="single" w:sz="6" w:space="0" w:color="auto"/>
            </w:tcBorders>
          </w:tcPr>
          <w:p w14:paraId="65E4118E" w14:textId="77777777" w:rsidR="00E7406A" w:rsidRPr="006F3B5C" w:rsidRDefault="00E7406A" w:rsidP="0087122C">
            <w:pPr>
              <w:pStyle w:val="TableText"/>
              <w:jc w:val="center"/>
            </w:pPr>
            <w:r w:rsidRPr="006F3B5C">
              <w:t>Boston</w:t>
            </w:r>
          </w:p>
        </w:tc>
        <w:tc>
          <w:tcPr>
            <w:tcW w:w="2340" w:type="dxa"/>
            <w:tcBorders>
              <w:top w:val="single" w:sz="6" w:space="0" w:color="auto"/>
              <w:left w:val="single" w:sz="6" w:space="0" w:color="auto"/>
              <w:bottom w:val="single" w:sz="6" w:space="0" w:color="auto"/>
              <w:right w:val="single" w:sz="6" w:space="0" w:color="auto"/>
            </w:tcBorders>
          </w:tcPr>
          <w:p w14:paraId="65E4118F" w14:textId="77777777" w:rsidR="00E7406A" w:rsidRPr="006F3B5C" w:rsidRDefault="00E7406A" w:rsidP="0087122C">
            <w:pPr>
              <w:pStyle w:val="TableText"/>
              <w:jc w:val="center"/>
            </w:pPr>
            <w:r w:rsidRPr="006F3B5C">
              <w:t>Denver/Cheyenne</w:t>
            </w:r>
          </w:p>
        </w:tc>
        <w:tc>
          <w:tcPr>
            <w:tcW w:w="2341" w:type="dxa"/>
            <w:tcBorders>
              <w:top w:val="single" w:sz="6" w:space="0" w:color="auto"/>
              <w:left w:val="single" w:sz="6" w:space="0" w:color="auto"/>
              <w:bottom w:val="single" w:sz="6" w:space="0" w:color="auto"/>
              <w:right w:val="single" w:sz="6" w:space="0" w:color="auto"/>
            </w:tcBorders>
          </w:tcPr>
          <w:p w14:paraId="65E41190" w14:textId="77777777" w:rsidR="00E7406A" w:rsidRPr="006F3B5C" w:rsidRDefault="00E7406A" w:rsidP="0087122C">
            <w:pPr>
              <w:pStyle w:val="TableText"/>
              <w:jc w:val="center"/>
            </w:pPr>
            <w:r w:rsidRPr="006F3B5C">
              <w:t>Anchorage</w:t>
            </w:r>
          </w:p>
        </w:tc>
      </w:tr>
      <w:tr w:rsidR="00E7406A" w:rsidRPr="006F3B5C" w14:paraId="65E41196"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92" w14:textId="77777777" w:rsidR="00E7406A" w:rsidRPr="006F3B5C" w:rsidRDefault="00E7406A" w:rsidP="0087122C">
            <w:pPr>
              <w:pStyle w:val="TableText"/>
              <w:jc w:val="center"/>
            </w:pPr>
            <w:r w:rsidRPr="006F3B5C">
              <w:t>Jackson</w:t>
            </w:r>
          </w:p>
        </w:tc>
        <w:tc>
          <w:tcPr>
            <w:tcW w:w="2340" w:type="dxa"/>
            <w:tcBorders>
              <w:top w:val="single" w:sz="6" w:space="0" w:color="auto"/>
              <w:left w:val="single" w:sz="6" w:space="0" w:color="auto"/>
              <w:bottom w:val="single" w:sz="6" w:space="0" w:color="auto"/>
              <w:right w:val="single" w:sz="6" w:space="0" w:color="auto"/>
            </w:tcBorders>
          </w:tcPr>
          <w:p w14:paraId="65E41193" w14:textId="77777777" w:rsidR="00E7406A" w:rsidRPr="006F3B5C" w:rsidRDefault="00E7406A" w:rsidP="0087122C">
            <w:pPr>
              <w:pStyle w:val="TableText"/>
              <w:jc w:val="center"/>
              <w:rPr>
                <w:b/>
              </w:rPr>
            </w:pPr>
            <w:r w:rsidRPr="006F3B5C">
              <w:rPr>
                <w:b/>
              </w:rPr>
              <w:t>Buffalo</w:t>
            </w:r>
          </w:p>
        </w:tc>
        <w:tc>
          <w:tcPr>
            <w:tcW w:w="2340" w:type="dxa"/>
            <w:tcBorders>
              <w:top w:val="single" w:sz="6" w:space="0" w:color="auto"/>
              <w:left w:val="single" w:sz="6" w:space="0" w:color="auto"/>
              <w:bottom w:val="single" w:sz="6" w:space="0" w:color="auto"/>
              <w:right w:val="single" w:sz="6" w:space="0" w:color="auto"/>
            </w:tcBorders>
          </w:tcPr>
          <w:p w14:paraId="65E41194" w14:textId="77777777" w:rsidR="00E7406A" w:rsidRPr="006F3B5C" w:rsidRDefault="00E7406A" w:rsidP="0087122C">
            <w:pPr>
              <w:pStyle w:val="TableText"/>
              <w:jc w:val="center"/>
            </w:pPr>
            <w:r w:rsidRPr="006F3B5C">
              <w:t>Des Moines</w:t>
            </w:r>
          </w:p>
        </w:tc>
        <w:tc>
          <w:tcPr>
            <w:tcW w:w="2341" w:type="dxa"/>
            <w:tcBorders>
              <w:top w:val="single" w:sz="6" w:space="0" w:color="auto"/>
              <w:left w:val="single" w:sz="6" w:space="0" w:color="auto"/>
              <w:bottom w:val="single" w:sz="6" w:space="0" w:color="auto"/>
              <w:right w:val="single" w:sz="6" w:space="0" w:color="auto"/>
            </w:tcBorders>
          </w:tcPr>
          <w:p w14:paraId="65E41195" w14:textId="77777777" w:rsidR="00E7406A" w:rsidRPr="006F3B5C" w:rsidRDefault="00E7406A" w:rsidP="0087122C">
            <w:pPr>
              <w:pStyle w:val="TableText"/>
              <w:jc w:val="center"/>
            </w:pPr>
            <w:r w:rsidRPr="006F3B5C">
              <w:t>Boise</w:t>
            </w:r>
          </w:p>
        </w:tc>
      </w:tr>
      <w:tr w:rsidR="00E7406A" w:rsidRPr="006F3B5C" w14:paraId="65E4119B"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97" w14:textId="77777777" w:rsidR="00E7406A" w:rsidRPr="006F3B5C" w:rsidRDefault="00E7406A" w:rsidP="0087122C">
            <w:pPr>
              <w:pStyle w:val="TableText"/>
              <w:jc w:val="center"/>
            </w:pPr>
            <w:r w:rsidRPr="006F3B5C">
              <w:t>Montgomery</w:t>
            </w:r>
          </w:p>
        </w:tc>
        <w:tc>
          <w:tcPr>
            <w:tcW w:w="2340" w:type="dxa"/>
            <w:tcBorders>
              <w:top w:val="single" w:sz="6" w:space="0" w:color="auto"/>
              <w:left w:val="single" w:sz="6" w:space="0" w:color="auto"/>
              <w:bottom w:val="single" w:sz="6" w:space="0" w:color="auto"/>
              <w:right w:val="single" w:sz="6" w:space="0" w:color="auto"/>
            </w:tcBorders>
          </w:tcPr>
          <w:p w14:paraId="65E41198" w14:textId="77777777" w:rsidR="00E7406A" w:rsidRPr="006F3B5C" w:rsidRDefault="00E7406A" w:rsidP="0087122C">
            <w:pPr>
              <w:pStyle w:val="TableText"/>
              <w:jc w:val="center"/>
            </w:pPr>
            <w:r w:rsidRPr="006F3B5C">
              <w:t>Cleveland</w:t>
            </w:r>
          </w:p>
        </w:tc>
        <w:tc>
          <w:tcPr>
            <w:tcW w:w="2340" w:type="dxa"/>
            <w:tcBorders>
              <w:top w:val="single" w:sz="6" w:space="0" w:color="auto"/>
              <w:left w:val="single" w:sz="6" w:space="0" w:color="auto"/>
              <w:bottom w:val="single" w:sz="6" w:space="0" w:color="auto"/>
              <w:right w:val="single" w:sz="6" w:space="0" w:color="auto"/>
            </w:tcBorders>
          </w:tcPr>
          <w:p w14:paraId="65E41199" w14:textId="77777777" w:rsidR="00E7406A" w:rsidRPr="006F3B5C" w:rsidRDefault="00E7406A" w:rsidP="0087122C">
            <w:pPr>
              <w:pStyle w:val="TableText"/>
              <w:jc w:val="center"/>
            </w:pPr>
            <w:r w:rsidRPr="006F3B5C">
              <w:t>Detroit</w:t>
            </w:r>
          </w:p>
        </w:tc>
        <w:tc>
          <w:tcPr>
            <w:tcW w:w="2341" w:type="dxa"/>
            <w:tcBorders>
              <w:top w:val="single" w:sz="6" w:space="0" w:color="auto"/>
              <w:left w:val="single" w:sz="6" w:space="0" w:color="auto"/>
              <w:bottom w:val="single" w:sz="6" w:space="0" w:color="auto"/>
              <w:right w:val="single" w:sz="6" w:space="0" w:color="auto"/>
            </w:tcBorders>
          </w:tcPr>
          <w:p w14:paraId="65E4119A" w14:textId="77777777" w:rsidR="00E7406A" w:rsidRPr="006F3B5C" w:rsidRDefault="00E7406A" w:rsidP="0087122C">
            <w:pPr>
              <w:pStyle w:val="TableText"/>
              <w:jc w:val="center"/>
            </w:pPr>
            <w:r w:rsidRPr="006F3B5C">
              <w:t>Honolulu</w:t>
            </w:r>
          </w:p>
        </w:tc>
      </w:tr>
      <w:tr w:rsidR="00E7406A" w:rsidRPr="006F3B5C" w14:paraId="65E411A0"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9C" w14:textId="77777777" w:rsidR="00E7406A" w:rsidRPr="006F3B5C" w:rsidRDefault="00E7406A" w:rsidP="0087122C">
            <w:pPr>
              <w:pStyle w:val="TableText"/>
              <w:jc w:val="center"/>
            </w:pPr>
            <w:r w:rsidRPr="006F3B5C">
              <w:t>San Juan</w:t>
            </w:r>
          </w:p>
        </w:tc>
        <w:tc>
          <w:tcPr>
            <w:tcW w:w="2340" w:type="dxa"/>
            <w:tcBorders>
              <w:top w:val="single" w:sz="6" w:space="0" w:color="auto"/>
              <w:left w:val="single" w:sz="6" w:space="0" w:color="auto"/>
              <w:bottom w:val="single" w:sz="6" w:space="0" w:color="auto"/>
              <w:right w:val="single" w:sz="6" w:space="0" w:color="auto"/>
            </w:tcBorders>
          </w:tcPr>
          <w:p w14:paraId="65E4119D" w14:textId="77777777" w:rsidR="00E7406A" w:rsidRPr="006F3B5C" w:rsidRDefault="00E7406A" w:rsidP="0087122C">
            <w:pPr>
              <w:pStyle w:val="TableText"/>
              <w:jc w:val="center"/>
            </w:pPr>
            <w:r w:rsidRPr="006F3B5C">
              <w:t>Hartford</w:t>
            </w:r>
          </w:p>
        </w:tc>
        <w:tc>
          <w:tcPr>
            <w:tcW w:w="2340" w:type="dxa"/>
            <w:tcBorders>
              <w:top w:val="single" w:sz="6" w:space="0" w:color="auto"/>
              <w:left w:val="single" w:sz="6" w:space="0" w:color="auto"/>
              <w:bottom w:val="single" w:sz="6" w:space="0" w:color="auto"/>
              <w:right w:val="single" w:sz="6" w:space="0" w:color="auto"/>
            </w:tcBorders>
          </w:tcPr>
          <w:p w14:paraId="65E4119E" w14:textId="77777777" w:rsidR="00E7406A" w:rsidRPr="006F3B5C" w:rsidRDefault="00E7406A" w:rsidP="0087122C">
            <w:pPr>
              <w:pStyle w:val="TableText"/>
              <w:jc w:val="center"/>
            </w:pPr>
            <w:r w:rsidRPr="006F3B5C">
              <w:t>Fargo</w:t>
            </w:r>
          </w:p>
        </w:tc>
        <w:tc>
          <w:tcPr>
            <w:tcW w:w="2341" w:type="dxa"/>
            <w:tcBorders>
              <w:top w:val="single" w:sz="6" w:space="0" w:color="auto"/>
              <w:left w:val="single" w:sz="6" w:space="0" w:color="auto"/>
              <w:bottom w:val="single" w:sz="6" w:space="0" w:color="auto"/>
              <w:right w:val="single" w:sz="6" w:space="0" w:color="auto"/>
            </w:tcBorders>
          </w:tcPr>
          <w:p w14:paraId="65E4119F" w14:textId="77777777" w:rsidR="00E7406A" w:rsidRPr="006F3B5C" w:rsidRDefault="00E7406A" w:rsidP="0087122C">
            <w:pPr>
              <w:pStyle w:val="TableText"/>
              <w:jc w:val="center"/>
            </w:pPr>
            <w:r w:rsidRPr="006F3B5C">
              <w:t>Houston</w:t>
            </w:r>
          </w:p>
        </w:tc>
      </w:tr>
      <w:tr w:rsidR="00E7406A" w:rsidRPr="006F3B5C" w14:paraId="65E411A5"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A1" w14:textId="77777777" w:rsidR="00E7406A" w:rsidRPr="006F3B5C" w:rsidRDefault="00E7406A" w:rsidP="0087122C">
            <w:pPr>
              <w:pStyle w:val="TableText"/>
              <w:jc w:val="center"/>
            </w:pPr>
            <w:r w:rsidRPr="006F3B5C">
              <w:t>St. Petersburg</w:t>
            </w:r>
          </w:p>
        </w:tc>
        <w:tc>
          <w:tcPr>
            <w:tcW w:w="2340" w:type="dxa"/>
            <w:tcBorders>
              <w:top w:val="single" w:sz="6" w:space="0" w:color="auto"/>
              <w:left w:val="single" w:sz="6" w:space="0" w:color="auto"/>
              <w:bottom w:val="single" w:sz="6" w:space="0" w:color="auto"/>
              <w:right w:val="single" w:sz="6" w:space="0" w:color="auto"/>
            </w:tcBorders>
          </w:tcPr>
          <w:p w14:paraId="65E411A2" w14:textId="77777777" w:rsidR="00E7406A" w:rsidRPr="006F3B5C" w:rsidRDefault="00E7406A" w:rsidP="0087122C">
            <w:pPr>
              <w:pStyle w:val="TableText"/>
              <w:jc w:val="center"/>
            </w:pPr>
            <w:r w:rsidRPr="006F3B5C">
              <w:t>Huntington</w:t>
            </w:r>
          </w:p>
        </w:tc>
        <w:tc>
          <w:tcPr>
            <w:tcW w:w="2340" w:type="dxa"/>
            <w:tcBorders>
              <w:top w:val="single" w:sz="6" w:space="0" w:color="auto"/>
              <w:left w:val="single" w:sz="6" w:space="0" w:color="auto"/>
              <w:bottom w:val="single" w:sz="6" w:space="0" w:color="auto"/>
              <w:right w:val="single" w:sz="6" w:space="0" w:color="auto"/>
            </w:tcBorders>
          </w:tcPr>
          <w:p w14:paraId="65E411A3" w14:textId="77777777" w:rsidR="00E7406A" w:rsidRPr="006F3B5C" w:rsidRDefault="00E7406A" w:rsidP="0087122C">
            <w:pPr>
              <w:pStyle w:val="TableText"/>
              <w:jc w:val="center"/>
            </w:pPr>
            <w:r w:rsidRPr="006F3B5C">
              <w:t>Ft. Harrison</w:t>
            </w:r>
          </w:p>
        </w:tc>
        <w:tc>
          <w:tcPr>
            <w:tcW w:w="2341" w:type="dxa"/>
            <w:tcBorders>
              <w:top w:val="single" w:sz="6" w:space="0" w:color="auto"/>
              <w:left w:val="single" w:sz="6" w:space="0" w:color="auto"/>
              <w:bottom w:val="single" w:sz="6" w:space="0" w:color="auto"/>
              <w:right w:val="single" w:sz="6" w:space="0" w:color="auto"/>
            </w:tcBorders>
          </w:tcPr>
          <w:p w14:paraId="65E411A4" w14:textId="77777777" w:rsidR="00E7406A" w:rsidRPr="006F3B5C" w:rsidRDefault="00E7406A" w:rsidP="0087122C">
            <w:pPr>
              <w:pStyle w:val="TableText"/>
              <w:jc w:val="center"/>
            </w:pPr>
            <w:r w:rsidRPr="006F3B5C">
              <w:t>Little Rock</w:t>
            </w:r>
          </w:p>
        </w:tc>
      </w:tr>
      <w:tr w:rsidR="00E7406A" w:rsidRPr="006F3B5C" w14:paraId="65E411AA"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A6" w14:textId="77777777" w:rsidR="00E7406A" w:rsidRPr="006F3B5C" w:rsidRDefault="00E7406A" w:rsidP="0087122C">
            <w:pPr>
              <w:pStyle w:val="TableText"/>
              <w:jc w:val="center"/>
            </w:pPr>
            <w:r w:rsidRPr="006F3B5C">
              <w:t>Winston-Salem</w:t>
            </w:r>
          </w:p>
        </w:tc>
        <w:tc>
          <w:tcPr>
            <w:tcW w:w="2340" w:type="dxa"/>
            <w:tcBorders>
              <w:top w:val="single" w:sz="6" w:space="0" w:color="auto"/>
              <w:left w:val="single" w:sz="6" w:space="0" w:color="auto"/>
              <w:bottom w:val="single" w:sz="6" w:space="0" w:color="auto"/>
              <w:right w:val="single" w:sz="6" w:space="0" w:color="auto"/>
            </w:tcBorders>
          </w:tcPr>
          <w:p w14:paraId="65E411A7" w14:textId="77777777" w:rsidR="00E7406A" w:rsidRPr="006F3B5C" w:rsidRDefault="00E7406A" w:rsidP="0087122C">
            <w:pPr>
              <w:pStyle w:val="TableText"/>
              <w:jc w:val="center"/>
            </w:pPr>
            <w:r w:rsidRPr="006F3B5C">
              <w:t>Manchester</w:t>
            </w:r>
          </w:p>
        </w:tc>
        <w:tc>
          <w:tcPr>
            <w:tcW w:w="2340" w:type="dxa"/>
            <w:tcBorders>
              <w:top w:val="single" w:sz="6" w:space="0" w:color="auto"/>
              <w:left w:val="single" w:sz="6" w:space="0" w:color="auto"/>
              <w:bottom w:val="single" w:sz="6" w:space="0" w:color="auto"/>
              <w:right w:val="single" w:sz="6" w:space="0" w:color="auto"/>
            </w:tcBorders>
          </w:tcPr>
          <w:p w14:paraId="65E411A8" w14:textId="77777777" w:rsidR="00E7406A" w:rsidRPr="006F3B5C" w:rsidRDefault="00E7406A" w:rsidP="0087122C">
            <w:pPr>
              <w:pStyle w:val="TableText"/>
              <w:jc w:val="center"/>
            </w:pPr>
            <w:r w:rsidRPr="006F3B5C">
              <w:t>Indianapolis</w:t>
            </w:r>
          </w:p>
        </w:tc>
        <w:tc>
          <w:tcPr>
            <w:tcW w:w="2341" w:type="dxa"/>
            <w:tcBorders>
              <w:top w:val="single" w:sz="6" w:space="0" w:color="auto"/>
              <w:left w:val="single" w:sz="6" w:space="0" w:color="auto"/>
              <w:bottom w:val="single" w:sz="6" w:space="0" w:color="auto"/>
              <w:right w:val="single" w:sz="6" w:space="0" w:color="auto"/>
            </w:tcBorders>
          </w:tcPr>
          <w:p w14:paraId="65E411A9" w14:textId="77777777" w:rsidR="00E7406A" w:rsidRPr="006F3B5C" w:rsidRDefault="00E7406A" w:rsidP="0087122C">
            <w:pPr>
              <w:pStyle w:val="TableText"/>
              <w:jc w:val="center"/>
            </w:pPr>
            <w:r w:rsidRPr="006F3B5C">
              <w:t>Los Angeles</w:t>
            </w:r>
          </w:p>
        </w:tc>
      </w:tr>
      <w:tr w:rsidR="00E7406A" w:rsidRPr="006F3B5C" w14:paraId="65E411AF"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AB" w14:textId="77777777" w:rsidR="00E7406A" w:rsidRPr="006F3B5C"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AC" w14:textId="77777777" w:rsidR="00E7406A" w:rsidRPr="006F3B5C" w:rsidRDefault="00E7406A" w:rsidP="0087122C">
            <w:pPr>
              <w:pStyle w:val="TableText"/>
              <w:jc w:val="center"/>
            </w:pPr>
            <w:r w:rsidRPr="006F3B5C">
              <w:t>Newark</w:t>
            </w:r>
          </w:p>
        </w:tc>
        <w:tc>
          <w:tcPr>
            <w:tcW w:w="2340" w:type="dxa"/>
            <w:tcBorders>
              <w:top w:val="single" w:sz="6" w:space="0" w:color="auto"/>
              <w:left w:val="single" w:sz="6" w:space="0" w:color="auto"/>
              <w:bottom w:val="single" w:sz="6" w:space="0" w:color="auto"/>
              <w:right w:val="single" w:sz="6" w:space="0" w:color="auto"/>
            </w:tcBorders>
          </w:tcPr>
          <w:p w14:paraId="65E411AD" w14:textId="77777777" w:rsidR="00E7406A" w:rsidRPr="006F3B5C" w:rsidRDefault="00E7406A" w:rsidP="0087122C">
            <w:pPr>
              <w:pStyle w:val="TableText"/>
              <w:jc w:val="center"/>
            </w:pPr>
            <w:r w:rsidRPr="006F3B5C">
              <w:t>Lincoln</w:t>
            </w:r>
          </w:p>
        </w:tc>
        <w:tc>
          <w:tcPr>
            <w:tcW w:w="2341" w:type="dxa"/>
            <w:tcBorders>
              <w:top w:val="single" w:sz="6" w:space="0" w:color="auto"/>
              <w:left w:val="single" w:sz="6" w:space="0" w:color="auto"/>
              <w:bottom w:val="single" w:sz="6" w:space="0" w:color="auto"/>
              <w:right w:val="single" w:sz="6" w:space="0" w:color="auto"/>
            </w:tcBorders>
          </w:tcPr>
          <w:p w14:paraId="65E411AE" w14:textId="77777777" w:rsidR="00E7406A" w:rsidRPr="006F3B5C" w:rsidRDefault="00E7406A" w:rsidP="0087122C">
            <w:pPr>
              <w:pStyle w:val="TableText"/>
              <w:jc w:val="center"/>
            </w:pPr>
            <w:r w:rsidRPr="006F3B5C">
              <w:t>Manila</w:t>
            </w:r>
          </w:p>
        </w:tc>
      </w:tr>
      <w:tr w:rsidR="00E7406A" w:rsidRPr="006F3B5C" w14:paraId="65E411B4"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B0" w14:textId="77777777" w:rsidR="00E7406A" w:rsidRPr="006F3B5C"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B1" w14:textId="77777777" w:rsidR="00E7406A" w:rsidRPr="006F3B5C" w:rsidRDefault="00E7406A" w:rsidP="0087122C">
            <w:pPr>
              <w:pStyle w:val="TableText"/>
              <w:jc w:val="center"/>
            </w:pPr>
            <w:r w:rsidRPr="006F3B5C">
              <w:t>New York</w:t>
            </w:r>
          </w:p>
        </w:tc>
        <w:tc>
          <w:tcPr>
            <w:tcW w:w="2340" w:type="dxa"/>
            <w:tcBorders>
              <w:top w:val="single" w:sz="6" w:space="0" w:color="auto"/>
              <w:left w:val="single" w:sz="6" w:space="0" w:color="auto"/>
              <w:bottom w:val="single" w:sz="6" w:space="0" w:color="auto"/>
              <w:right w:val="single" w:sz="6" w:space="0" w:color="auto"/>
            </w:tcBorders>
          </w:tcPr>
          <w:p w14:paraId="65E411B2" w14:textId="77777777" w:rsidR="00E7406A" w:rsidRPr="006F3B5C" w:rsidRDefault="00E7406A" w:rsidP="0087122C">
            <w:pPr>
              <w:pStyle w:val="TableText"/>
              <w:jc w:val="center"/>
            </w:pPr>
            <w:r w:rsidRPr="006F3B5C">
              <w:t>Louisville</w:t>
            </w:r>
          </w:p>
        </w:tc>
        <w:tc>
          <w:tcPr>
            <w:tcW w:w="2341" w:type="dxa"/>
            <w:tcBorders>
              <w:top w:val="single" w:sz="6" w:space="0" w:color="auto"/>
              <w:left w:val="single" w:sz="6" w:space="0" w:color="auto"/>
              <w:bottom w:val="single" w:sz="6" w:space="0" w:color="auto"/>
              <w:right w:val="single" w:sz="6" w:space="0" w:color="auto"/>
            </w:tcBorders>
          </w:tcPr>
          <w:p w14:paraId="65E411B3" w14:textId="77777777" w:rsidR="00E7406A" w:rsidRPr="006F3B5C" w:rsidRDefault="00E7406A" w:rsidP="0087122C">
            <w:pPr>
              <w:pStyle w:val="TableText"/>
              <w:jc w:val="center"/>
              <w:rPr>
                <w:b/>
              </w:rPr>
            </w:pPr>
            <w:r w:rsidRPr="006F3B5C">
              <w:rPr>
                <w:b/>
              </w:rPr>
              <w:t>Muskogee</w:t>
            </w:r>
          </w:p>
        </w:tc>
      </w:tr>
      <w:tr w:rsidR="00E7406A" w:rsidRPr="006F3B5C" w14:paraId="65E411B9"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B5" w14:textId="77777777" w:rsidR="00E7406A" w:rsidRPr="006F3B5C"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B6" w14:textId="77777777" w:rsidR="00E7406A" w:rsidRPr="006F3B5C" w:rsidRDefault="00E7406A" w:rsidP="0087122C">
            <w:pPr>
              <w:pStyle w:val="TableText"/>
              <w:jc w:val="center"/>
            </w:pPr>
            <w:r w:rsidRPr="006F3B5C">
              <w:t>Philadelphia</w:t>
            </w:r>
          </w:p>
        </w:tc>
        <w:tc>
          <w:tcPr>
            <w:tcW w:w="2340" w:type="dxa"/>
            <w:tcBorders>
              <w:top w:val="single" w:sz="6" w:space="0" w:color="auto"/>
              <w:left w:val="single" w:sz="6" w:space="0" w:color="auto"/>
              <w:bottom w:val="single" w:sz="6" w:space="0" w:color="auto"/>
              <w:right w:val="single" w:sz="6" w:space="0" w:color="auto"/>
            </w:tcBorders>
          </w:tcPr>
          <w:p w14:paraId="65E411B7" w14:textId="77777777" w:rsidR="00E7406A" w:rsidRPr="006F3B5C" w:rsidRDefault="00E7406A" w:rsidP="0087122C">
            <w:pPr>
              <w:pStyle w:val="TableText"/>
              <w:jc w:val="center"/>
            </w:pPr>
            <w:r w:rsidRPr="006F3B5C">
              <w:t>Milwaukee</w:t>
            </w:r>
          </w:p>
        </w:tc>
        <w:tc>
          <w:tcPr>
            <w:tcW w:w="2341" w:type="dxa"/>
            <w:tcBorders>
              <w:top w:val="single" w:sz="6" w:space="0" w:color="auto"/>
              <w:left w:val="single" w:sz="6" w:space="0" w:color="auto"/>
              <w:bottom w:val="single" w:sz="6" w:space="0" w:color="auto"/>
              <w:right w:val="single" w:sz="6" w:space="0" w:color="auto"/>
            </w:tcBorders>
          </w:tcPr>
          <w:p w14:paraId="65E411B8" w14:textId="77777777" w:rsidR="00E7406A" w:rsidRPr="006F3B5C" w:rsidRDefault="00E7406A" w:rsidP="0087122C">
            <w:pPr>
              <w:pStyle w:val="TableText"/>
              <w:jc w:val="center"/>
            </w:pPr>
            <w:r w:rsidRPr="006F3B5C">
              <w:t>New Orleans</w:t>
            </w:r>
          </w:p>
        </w:tc>
      </w:tr>
      <w:tr w:rsidR="00E7406A" w:rsidRPr="006F3B5C" w14:paraId="65E411BE"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BA" w14:textId="77777777" w:rsidR="00E7406A" w:rsidRPr="006F3B5C"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BB" w14:textId="77777777" w:rsidR="00E7406A" w:rsidRPr="006F3B5C" w:rsidRDefault="00E7406A" w:rsidP="0087122C">
            <w:pPr>
              <w:pStyle w:val="TableText"/>
              <w:jc w:val="center"/>
            </w:pPr>
            <w:r w:rsidRPr="006F3B5C">
              <w:t>Pittsburgh</w:t>
            </w:r>
          </w:p>
        </w:tc>
        <w:tc>
          <w:tcPr>
            <w:tcW w:w="2340" w:type="dxa"/>
            <w:tcBorders>
              <w:top w:val="single" w:sz="6" w:space="0" w:color="auto"/>
              <w:left w:val="single" w:sz="6" w:space="0" w:color="auto"/>
              <w:bottom w:val="single" w:sz="6" w:space="0" w:color="auto"/>
              <w:right w:val="single" w:sz="6" w:space="0" w:color="auto"/>
            </w:tcBorders>
          </w:tcPr>
          <w:p w14:paraId="65E411BC" w14:textId="77777777" w:rsidR="00E7406A" w:rsidRPr="006F3B5C" w:rsidRDefault="00E7406A" w:rsidP="0087122C">
            <w:pPr>
              <w:pStyle w:val="TableText"/>
              <w:jc w:val="center"/>
            </w:pPr>
            <w:r w:rsidRPr="006F3B5C">
              <w:t>Nashville</w:t>
            </w:r>
          </w:p>
        </w:tc>
        <w:tc>
          <w:tcPr>
            <w:tcW w:w="2341" w:type="dxa"/>
            <w:tcBorders>
              <w:top w:val="single" w:sz="6" w:space="0" w:color="auto"/>
              <w:left w:val="single" w:sz="6" w:space="0" w:color="auto"/>
              <w:bottom w:val="single" w:sz="6" w:space="0" w:color="auto"/>
              <w:right w:val="single" w:sz="6" w:space="0" w:color="auto"/>
            </w:tcBorders>
          </w:tcPr>
          <w:p w14:paraId="65E411BD" w14:textId="77777777" w:rsidR="00E7406A" w:rsidRPr="006F3B5C" w:rsidRDefault="00E7406A" w:rsidP="0087122C">
            <w:pPr>
              <w:pStyle w:val="TableText"/>
              <w:jc w:val="center"/>
            </w:pPr>
            <w:r w:rsidRPr="006F3B5C">
              <w:t>Oakland</w:t>
            </w:r>
          </w:p>
        </w:tc>
      </w:tr>
      <w:tr w:rsidR="00E7406A" w:rsidRPr="006F3B5C" w14:paraId="65E411C3"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BF" w14:textId="77777777" w:rsidR="00E7406A" w:rsidRPr="006F3B5C"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C0" w14:textId="77777777" w:rsidR="00E7406A" w:rsidRPr="006F3B5C" w:rsidRDefault="00E7406A" w:rsidP="0087122C">
            <w:pPr>
              <w:pStyle w:val="TableText"/>
              <w:jc w:val="center"/>
            </w:pPr>
            <w:r w:rsidRPr="006F3B5C">
              <w:t>Providence</w:t>
            </w:r>
          </w:p>
        </w:tc>
        <w:tc>
          <w:tcPr>
            <w:tcW w:w="2340" w:type="dxa"/>
            <w:tcBorders>
              <w:top w:val="single" w:sz="6" w:space="0" w:color="auto"/>
              <w:left w:val="single" w:sz="6" w:space="0" w:color="auto"/>
              <w:bottom w:val="single" w:sz="6" w:space="0" w:color="auto"/>
              <w:right w:val="single" w:sz="6" w:space="0" w:color="auto"/>
            </w:tcBorders>
          </w:tcPr>
          <w:p w14:paraId="65E411C1" w14:textId="77777777" w:rsidR="00E7406A" w:rsidRPr="006F3B5C" w:rsidRDefault="00E7406A" w:rsidP="0087122C">
            <w:pPr>
              <w:pStyle w:val="TableText"/>
              <w:jc w:val="center"/>
            </w:pPr>
            <w:r w:rsidRPr="006F3B5C">
              <w:t>Sioux Falls</w:t>
            </w:r>
          </w:p>
        </w:tc>
        <w:tc>
          <w:tcPr>
            <w:tcW w:w="2341" w:type="dxa"/>
            <w:tcBorders>
              <w:top w:val="single" w:sz="6" w:space="0" w:color="auto"/>
              <w:left w:val="single" w:sz="6" w:space="0" w:color="auto"/>
              <w:bottom w:val="single" w:sz="6" w:space="0" w:color="auto"/>
              <w:right w:val="single" w:sz="6" w:space="0" w:color="auto"/>
            </w:tcBorders>
          </w:tcPr>
          <w:p w14:paraId="65E411C2" w14:textId="77777777" w:rsidR="00E7406A" w:rsidRPr="006F3B5C" w:rsidRDefault="00E7406A" w:rsidP="0087122C">
            <w:pPr>
              <w:pStyle w:val="TableText"/>
              <w:jc w:val="center"/>
            </w:pPr>
            <w:r w:rsidRPr="006F3B5C">
              <w:t>Phoenix</w:t>
            </w:r>
          </w:p>
        </w:tc>
      </w:tr>
      <w:tr w:rsidR="00E7406A" w:rsidRPr="006F3B5C" w14:paraId="65E411C8"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C4" w14:textId="77777777" w:rsidR="00E7406A" w:rsidRPr="006F3B5C"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C5" w14:textId="77777777" w:rsidR="00E7406A" w:rsidRPr="006F3B5C" w:rsidRDefault="00E7406A" w:rsidP="0087122C">
            <w:pPr>
              <w:pStyle w:val="TableText"/>
              <w:jc w:val="center"/>
            </w:pPr>
            <w:r w:rsidRPr="006F3B5C">
              <w:t>Roanoke</w:t>
            </w:r>
          </w:p>
        </w:tc>
        <w:tc>
          <w:tcPr>
            <w:tcW w:w="2340" w:type="dxa"/>
            <w:tcBorders>
              <w:top w:val="single" w:sz="6" w:space="0" w:color="auto"/>
              <w:left w:val="single" w:sz="6" w:space="0" w:color="auto"/>
              <w:bottom w:val="single" w:sz="6" w:space="0" w:color="auto"/>
              <w:right w:val="single" w:sz="6" w:space="0" w:color="auto"/>
            </w:tcBorders>
          </w:tcPr>
          <w:p w14:paraId="65E411C6" w14:textId="77777777" w:rsidR="00E7406A" w:rsidRPr="006F3B5C" w:rsidRDefault="00E7406A" w:rsidP="0087122C">
            <w:pPr>
              <w:pStyle w:val="TableText"/>
              <w:jc w:val="center"/>
              <w:rPr>
                <w:b/>
              </w:rPr>
            </w:pPr>
            <w:r w:rsidRPr="006F3B5C">
              <w:rPr>
                <w:b/>
              </w:rPr>
              <w:t>St. Louis</w:t>
            </w:r>
          </w:p>
        </w:tc>
        <w:tc>
          <w:tcPr>
            <w:tcW w:w="2341" w:type="dxa"/>
            <w:tcBorders>
              <w:top w:val="single" w:sz="6" w:space="0" w:color="auto"/>
              <w:left w:val="single" w:sz="6" w:space="0" w:color="auto"/>
              <w:bottom w:val="single" w:sz="6" w:space="0" w:color="auto"/>
              <w:right w:val="single" w:sz="6" w:space="0" w:color="auto"/>
            </w:tcBorders>
          </w:tcPr>
          <w:p w14:paraId="65E411C7" w14:textId="77777777" w:rsidR="00E7406A" w:rsidRPr="006F3B5C" w:rsidRDefault="00E7406A" w:rsidP="0087122C">
            <w:pPr>
              <w:pStyle w:val="TableText"/>
              <w:jc w:val="center"/>
            </w:pPr>
            <w:r w:rsidRPr="006F3B5C">
              <w:t>Portland</w:t>
            </w:r>
          </w:p>
        </w:tc>
      </w:tr>
      <w:tr w:rsidR="00E7406A" w:rsidRPr="006F3B5C" w14:paraId="65E411CD"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C9" w14:textId="77777777" w:rsidR="00E7406A" w:rsidRPr="006F3B5C"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CA" w14:textId="77777777" w:rsidR="00E7406A" w:rsidRPr="006F3B5C" w:rsidRDefault="00E7406A" w:rsidP="0087122C">
            <w:pPr>
              <w:pStyle w:val="TableText"/>
              <w:jc w:val="center"/>
            </w:pPr>
            <w:r w:rsidRPr="006F3B5C">
              <w:t>Togus</w:t>
            </w:r>
          </w:p>
        </w:tc>
        <w:tc>
          <w:tcPr>
            <w:tcW w:w="2340" w:type="dxa"/>
            <w:tcBorders>
              <w:top w:val="single" w:sz="6" w:space="0" w:color="auto"/>
              <w:left w:val="single" w:sz="6" w:space="0" w:color="auto"/>
              <w:bottom w:val="single" w:sz="6" w:space="0" w:color="auto"/>
              <w:right w:val="single" w:sz="6" w:space="0" w:color="auto"/>
            </w:tcBorders>
          </w:tcPr>
          <w:p w14:paraId="65E411CB" w14:textId="77777777" w:rsidR="00E7406A" w:rsidRPr="006F3B5C" w:rsidRDefault="00E7406A" w:rsidP="0087122C">
            <w:pPr>
              <w:pStyle w:val="TableText"/>
              <w:jc w:val="center"/>
            </w:pPr>
            <w:r w:rsidRPr="006F3B5C">
              <w:t>St. Paul</w:t>
            </w:r>
          </w:p>
        </w:tc>
        <w:tc>
          <w:tcPr>
            <w:tcW w:w="2341" w:type="dxa"/>
            <w:tcBorders>
              <w:top w:val="single" w:sz="6" w:space="0" w:color="auto"/>
              <w:left w:val="single" w:sz="6" w:space="0" w:color="auto"/>
              <w:bottom w:val="single" w:sz="6" w:space="0" w:color="auto"/>
              <w:right w:val="single" w:sz="6" w:space="0" w:color="auto"/>
            </w:tcBorders>
          </w:tcPr>
          <w:p w14:paraId="65E411CC" w14:textId="77777777" w:rsidR="00E7406A" w:rsidRPr="006F3B5C" w:rsidRDefault="00E7406A" w:rsidP="0087122C">
            <w:pPr>
              <w:pStyle w:val="TableText"/>
              <w:jc w:val="center"/>
            </w:pPr>
            <w:r w:rsidRPr="006F3B5C">
              <w:t>Reno</w:t>
            </w:r>
          </w:p>
        </w:tc>
      </w:tr>
      <w:tr w:rsidR="00E7406A" w:rsidRPr="006F3B5C" w14:paraId="65E411D2"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CE" w14:textId="77777777" w:rsidR="00E7406A" w:rsidRPr="006F3B5C"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CF" w14:textId="77777777" w:rsidR="00E7406A" w:rsidRPr="006F3B5C" w:rsidRDefault="00E7406A" w:rsidP="0087122C">
            <w:pPr>
              <w:pStyle w:val="TableText"/>
              <w:jc w:val="center"/>
            </w:pPr>
            <w:r w:rsidRPr="006F3B5C">
              <w:t>White River Junction</w:t>
            </w:r>
          </w:p>
        </w:tc>
        <w:tc>
          <w:tcPr>
            <w:tcW w:w="2340" w:type="dxa"/>
            <w:tcBorders>
              <w:top w:val="single" w:sz="6" w:space="0" w:color="auto"/>
              <w:left w:val="single" w:sz="6" w:space="0" w:color="auto"/>
              <w:bottom w:val="single" w:sz="6" w:space="0" w:color="auto"/>
              <w:right w:val="single" w:sz="6" w:space="0" w:color="auto"/>
            </w:tcBorders>
          </w:tcPr>
          <w:p w14:paraId="65E411D0" w14:textId="77777777" w:rsidR="00E7406A" w:rsidRPr="006F3B5C" w:rsidRDefault="00E7406A" w:rsidP="0087122C">
            <w:pPr>
              <w:pStyle w:val="TableText"/>
              <w:jc w:val="center"/>
            </w:pPr>
            <w:r w:rsidRPr="006F3B5C">
              <w:t>Wichita</w:t>
            </w:r>
          </w:p>
        </w:tc>
        <w:tc>
          <w:tcPr>
            <w:tcW w:w="2341" w:type="dxa"/>
            <w:tcBorders>
              <w:top w:val="single" w:sz="6" w:space="0" w:color="auto"/>
              <w:left w:val="single" w:sz="6" w:space="0" w:color="auto"/>
              <w:bottom w:val="single" w:sz="6" w:space="0" w:color="auto"/>
              <w:right w:val="single" w:sz="6" w:space="0" w:color="auto"/>
            </w:tcBorders>
          </w:tcPr>
          <w:p w14:paraId="65E411D1" w14:textId="77777777" w:rsidR="00E7406A" w:rsidRPr="006F3B5C" w:rsidRDefault="00E7406A" w:rsidP="0087122C">
            <w:pPr>
              <w:pStyle w:val="TableText"/>
              <w:jc w:val="center"/>
            </w:pPr>
            <w:r w:rsidRPr="006F3B5C">
              <w:t>Salt Lake City</w:t>
            </w:r>
          </w:p>
        </w:tc>
      </w:tr>
      <w:tr w:rsidR="00E7406A" w:rsidRPr="006F3B5C" w14:paraId="65E411D7"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D3" w14:textId="77777777" w:rsidR="00E7406A" w:rsidRPr="006F3B5C"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D4" w14:textId="77777777" w:rsidR="00E7406A" w:rsidRPr="006F3B5C" w:rsidRDefault="00E7406A" w:rsidP="0087122C">
            <w:pPr>
              <w:pStyle w:val="TableText"/>
              <w:jc w:val="center"/>
            </w:pPr>
            <w:r w:rsidRPr="006F3B5C">
              <w:t>Wilmington</w:t>
            </w:r>
          </w:p>
        </w:tc>
        <w:tc>
          <w:tcPr>
            <w:tcW w:w="2340" w:type="dxa"/>
            <w:tcBorders>
              <w:top w:val="single" w:sz="6" w:space="0" w:color="auto"/>
              <w:left w:val="single" w:sz="6" w:space="0" w:color="auto"/>
              <w:bottom w:val="single" w:sz="6" w:space="0" w:color="auto"/>
              <w:right w:val="single" w:sz="6" w:space="0" w:color="auto"/>
            </w:tcBorders>
          </w:tcPr>
          <w:p w14:paraId="65E411D5" w14:textId="77777777" w:rsidR="00E7406A" w:rsidRPr="006F3B5C" w:rsidRDefault="00E7406A" w:rsidP="0087122C">
            <w:pPr>
              <w:pStyle w:val="TableText"/>
              <w:jc w:val="center"/>
            </w:pPr>
          </w:p>
        </w:tc>
        <w:tc>
          <w:tcPr>
            <w:tcW w:w="2341" w:type="dxa"/>
            <w:tcBorders>
              <w:top w:val="single" w:sz="6" w:space="0" w:color="auto"/>
              <w:left w:val="single" w:sz="6" w:space="0" w:color="auto"/>
              <w:bottom w:val="single" w:sz="6" w:space="0" w:color="auto"/>
              <w:right w:val="single" w:sz="6" w:space="0" w:color="auto"/>
            </w:tcBorders>
          </w:tcPr>
          <w:p w14:paraId="65E411D6" w14:textId="77777777" w:rsidR="00E7406A" w:rsidRPr="006F3B5C" w:rsidRDefault="00E7406A" w:rsidP="0087122C">
            <w:pPr>
              <w:pStyle w:val="TableText"/>
              <w:jc w:val="center"/>
            </w:pPr>
            <w:r w:rsidRPr="006F3B5C">
              <w:t>San Diego</w:t>
            </w:r>
          </w:p>
        </w:tc>
      </w:tr>
      <w:tr w:rsidR="00E7406A" w:rsidRPr="006F3B5C" w14:paraId="65E411DD"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D8" w14:textId="77777777" w:rsidR="00E7406A" w:rsidRPr="006F3B5C"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D9" w14:textId="77777777" w:rsidR="00C67C61" w:rsidRPr="006F3B5C" w:rsidRDefault="00C67C61" w:rsidP="00C67C61">
            <w:pPr>
              <w:pStyle w:val="TableText"/>
              <w:jc w:val="center"/>
            </w:pPr>
            <w:r w:rsidRPr="006F3B5C">
              <w:t>National Capital</w:t>
            </w:r>
          </w:p>
          <w:p w14:paraId="65E411DA" w14:textId="77777777" w:rsidR="00E7406A" w:rsidRPr="006F3B5C" w:rsidRDefault="00C67C61" w:rsidP="00C67C61">
            <w:pPr>
              <w:pStyle w:val="TableText"/>
              <w:jc w:val="center"/>
            </w:pPr>
            <w:r w:rsidRPr="006F3B5C">
              <w:t>Region Benefits Office</w:t>
            </w:r>
          </w:p>
        </w:tc>
        <w:tc>
          <w:tcPr>
            <w:tcW w:w="2340" w:type="dxa"/>
            <w:tcBorders>
              <w:top w:val="single" w:sz="6" w:space="0" w:color="auto"/>
              <w:left w:val="single" w:sz="6" w:space="0" w:color="auto"/>
              <w:bottom w:val="single" w:sz="6" w:space="0" w:color="auto"/>
              <w:right w:val="single" w:sz="6" w:space="0" w:color="auto"/>
            </w:tcBorders>
          </w:tcPr>
          <w:p w14:paraId="65E411DB" w14:textId="77777777" w:rsidR="00E7406A" w:rsidRPr="006F3B5C" w:rsidRDefault="00E7406A" w:rsidP="0087122C">
            <w:pPr>
              <w:pStyle w:val="TableText"/>
              <w:jc w:val="center"/>
            </w:pPr>
          </w:p>
        </w:tc>
        <w:tc>
          <w:tcPr>
            <w:tcW w:w="2341" w:type="dxa"/>
            <w:tcBorders>
              <w:top w:val="single" w:sz="6" w:space="0" w:color="auto"/>
              <w:left w:val="single" w:sz="6" w:space="0" w:color="auto"/>
              <w:bottom w:val="single" w:sz="6" w:space="0" w:color="auto"/>
              <w:right w:val="single" w:sz="6" w:space="0" w:color="auto"/>
            </w:tcBorders>
          </w:tcPr>
          <w:p w14:paraId="65E411DC" w14:textId="77777777" w:rsidR="00E7406A" w:rsidRPr="006F3B5C" w:rsidRDefault="00E7406A" w:rsidP="0087122C">
            <w:pPr>
              <w:pStyle w:val="TableText"/>
              <w:jc w:val="center"/>
            </w:pPr>
            <w:r w:rsidRPr="006F3B5C">
              <w:t>Seattle</w:t>
            </w:r>
          </w:p>
        </w:tc>
      </w:tr>
      <w:tr w:rsidR="00E7406A" w:rsidRPr="006F3B5C" w14:paraId="65E411E2"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DE" w14:textId="77777777" w:rsidR="00E7406A" w:rsidRPr="006F3B5C"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DF" w14:textId="77777777" w:rsidR="00E7406A" w:rsidRPr="006F3B5C"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E0" w14:textId="77777777" w:rsidR="00E7406A" w:rsidRPr="006F3B5C" w:rsidRDefault="00E7406A" w:rsidP="0087122C">
            <w:pPr>
              <w:pStyle w:val="TableText"/>
              <w:jc w:val="center"/>
            </w:pPr>
          </w:p>
        </w:tc>
        <w:tc>
          <w:tcPr>
            <w:tcW w:w="2341" w:type="dxa"/>
            <w:tcBorders>
              <w:top w:val="single" w:sz="6" w:space="0" w:color="auto"/>
              <w:left w:val="single" w:sz="6" w:space="0" w:color="auto"/>
              <w:bottom w:val="single" w:sz="6" w:space="0" w:color="auto"/>
              <w:right w:val="single" w:sz="6" w:space="0" w:color="auto"/>
            </w:tcBorders>
          </w:tcPr>
          <w:p w14:paraId="65E411E1" w14:textId="77777777" w:rsidR="00E7406A" w:rsidRPr="006F3B5C" w:rsidRDefault="00E7406A" w:rsidP="0087122C">
            <w:pPr>
              <w:pStyle w:val="TableText"/>
              <w:jc w:val="center"/>
            </w:pPr>
            <w:r w:rsidRPr="006F3B5C">
              <w:t>Waco</w:t>
            </w:r>
          </w:p>
        </w:tc>
      </w:tr>
    </w:tbl>
    <w:p w14:paraId="65E411E3" w14:textId="3C90D842" w:rsidR="00E7406A" w:rsidRPr="0087122C" w:rsidRDefault="00E7406A">
      <w:pPr>
        <w:pStyle w:val="BlockLine"/>
      </w:pPr>
      <w:r w:rsidRPr="006F3B5C">
        <w:t xml:space="preserve"> </w:t>
      </w:r>
      <w:r w:rsidR="007746D7" w:rsidRPr="006F3B5C">
        <w:fldChar w:fldCharType="begin">
          <w:fldData xml:space="preserve">RABvAGMAVABlAG0AcAAxAFYAYQByAFQAcgBhAGQAaQB0AGkAbwBuAGEAbAA=
</w:fldData>
        </w:fldChar>
      </w:r>
      <w:r w:rsidR="007746D7" w:rsidRPr="006F3B5C">
        <w:instrText xml:space="preserve"> ADDIN  \* MERGEFORMAT </w:instrText>
      </w:r>
      <w:r w:rsidR="007746D7" w:rsidRPr="006F3B5C">
        <w:fldChar w:fldCharType="end"/>
      </w:r>
      <w:r w:rsidR="007746D7" w:rsidRPr="006F3B5C">
        <w:fldChar w:fldCharType="begin">
          <w:fldData xml:space="preserve">RgBvAG4AdABTAGUAdABpAG0AaQBzAHQAeQBsAGUAcwAuAHgAbQBsAA==
</w:fldData>
        </w:fldChar>
      </w:r>
      <w:r w:rsidR="007746D7" w:rsidRPr="006F3B5C">
        <w:instrText xml:space="preserve"> ADDIN  \* MERGEFORMAT </w:instrText>
      </w:r>
      <w:r w:rsidR="007746D7" w:rsidRPr="006F3B5C">
        <w:fldChar w:fldCharType="end"/>
      </w:r>
      <w:bookmarkStart w:id="67" w:name="_GoBack"/>
      <w:bookmarkEnd w:id="67"/>
    </w:p>
    <w:sectPr w:rsidR="00E7406A" w:rsidRPr="0087122C">
      <w:headerReference w:type="even" r:id="rId140"/>
      <w:headerReference w:type="default" r:id="rId141"/>
      <w:footerReference w:type="even" r:id="rId142"/>
      <w:footerReference w:type="default" r:id="rId143"/>
      <w:type w:val="oddPage"/>
      <w:pgSz w:w="12240" w:h="15840" w:code="1"/>
      <w:pgMar w:top="1296"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9E45B" w14:textId="77777777" w:rsidR="00DD59CE" w:rsidRDefault="00DD59CE">
      <w:r>
        <w:separator/>
      </w:r>
    </w:p>
  </w:endnote>
  <w:endnote w:type="continuationSeparator" w:id="0">
    <w:p w14:paraId="212B4372" w14:textId="77777777" w:rsidR="00DD59CE" w:rsidRDefault="00DD59CE">
      <w:r>
        <w:continuationSeparator/>
      </w:r>
    </w:p>
  </w:endnote>
  <w:endnote w:type="continuationNotice" w:id="1">
    <w:p w14:paraId="1585F190" w14:textId="77777777" w:rsidR="00DD59CE" w:rsidRDefault="00DD5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11FA" w14:textId="77777777" w:rsidR="00DD59CE" w:rsidRDefault="00DD59CE">
    <w:pPr>
      <w:pStyle w:val="Footer"/>
      <w:framePr w:wrap="around" w:vAnchor="text" w:hAnchor="margin" w:xAlign="outside" w:y="1"/>
      <w:rPr>
        <w:rStyle w:val="PageNumber"/>
        <w:b/>
        <w:bCs/>
      </w:rPr>
    </w:pPr>
    <w:r>
      <w:rPr>
        <w:rStyle w:val="PageNumber"/>
        <w:b/>
        <w:bCs/>
      </w:rPr>
      <w:t>2-</w:t>
    </w:r>
    <w:r>
      <w:rPr>
        <w:rStyle w:val="PageNumber"/>
        <w:b/>
        <w:bCs/>
      </w:rPr>
      <w:fldChar w:fldCharType="begin"/>
    </w:r>
    <w:r>
      <w:rPr>
        <w:rStyle w:val="PageNumber"/>
        <w:b/>
        <w:bCs/>
      </w:rPr>
      <w:instrText xml:space="preserve">PAGE  </w:instrText>
    </w:r>
    <w:r>
      <w:rPr>
        <w:rStyle w:val="PageNumber"/>
        <w:b/>
        <w:bCs/>
      </w:rPr>
      <w:fldChar w:fldCharType="separate"/>
    </w:r>
    <w:r w:rsidR="006F3B5C">
      <w:rPr>
        <w:rStyle w:val="PageNumber"/>
        <w:b/>
        <w:bCs/>
        <w:noProof/>
      </w:rPr>
      <w:t>2</w:t>
    </w:r>
    <w:r>
      <w:rPr>
        <w:rStyle w:val="PageNumber"/>
        <w:b/>
        <w:bCs/>
      </w:rPr>
      <w:fldChar w:fldCharType="end"/>
    </w:r>
  </w:p>
  <w:p w14:paraId="65E411FB" w14:textId="77777777" w:rsidR="00DD59CE" w:rsidRDefault="00DD59C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11FC" w14:textId="77777777" w:rsidR="00DD59CE" w:rsidRDefault="00DD59CE">
    <w:pPr>
      <w:pStyle w:val="Footer"/>
      <w:framePr w:wrap="around" w:vAnchor="text" w:hAnchor="margin" w:xAlign="outside" w:y="1"/>
      <w:rPr>
        <w:rStyle w:val="PageNumber"/>
        <w:b/>
        <w:bCs/>
      </w:rPr>
    </w:pPr>
    <w:r>
      <w:rPr>
        <w:rStyle w:val="PageNumber"/>
        <w:b/>
        <w:bCs/>
      </w:rPr>
      <w:t>2-</w:t>
    </w:r>
    <w:r>
      <w:rPr>
        <w:rStyle w:val="PageNumber"/>
        <w:b/>
        <w:bCs/>
      </w:rPr>
      <w:fldChar w:fldCharType="begin"/>
    </w:r>
    <w:r>
      <w:rPr>
        <w:rStyle w:val="PageNumber"/>
        <w:b/>
        <w:bCs/>
      </w:rPr>
      <w:instrText xml:space="preserve">PAGE  </w:instrText>
    </w:r>
    <w:r>
      <w:rPr>
        <w:rStyle w:val="PageNumber"/>
        <w:b/>
        <w:bCs/>
      </w:rPr>
      <w:fldChar w:fldCharType="separate"/>
    </w:r>
    <w:r w:rsidR="006F3B5C">
      <w:rPr>
        <w:rStyle w:val="PageNumber"/>
        <w:b/>
        <w:bCs/>
        <w:noProof/>
      </w:rPr>
      <w:t>1</w:t>
    </w:r>
    <w:r>
      <w:rPr>
        <w:rStyle w:val="PageNumber"/>
        <w:b/>
        <w:bCs/>
      </w:rPr>
      <w:fldChar w:fldCharType="end"/>
    </w:r>
  </w:p>
  <w:p w14:paraId="65E411FD" w14:textId="77777777" w:rsidR="00DD59CE" w:rsidRDefault="00DD59CE">
    <w:pPr>
      <w:pStyle w:val="Footer"/>
      <w:tabs>
        <w:tab w:val="left" w:pos="8983"/>
        <w:tab w:val="right" w:pos="9274"/>
        <w:tab w:val="right" w:pos="12960"/>
      </w:tabs>
      <w:ind w:right="360" w:firstLine="360"/>
      <w:jc w:val="center"/>
    </w:pP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7CF7" w14:textId="77777777" w:rsidR="00DD59CE" w:rsidRDefault="00DD59CE">
      <w:r>
        <w:separator/>
      </w:r>
    </w:p>
  </w:footnote>
  <w:footnote w:type="continuationSeparator" w:id="0">
    <w:p w14:paraId="2FA7BC3D" w14:textId="77777777" w:rsidR="00DD59CE" w:rsidRDefault="00DD59CE">
      <w:r>
        <w:continuationSeparator/>
      </w:r>
    </w:p>
  </w:footnote>
  <w:footnote w:type="continuationNotice" w:id="1">
    <w:p w14:paraId="24531F37" w14:textId="77777777" w:rsidR="00DD59CE" w:rsidRDefault="00DD59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11F8" w14:textId="77777777" w:rsidR="00DD59CE" w:rsidRDefault="00DD59CE">
    <w:pPr>
      <w:pStyle w:val="Header"/>
    </w:pPr>
    <w:r>
      <w:rPr>
        <w:b/>
        <w:bCs/>
      </w:rPr>
      <w:t>M21-1MR, Part IX, Subpart ii, Chapter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11F9" w14:textId="77777777" w:rsidR="00DD59CE" w:rsidRDefault="00DD59CE">
    <w:pPr>
      <w:pStyle w:val="Header"/>
      <w:tabs>
        <w:tab w:val="right" w:pos="12960"/>
      </w:tabs>
    </w:pPr>
    <w:r>
      <w:rPr>
        <w:b/>
      </w:rPr>
      <w:tab/>
    </w:r>
    <w:r>
      <w:rPr>
        <w:b/>
      </w:rPr>
      <w:tab/>
    </w:r>
    <w:r>
      <w:rPr>
        <w:b/>
        <w:bCs/>
      </w:rPr>
      <w:t>M21-1MR, Part IX, Subpart ii, Chapter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B699C"/>
    <w:multiLevelType w:val="hybridMultilevel"/>
    <w:tmpl w:val="9EF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B3D68"/>
    <w:multiLevelType w:val="hybridMultilevel"/>
    <w:tmpl w:val="F37C75D2"/>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Basic.xsl"/>
  </w:docVars>
  <w:rsids>
    <w:rsidRoot w:val="00F93E37"/>
    <w:rsid w:val="00000D65"/>
    <w:rsid w:val="00000F9B"/>
    <w:rsid w:val="0000622C"/>
    <w:rsid w:val="000113E5"/>
    <w:rsid w:val="00026BE8"/>
    <w:rsid w:val="00035B6B"/>
    <w:rsid w:val="0004265A"/>
    <w:rsid w:val="0005554D"/>
    <w:rsid w:val="00064246"/>
    <w:rsid w:val="00064404"/>
    <w:rsid w:val="00070154"/>
    <w:rsid w:val="000711AA"/>
    <w:rsid w:val="000731A1"/>
    <w:rsid w:val="00074DCC"/>
    <w:rsid w:val="00076570"/>
    <w:rsid w:val="00080431"/>
    <w:rsid w:val="000871D4"/>
    <w:rsid w:val="000875A7"/>
    <w:rsid w:val="000A1E83"/>
    <w:rsid w:val="000A56A6"/>
    <w:rsid w:val="000B0155"/>
    <w:rsid w:val="000B3F0F"/>
    <w:rsid w:val="000B4475"/>
    <w:rsid w:val="000B542F"/>
    <w:rsid w:val="000B6B7D"/>
    <w:rsid w:val="000B7F46"/>
    <w:rsid w:val="000C1FF7"/>
    <w:rsid w:val="000C48A1"/>
    <w:rsid w:val="000D039D"/>
    <w:rsid w:val="000D5606"/>
    <w:rsid w:val="000D5782"/>
    <w:rsid w:val="000D5C1D"/>
    <w:rsid w:val="000E14BF"/>
    <w:rsid w:val="000E180C"/>
    <w:rsid w:val="000F2D73"/>
    <w:rsid w:val="00112332"/>
    <w:rsid w:val="00112A34"/>
    <w:rsid w:val="001150F4"/>
    <w:rsid w:val="00131F05"/>
    <w:rsid w:val="0013269E"/>
    <w:rsid w:val="001327A1"/>
    <w:rsid w:val="001506A7"/>
    <w:rsid w:val="001523F7"/>
    <w:rsid w:val="00162F8F"/>
    <w:rsid w:val="001635FD"/>
    <w:rsid w:val="001661F9"/>
    <w:rsid w:val="00171581"/>
    <w:rsid w:val="001746E6"/>
    <w:rsid w:val="001842D0"/>
    <w:rsid w:val="00187A04"/>
    <w:rsid w:val="00195B7F"/>
    <w:rsid w:val="001A1EFA"/>
    <w:rsid w:val="001C19D8"/>
    <w:rsid w:val="001C2B9F"/>
    <w:rsid w:val="001C32F3"/>
    <w:rsid w:val="001C553F"/>
    <w:rsid w:val="001C5A8F"/>
    <w:rsid w:val="001E010F"/>
    <w:rsid w:val="001E2C18"/>
    <w:rsid w:val="001E66A9"/>
    <w:rsid w:val="001F3886"/>
    <w:rsid w:val="001F4118"/>
    <w:rsid w:val="00204F6F"/>
    <w:rsid w:val="002064B2"/>
    <w:rsid w:val="00210EC0"/>
    <w:rsid w:val="00215025"/>
    <w:rsid w:val="00215B49"/>
    <w:rsid w:val="00215FA4"/>
    <w:rsid w:val="00220FFE"/>
    <w:rsid w:val="002237B0"/>
    <w:rsid w:val="00223FA3"/>
    <w:rsid w:val="00224907"/>
    <w:rsid w:val="00235580"/>
    <w:rsid w:val="00236CF0"/>
    <w:rsid w:val="00236F57"/>
    <w:rsid w:val="00243C17"/>
    <w:rsid w:val="00243CA4"/>
    <w:rsid w:val="002445B6"/>
    <w:rsid w:val="00245E8A"/>
    <w:rsid w:val="00252B10"/>
    <w:rsid w:val="00254FA8"/>
    <w:rsid w:val="002572D1"/>
    <w:rsid w:val="0026526A"/>
    <w:rsid w:val="002674F3"/>
    <w:rsid w:val="00270A89"/>
    <w:rsid w:val="0028260D"/>
    <w:rsid w:val="0028481C"/>
    <w:rsid w:val="0028511C"/>
    <w:rsid w:val="00287A82"/>
    <w:rsid w:val="002A20DC"/>
    <w:rsid w:val="002A2D32"/>
    <w:rsid w:val="002A33EA"/>
    <w:rsid w:val="002A6BAA"/>
    <w:rsid w:val="002A739D"/>
    <w:rsid w:val="002B6C1D"/>
    <w:rsid w:val="002C73AC"/>
    <w:rsid w:val="002D58FB"/>
    <w:rsid w:val="002E3178"/>
    <w:rsid w:val="002F185F"/>
    <w:rsid w:val="002F295B"/>
    <w:rsid w:val="002F62D0"/>
    <w:rsid w:val="00300066"/>
    <w:rsid w:val="0030555E"/>
    <w:rsid w:val="00306CA6"/>
    <w:rsid w:val="00311F8C"/>
    <w:rsid w:val="00323B30"/>
    <w:rsid w:val="0032444F"/>
    <w:rsid w:val="00324D96"/>
    <w:rsid w:val="00325403"/>
    <w:rsid w:val="00331C3F"/>
    <w:rsid w:val="0033223A"/>
    <w:rsid w:val="0033523E"/>
    <w:rsid w:val="003369C7"/>
    <w:rsid w:val="00342CCE"/>
    <w:rsid w:val="003453F1"/>
    <w:rsid w:val="0034689A"/>
    <w:rsid w:val="00347AF1"/>
    <w:rsid w:val="003555DA"/>
    <w:rsid w:val="00360845"/>
    <w:rsid w:val="00363964"/>
    <w:rsid w:val="00363FCB"/>
    <w:rsid w:val="003721D3"/>
    <w:rsid w:val="00372694"/>
    <w:rsid w:val="00377982"/>
    <w:rsid w:val="003805B3"/>
    <w:rsid w:val="00383FCD"/>
    <w:rsid w:val="00385E0D"/>
    <w:rsid w:val="0039351B"/>
    <w:rsid w:val="00393FFA"/>
    <w:rsid w:val="00397147"/>
    <w:rsid w:val="003A17F5"/>
    <w:rsid w:val="003A214B"/>
    <w:rsid w:val="003A5ADE"/>
    <w:rsid w:val="003A7C2F"/>
    <w:rsid w:val="003C0EB4"/>
    <w:rsid w:val="003D0078"/>
    <w:rsid w:val="003D11AA"/>
    <w:rsid w:val="003D2B74"/>
    <w:rsid w:val="003D5CC8"/>
    <w:rsid w:val="003E4F9E"/>
    <w:rsid w:val="003F053D"/>
    <w:rsid w:val="003F69C8"/>
    <w:rsid w:val="00405F56"/>
    <w:rsid w:val="0040615B"/>
    <w:rsid w:val="00407928"/>
    <w:rsid w:val="004112C5"/>
    <w:rsid w:val="004263F8"/>
    <w:rsid w:val="00427411"/>
    <w:rsid w:val="00431598"/>
    <w:rsid w:val="00436CCC"/>
    <w:rsid w:val="0044027D"/>
    <w:rsid w:val="00455B73"/>
    <w:rsid w:val="00466658"/>
    <w:rsid w:val="00466F61"/>
    <w:rsid w:val="00470173"/>
    <w:rsid w:val="004746EB"/>
    <w:rsid w:val="00482DE4"/>
    <w:rsid w:val="00491BC5"/>
    <w:rsid w:val="004934D9"/>
    <w:rsid w:val="00494024"/>
    <w:rsid w:val="00496259"/>
    <w:rsid w:val="004A5AD0"/>
    <w:rsid w:val="004B331E"/>
    <w:rsid w:val="004B5F94"/>
    <w:rsid w:val="004B65E0"/>
    <w:rsid w:val="004C2465"/>
    <w:rsid w:val="004C42DB"/>
    <w:rsid w:val="004C7C93"/>
    <w:rsid w:val="004D335E"/>
    <w:rsid w:val="004D341E"/>
    <w:rsid w:val="004E41DA"/>
    <w:rsid w:val="004E6C15"/>
    <w:rsid w:val="004E6C99"/>
    <w:rsid w:val="004F2379"/>
    <w:rsid w:val="004F2910"/>
    <w:rsid w:val="004F7601"/>
    <w:rsid w:val="00505968"/>
    <w:rsid w:val="00510367"/>
    <w:rsid w:val="00514EC9"/>
    <w:rsid w:val="005234CC"/>
    <w:rsid w:val="00523739"/>
    <w:rsid w:val="005254FD"/>
    <w:rsid w:val="00532CE2"/>
    <w:rsid w:val="00542B6B"/>
    <w:rsid w:val="00550D02"/>
    <w:rsid w:val="0055224C"/>
    <w:rsid w:val="00555620"/>
    <w:rsid w:val="00561A10"/>
    <w:rsid w:val="0056364B"/>
    <w:rsid w:val="00565A9F"/>
    <w:rsid w:val="00567D81"/>
    <w:rsid w:val="005737CC"/>
    <w:rsid w:val="00580362"/>
    <w:rsid w:val="005826D2"/>
    <w:rsid w:val="00584B35"/>
    <w:rsid w:val="0059036E"/>
    <w:rsid w:val="00594F6E"/>
    <w:rsid w:val="005A60E4"/>
    <w:rsid w:val="005B5150"/>
    <w:rsid w:val="005B713D"/>
    <w:rsid w:val="005C0C37"/>
    <w:rsid w:val="005C1790"/>
    <w:rsid w:val="005C2B29"/>
    <w:rsid w:val="005C37F7"/>
    <w:rsid w:val="005D1475"/>
    <w:rsid w:val="005E0BF2"/>
    <w:rsid w:val="005E7F5C"/>
    <w:rsid w:val="006000B6"/>
    <w:rsid w:val="0060145B"/>
    <w:rsid w:val="00604679"/>
    <w:rsid w:val="00606B4E"/>
    <w:rsid w:val="00612B07"/>
    <w:rsid w:val="00614460"/>
    <w:rsid w:val="0061585E"/>
    <w:rsid w:val="006200E2"/>
    <w:rsid w:val="006247F8"/>
    <w:rsid w:val="00624D0A"/>
    <w:rsid w:val="0062602A"/>
    <w:rsid w:val="00627477"/>
    <w:rsid w:val="0063486D"/>
    <w:rsid w:val="0063491C"/>
    <w:rsid w:val="0063578A"/>
    <w:rsid w:val="006359B8"/>
    <w:rsid w:val="00640F06"/>
    <w:rsid w:val="00643385"/>
    <w:rsid w:val="00645E50"/>
    <w:rsid w:val="006565C3"/>
    <w:rsid w:val="00656D6C"/>
    <w:rsid w:val="00660219"/>
    <w:rsid w:val="00661B07"/>
    <w:rsid w:val="00661D98"/>
    <w:rsid w:val="00665B93"/>
    <w:rsid w:val="00671429"/>
    <w:rsid w:val="00683896"/>
    <w:rsid w:val="006839DB"/>
    <w:rsid w:val="00684C75"/>
    <w:rsid w:val="00685B34"/>
    <w:rsid w:val="00690F2A"/>
    <w:rsid w:val="00694EA7"/>
    <w:rsid w:val="006A3279"/>
    <w:rsid w:val="006A4012"/>
    <w:rsid w:val="006B1449"/>
    <w:rsid w:val="006B295A"/>
    <w:rsid w:val="006B778D"/>
    <w:rsid w:val="006D1920"/>
    <w:rsid w:val="006D3A78"/>
    <w:rsid w:val="006D562C"/>
    <w:rsid w:val="006E2855"/>
    <w:rsid w:val="006E5195"/>
    <w:rsid w:val="006F2185"/>
    <w:rsid w:val="006F3B5C"/>
    <w:rsid w:val="006F4AE6"/>
    <w:rsid w:val="006F58B0"/>
    <w:rsid w:val="0070404C"/>
    <w:rsid w:val="00704B02"/>
    <w:rsid w:val="007120F2"/>
    <w:rsid w:val="00712C7B"/>
    <w:rsid w:val="00716A5B"/>
    <w:rsid w:val="00727D9E"/>
    <w:rsid w:val="00727DC3"/>
    <w:rsid w:val="00732367"/>
    <w:rsid w:val="0073423A"/>
    <w:rsid w:val="00743F0E"/>
    <w:rsid w:val="00746E62"/>
    <w:rsid w:val="00750965"/>
    <w:rsid w:val="007659FC"/>
    <w:rsid w:val="00766961"/>
    <w:rsid w:val="00772C32"/>
    <w:rsid w:val="007746D7"/>
    <w:rsid w:val="007747F2"/>
    <w:rsid w:val="0077766E"/>
    <w:rsid w:val="00777875"/>
    <w:rsid w:val="0079079A"/>
    <w:rsid w:val="00793448"/>
    <w:rsid w:val="007A4AC5"/>
    <w:rsid w:val="007B1D9E"/>
    <w:rsid w:val="007B3C30"/>
    <w:rsid w:val="007C19BA"/>
    <w:rsid w:val="007C27BC"/>
    <w:rsid w:val="007C28BD"/>
    <w:rsid w:val="007F23EF"/>
    <w:rsid w:val="007F342D"/>
    <w:rsid w:val="007F4F6B"/>
    <w:rsid w:val="007F7EB0"/>
    <w:rsid w:val="00805096"/>
    <w:rsid w:val="00806227"/>
    <w:rsid w:val="00810C95"/>
    <w:rsid w:val="00814B41"/>
    <w:rsid w:val="00816E53"/>
    <w:rsid w:val="008173DF"/>
    <w:rsid w:val="008220D6"/>
    <w:rsid w:val="00830C70"/>
    <w:rsid w:val="00834054"/>
    <w:rsid w:val="008471C6"/>
    <w:rsid w:val="008572C7"/>
    <w:rsid w:val="00862AF8"/>
    <w:rsid w:val="008649A7"/>
    <w:rsid w:val="00864BF2"/>
    <w:rsid w:val="008668F0"/>
    <w:rsid w:val="0086704B"/>
    <w:rsid w:val="0087122C"/>
    <w:rsid w:val="00871638"/>
    <w:rsid w:val="00874D41"/>
    <w:rsid w:val="00874DEC"/>
    <w:rsid w:val="008823C8"/>
    <w:rsid w:val="008823E5"/>
    <w:rsid w:val="00890B16"/>
    <w:rsid w:val="00890B2A"/>
    <w:rsid w:val="008914A2"/>
    <w:rsid w:val="00894774"/>
    <w:rsid w:val="0089632C"/>
    <w:rsid w:val="00896927"/>
    <w:rsid w:val="008A02D4"/>
    <w:rsid w:val="008A04E7"/>
    <w:rsid w:val="008A208C"/>
    <w:rsid w:val="008A3842"/>
    <w:rsid w:val="008B36F8"/>
    <w:rsid w:val="008B553F"/>
    <w:rsid w:val="008B7568"/>
    <w:rsid w:val="008C0C59"/>
    <w:rsid w:val="008C330E"/>
    <w:rsid w:val="008C55E0"/>
    <w:rsid w:val="008C5FE2"/>
    <w:rsid w:val="008C76F9"/>
    <w:rsid w:val="008D01CE"/>
    <w:rsid w:val="008D243D"/>
    <w:rsid w:val="008D304B"/>
    <w:rsid w:val="008D5573"/>
    <w:rsid w:val="008D5755"/>
    <w:rsid w:val="008E2A45"/>
    <w:rsid w:val="008F3800"/>
    <w:rsid w:val="009000A5"/>
    <w:rsid w:val="0090070B"/>
    <w:rsid w:val="00904A5B"/>
    <w:rsid w:val="00907CB1"/>
    <w:rsid w:val="009107FC"/>
    <w:rsid w:val="00921163"/>
    <w:rsid w:val="00926153"/>
    <w:rsid w:val="00930474"/>
    <w:rsid w:val="00932BA5"/>
    <w:rsid w:val="009357B4"/>
    <w:rsid w:val="0094187F"/>
    <w:rsid w:val="00944192"/>
    <w:rsid w:val="0095102A"/>
    <w:rsid w:val="009557DC"/>
    <w:rsid w:val="00956326"/>
    <w:rsid w:val="00967F80"/>
    <w:rsid w:val="009735A3"/>
    <w:rsid w:val="009808FE"/>
    <w:rsid w:val="00986504"/>
    <w:rsid w:val="00996D24"/>
    <w:rsid w:val="009A376B"/>
    <w:rsid w:val="009B2BD8"/>
    <w:rsid w:val="009C67CE"/>
    <w:rsid w:val="009D5C8A"/>
    <w:rsid w:val="009D629B"/>
    <w:rsid w:val="009E48E2"/>
    <w:rsid w:val="009E6796"/>
    <w:rsid w:val="009F352A"/>
    <w:rsid w:val="009F38DC"/>
    <w:rsid w:val="00A05EBA"/>
    <w:rsid w:val="00A06791"/>
    <w:rsid w:val="00A1334D"/>
    <w:rsid w:val="00A17E03"/>
    <w:rsid w:val="00A208B5"/>
    <w:rsid w:val="00A23A35"/>
    <w:rsid w:val="00A23E38"/>
    <w:rsid w:val="00A331F6"/>
    <w:rsid w:val="00A36058"/>
    <w:rsid w:val="00A4179D"/>
    <w:rsid w:val="00A4698C"/>
    <w:rsid w:val="00A50476"/>
    <w:rsid w:val="00A55561"/>
    <w:rsid w:val="00A5558E"/>
    <w:rsid w:val="00A57B28"/>
    <w:rsid w:val="00A63B99"/>
    <w:rsid w:val="00A64184"/>
    <w:rsid w:val="00A7151E"/>
    <w:rsid w:val="00A756D6"/>
    <w:rsid w:val="00A76284"/>
    <w:rsid w:val="00A77F8B"/>
    <w:rsid w:val="00A82436"/>
    <w:rsid w:val="00A8428B"/>
    <w:rsid w:val="00A84C8E"/>
    <w:rsid w:val="00A84D99"/>
    <w:rsid w:val="00A931DE"/>
    <w:rsid w:val="00AA2C4E"/>
    <w:rsid w:val="00AA7412"/>
    <w:rsid w:val="00AB23AD"/>
    <w:rsid w:val="00AB32A7"/>
    <w:rsid w:val="00AB6D8F"/>
    <w:rsid w:val="00AC1409"/>
    <w:rsid w:val="00AC38E7"/>
    <w:rsid w:val="00AD0A41"/>
    <w:rsid w:val="00AD4CED"/>
    <w:rsid w:val="00AE1937"/>
    <w:rsid w:val="00AE6E0F"/>
    <w:rsid w:val="00AF1785"/>
    <w:rsid w:val="00B032B2"/>
    <w:rsid w:val="00B10C0B"/>
    <w:rsid w:val="00B129B1"/>
    <w:rsid w:val="00B16AB0"/>
    <w:rsid w:val="00B23B08"/>
    <w:rsid w:val="00B3338C"/>
    <w:rsid w:val="00B40330"/>
    <w:rsid w:val="00B510CA"/>
    <w:rsid w:val="00B62806"/>
    <w:rsid w:val="00B63691"/>
    <w:rsid w:val="00B63F79"/>
    <w:rsid w:val="00B81FA6"/>
    <w:rsid w:val="00B9113C"/>
    <w:rsid w:val="00B9181B"/>
    <w:rsid w:val="00B93F22"/>
    <w:rsid w:val="00BA24B2"/>
    <w:rsid w:val="00BA2B0E"/>
    <w:rsid w:val="00BC1F9B"/>
    <w:rsid w:val="00BF15A8"/>
    <w:rsid w:val="00BF167A"/>
    <w:rsid w:val="00BF3646"/>
    <w:rsid w:val="00BF4B71"/>
    <w:rsid w:val="00C2060E"/>
    <w:rsid w:val="00C25A7D"/>
    <w:rsid w:val="00C31155"/>
    <w:rsid w:val="00C33E60"/>
    <w:rsid w:val="00C342E3"/>
    <w:rsid w:val="00C354E4"/>
    <w:rsid w:val="00C36DBD"/>
    <w:rsid w:val="00C46CE0"/>
    <w:rsid w:val="00C51E23"/>
    <w:rsid w:val="00C5274F"/>
    <w:rsid w:val="00C53609"/>
    <w:rsid w:val="00C539B7"/>
    <w:rsid w:val="00C548E4"/>
    <w:rsid w:val="00C54F6C"/>
    <w:rsid w:val="00C55475"/>
    <w:rsid w:val="00C557A1"/>
    <w:rsid w:val="00C559EE"/>
    <w:rsid w:val="00C567BE"/>
    <w:rsid w:val="00C615B6"/>
    <w:rsid w:val="00C638DF"/>
    <w:rsid w:val="00C6457C"/>
    <w:rsid w:val="00C65DEF"/>
    <w:rsid w:val="00C67C61"/>
    <w:rsid w:val="00C7308B"/>
    <w:rsid w:val="00C7461D"/>
    <w:rsid w:val="00C75E8C"/>
    <w:rsid w:val="00C8072F"/>
    <w:rsid w:val="00C82ABD"/>
    <w:rsid w:val="00C83CEE"/>
    <w:rsid w:val="00C936AB"/>
    <w:rsid w:val="00CA2EB8"/>
    <w:rsid w:val="00CA33BB"/>
    <w:rsid w:val="00CA49C1"/>
    <w:rsid w:val="00CB72B8"/>
    <w:rsid w:val="00CC1C19"/>
    <w:rsid w:val="00CC4AAC"/>
    <w:rsid w:val="00CD1001"/>
    <w:rsid w:val="00CD279C"/>
    <w:rsid w:val="00CE11BA"/>
    <w:rsid w:val="00CE45DB"/>
    <w:rsid w:val="00CE4786"/>
    <w:rsid w:val="00CE792B"/>
    <w:rsid w:val="00CF3A33"/>
    <w:rsid w:val="00CF51C0"/>
    <w:rsid w:val="00CF7ED8"/>
    <w:rsid w:val="00D04DF3"/>
    <w:rsid w:val="00D072FA"/>
    <w:rsid w:val="00D114D9"/>
    <w:rsid w:val="00D1219B"/>
    <w:rsid w:val="00D14C4D"/>
    <w:rsid w:val="00D2324C"/>
    <w:rsid w:val="00D31419"/>
    <w:rsid w:val="00D32E42"/>
    <w:rsid w:val="00D40AF6"/>
    <w:rsid w:val="00D41D84"/>
    <w:rsid w:val="00D423C6"/>
    <w:rsid w:val="00D426E6"/>
    <w:rsid w:val="00D4345A"/>
    <w:rsid w:val="00D455FE"/>
    <w:rsid w:val="00D45F4F"/>
    <w:rsid w:val="00D505D5"/>
    <w:rsid w:val="00D547AB"/>
    <w:rsid w:val="00D61BED"/>
    <w:rsid w:val="00D65B12"/>
    <w:rsid w:val="00D67748"/>
    <w:rsid w:val="00D71F55"/>
    <w:rsid w:val="00D72E68"/>
    <w:rsid w:val="00D76FF0"/>
    <w:rsid w:val="00D80127"/>
    <w:rsid w:val="00D84B1D"/>
    <w:rsid w:val="00D90798"/>
    <w:rsid w:val="00D91CB9"/>
    <w:rsid w:val="00D95D3F"/>
    <w:rsid w:val="00DB42BA"/>
    <w:rsid w:val="00DC09B5"/>
    <w:rsid w:val="00DC2E68"/>
    <w:rsid w:val="00DD091B"/>
    <w:rsid w:val="00DD45B8"/>
    <w:rsid w:val="00DD4D70"/>
    <w:rsid w:val="00DD59CE"/>
    <w:rsid w:val="00DD6E23"/>
    <w:rsid w:val="00DE0808"/>
    <w:rsid w:val="00DE3240"/>
    <w:rsid w:val="00DE643F"/>
    <w:rsid w:val="00DE6890"/>
    <w:rsid w:val="00DF5860"/>
    <w:rsid w:val="00E0435C"/>
    <w:rsid w:val="00E10DA9"/>
    <w:rsid w:val="00E2278F"/>
    <w:rsid w:val="00E22B5E"/>
    <w:rsid w:val="00E23B8A"/>
    <w:rsid w:val="00E24D26"/>
    <w:rsid w:val="00E35B41"/>
    <w:rsid w:val="00E408CB"/>
    <w:rsid w:val="00E41022"/>
    <w:rsid w:val="00E7406A"/>
    <w:rsid w:val="00E7673F"/>
    <w:rsid w:val="00E85335"/>
    <w:rsid w:val="00E90675"/>
    <w:rsid w:val="00E92A68"/>
    <w:rsid w:val="00E96154"/>
    <w:rsid w:val="00EA09C5"/>
    <w:rsid w:val="00EA24A2"/>
    <w:rsid w:val="00EA25E6"/>
    <w:rsid w:val="00EA54CE"/>
    <w:rsid w:val="00EA7D2D"/>
    <w:rsid w:val="00EB1C33"/>
    <w:rsid w:val="00EB756F"/>
    <w:rsid w:val="00ED0DB3"/>
    <w:rsid w:val="00ED6161"/>
    <w:rsid w:val="00ED6911"/>
    <w:rsid w:val="00ED7FFE"/>
    <w:rsid w:val="00EE2547"/>
    <w:rsid w:val="00EE3CA9"/>
    <w:rsid w:val="00EE3FF0"/>
    <w:rsid w:val="00EE540F"/>
    <w:rsid w:val="00EF0D70"/>
    <w:rsid w:val="00EF1516"/>
    <w:rsid w:val="00EF7B79"/>
    <w:rsid w:val="00F15381"/>
    <w:rsid w:val="00F207AB"/>
    <w:rsid w:val="00F250B2"/>
    <w:rsid w:val="00F45377"/>
    <w:rsid w:val="00F45CD8"/>
    <w:rsid w:val="00F46252"/>
    <w:rsid w:val="00F50B86"/>
    <w:rsid w:val="00F54D6D"/>
    <w:rsid w:val="00F675D6"/>
    <w:rsid w:val="00F80E39"/>
    <w:rsid w:val="00F812F9"/>
    <w:rsid w:val="00F828EB"/>
    <w:rsid w:val="00F863A8"/>
    <w:rsid w:val="00F86740"/>
    <w:rsid w:val="00F87B47"/>
    <w:rsid w:val="00F90023"/>
    <w:rsid w:val="00F92BF2"/>
    <w:rsid w:val="00F93E37"/>
    <w:rsid w:val="00FA2E05"/>
    <w:rsid w:val="00FA7452"/>
    <w:rsid w:val="00FB441B"/>
    <w:rsid w:val="00FC46B3"/>
    <w:rsid w:val="00FC4D07"/>
    <w:rsid w:val="00FC5C50"/>
    <w:rsid w:val="00FE3386"/>
    <w:rsid w:val="00FE3AF3"/>
    <w:rsid w:val="00FF3BA4"/>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E4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2C"/>
    <w:rPr>
      <w:color w:val="000000"/>
      <w:sz w:val="24"/>
      <w:szCs w:val="24"/>
    </w:rPr>
  </w:style>
  <w:style w:type="paragraph" w:styleId="Heading1">
    <w:name w:val="heading 1"/>
    <w:aliases w:val="Part Title"/>
    <w:basedOn w:val="Normal"/>
    <w:next w:val="Heading4"/>
    <w:qFormat/>
    <w:rsid w:val="0087122C"/>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87122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87122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7122C"/>
    <w:pPr>
      <w:spacing w:after="240"/>
      <w:outlineLvl w:val="3"/>
    </w:pPr>
    <w:rPr>
      <w:rFonts w:ascii="Arial" w:hAnsi="Arial" w:cs="Arial"/>
      <w:b/>
      <w:sz w:val="32"/>
      <w:szCs w:val="20"/>
    </w:rPr>
  </w:style>
  <w:style w:type="paragraph" w:styleId="Heading5">
    <w:name w:val="heading 5"/>
    <w:aliases w:val="Block Label"/>
    <w:basedOn w:val="Normal"/>
    <w:qFormat/>
    <w:rsid w:val="0087122C"/>
    <w:pPr>
      <w:outlineLvl w:val="4"/>
    </w:pPr>
    <w:rPr>
      <w:b/>
      <w:sz w:val="22"/>
      <w:szCs w:val="20"/>
    </w:rPr>
  </w:style>
  <w:style w:type="paragraph" w:styleId="Heading6">
    <w:name w:val="heading 6"/>
    <w:aliases w:val="Sub Label"/>
    <w:basedOn w:val="Heading5"/>
    <w:next w:val="BlockText"/>
    <w:rsid w:val="0087122C"/>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22C"/>
    <w:pPr>
      <w:tabs>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87122C"/>
    <w:pPr>
      <w:pBdr>
        <w:top w:val="single" w:sz="6" w:space="1" w:color="000000"/>
        <w:between w:val="single" w:sz="6" w:space="1" w:color="auto"/>
      </w:pBdr>
      <w:spacing w:before="240"/>
      <w:ind w:left="1728"/>
    </w:pPr>
    <w:rPr>
      <w:szCs w:val="20"/>
    </w:rPr>
  </w:style>
  <w:style w:type="paragraph" w:styleId="BlockText">
    <w:name w:val="Block Text"/>
    <w:basedOn w:val="Normal"/>
    <w:qFormat/>
    <w:rsid w:val="0087122C"/>
  </w:style>
  <w:style w:type="paragraph" w:customStyle="1" w:styleId="BulletText1">
    <w:name w:val="Bullet Text 1"/>
    <w:basedOn w:val="Normal"/>
    <w:qFormat/>
    <w:rsid w:val="0087122C"/>
    <w:pPr>
      <w:numPr>
        <w:numId w:val="1"/>
      </w:numPr>
    </w:pPr>
    <w:rPr>
      <w:szCs w:val="20"/>
    </w:rPr>
  </w:style>
  <w:style w:type="paragraph" w:customStyle="1" w:styleId="BulletText2">
    <w:name w:val="Bullet Text 2"/>
    <w:basedOn w:val="Normal"/>
    <w:rsid w:val="0087122C"/>
    <w:pPr>
      <w:numPr>
        <w:numId w:val="2"/>
      </w:numPr>
      <w:ind w:left="346"/>
    </w:pPr>
    <w:rPr>
      <w:szCs w:val="20"/>
    </w:rPr>
  </w:style>
  <w:style w:type="paragraph" w:customStyle="1" w:styleId="ContinuedOnNextPa">
    <w:name w:val="Continued On Next Pa"/>
    <w:basedOn w:val="Normal"/>
    <w:next w:val="Normal"/>
    <w:rsid w:val="0087122C"/>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7122C"/>
    <w:pPr>
      <w:spacing w:after="240"/>
    </w:pPr>
    <w:rPr>
      <w:b/>
      <w:sz w:val="22"/>
      <w:szCs w:val="20"/>
    </w:rPr>
  </w:style>
  <w:style w:type="paragraph" w:customStyle="1" w:styleId="MapTitleContinued">
    <w:name w:val="Map Title. Continued"/>
    <w:basedOn w:val="Normal"/>
    <w:next w:val="Normal"/>
    <w:rsid w:val="0087122C"/>
    <w:pPr>
      <w:spacing w:after="240"/>
    </w:pPr>
    <w:rPr>
      <w:rFonts w:ascii="Arial" w:hAnsi="Arial" w:cs="Arial"/>
      <w:b/>
      <w:sz w:val="32"/>
      <w:szCs w:val="20"/>
    </w:rPr>
  </w:style>
  <w:style w:type="paragraph" w:customStyle="1" w:styleId="MemoLine">
    <w:name w:val="Memo Line"/>
    <w:basedOn w:val="BlockLine"/>
    <w:next w:val="Normal"/>
    <w:rsid w:val="0087122C"/>
    <w:pPr>
      <w:ind w:left="0"/>
    </w:pPr>
  </w:style>
  <w:style w:type="paragraph" w:styleId="Footer">
    <w:name w:val="footer"/>
    <w:basedOn w:val="Normal"/>
    <w:link w:val="FooterChar"/>
    <w:rsid w:val="0087122C"/>
    <w:pPr>
      <w:tabs>
        <w:tab w:val="center" w:pos="4680"/>
        <w:tab w:val="right" w:pos="9360"/>
      </w:tabs>
    </w:pPr>
    <w:rPr>
      <w:sz w:val="20"/>
    </w:rPr>
  </w:style>
  <w:style w:type="character" w:styleId="PageNumber">
    <w:name w:val="page number"/>
    <w:basedOn w:val="DefaultParagraphFont"/>
    <w:semiHidden/>
  </w:style>
  <w:style w:type="paragraph" w:customStyle="1" w:styleId="TableText">
    <w:name w:val="Table Text"/>
    <w:basedOn w:val="Normal"/>
    <w:qFormat/>
    <w:rsid w:val="0087122C"/>
    <w:rPr>
      <w:szCs w:val="20"/>
    </w:rPr>
  </w:style>
  <w:style w:type="paragraph" w:customStyle="1" w:styleId="NoteText">
    <w:name w:val="Note Text"/>
    <w:basedOn w:val="Normal"/>
    <w:rsid w:val="0087122C"/>
    <w:rPr>
      <w:szCs w:val="20"/>
    </w:rPr>
  </w:style>
  <w:style w:type="paragraph" w:customStyle="1" w:styleId="TableHeaderText">
    <w:name w:val="Table Header Text"/>
    <w:basedOn w:val="Normal"/>
    <w:rsid w:val="0087122C"/>
    <w:pPr>
      <w:jc w:val="center"/>
    </w:pPr>
    <w:rPr>
      <w:b/>
      <w:szCs w:val="20"/>
    </w:rPr>
  </w:style>
  <w:style w:type="paragraph" w:customStyle="1" w:styleId="EmbeddedText">
    <w:name w:val="Embedded Text"/>
    <w:basedOn w:val="Normal"/>
    <w:rsid w:val="0087122C"/>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87122C"/>
    <w:pPr>
      <w:ind w:left="480"/>
    </w:pPr>
  </w:style>
  <w:style w:type="paragraph" w:styleId="TOC4">
    <w:name w:val="toc 4"/>
    <w:basedOn w:val="Normal"/>
    <w:next w:val="Normal"/>
    <w:autoRedefine/>
    <w:uiPriority w:val="39"/>
    <w:rsid w:val="0087122C"/>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87122C"/>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87122C"/>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87122C"/>
    <w:pPr>
      <w:spacing w:after="240"/>
      <w:jc w:val="center"/>
    </w:pPr>
    <w:rPr>
      <w:rFonts w:ascii="Arial" w:hAnsi="Arial" w:cs="Arial"/>
      <w:b/>
      <w:sz w:val="32"/>
      <w:szCs w:val="20"/>
    </w:rPr>
  </w:style>
  <w:style w:type="paragraph" w:customStyle="1" w:styleId="TOCTitle">
    <w:name w:val="TOC Title"/>
    <w:basedOn w:val="Normal"/>
    <w:rsid w:val="0087122C"/>
    <w:pPr>
      <w:widowControl w:val="0"/>
    </w:pPr>
    <w:rPr>
      <w:rFonts w:ascii="Arial" w:hAnsi="Arial" w:cs="Arial"/>
      <w:b/>
      <w:sz w:val="32"/>
      <w:szCs w:val="20"/>
    </w:rPr>
  </w:style>
  <w:style w:type="paragraph" w:customStyle="1" w:styleId="TOCItem">
    <w:name w:val="TOCItem"/>
    <w:basedOn w:val="Normal"/>
    <w:rsid w:val="0087122C"/>
    <w:pPr>
      <w:tabs>
        <w:tab w:val="left" w:leader="dot" w:pos="7061"/>
        <w:tab w:val="right" w:pos="7524"/>
      </w:tabs>
      <w:spacing w:before="60" w:after="60"/>
      <w:ind w:right="465"/>
    </w:pPr>
    <w:rPr>
      <w:szCs w:val="20"/>
    </w:rPr>
  </w:style>
  <w:style w:type="paragraph" w:customStyle="1" w:styleId="TOCStem">
    <w:name w:val="TOCStem"/>
    <w:basedOn w:val="Normal"/>
    <w:rsid w:val="0087122C"/>
    <w:rPr>
      <w:szCs w:val="20"/>
    </w:rPr>
  </w:style>
  <w:style w:type="character" w:styleId="FollowedHyperlink">
    <w:name w:val="FollowedHyperlink"/>
    <w:rsid w:val="0087122C"/>
    <w:rPr>
      <w:color w:val="800080"/>
      <w:u w:val="single"/>
    </w:rPr>
  </w:style>
  <w:style w:type="paragraph" w:styleId="BalloonText">
    <w:name w:val="Balloon Text"/>
    <w:basedOn w:val="Normal"/>
    <w:semiHidden/>
    <w:rsid w:val="0087122C"/>
    <w:rPr>
      <w:rFonts w:ascii="Tahoma" w:hAnsi="Tahoma" w:cs="Tahoma"/>
      <w:sz w:val="16"/>
      <w:szCs w:val="16"/>
    </w:rPr>
  </w:style>
  <w:style w:type="character" w:styleId="CommentReference">
    <w:name w:val="annotation reference"/>
    <w:semiHidden/>
    <w:rsid w:val="009357B4"/>
    <w:rPr>
      <w:sz w:val="16"/>
      <w:szCs w:val="16"/>
    </w:rPr>
  </w:style>
  <w:style w:type="paragraph" w:styleId="CommentText">
    <w:name w:val="annotation text"/>
    <w:basedOn w:val="Normal"/>
    <w:link w:val="CommentTextChar"/>
    <w:semiHidden/>
    <w:rsid w:val="009357B4"/>
    <w:rPr>
      <w:sz w:val="20"/>
    </w:rPr>
  </w:style>
  <w:style w:type="paragraph" w:styleId="CommentSubject">
    <w:name w:val="annotation subject"/>
    <w:basedOn w:val="CommentText"/>
    <w:next w:val="CommentText"/>
    <w:semiHidden/>
    <w:rsid w:val="009357B4"/>
    <w:rPr>
      <w:b/>
      <w:bCs/>
    </w:rPr>
  </w:style>
  <w:style w:type="paragraph" w:customStyle="1" w:styleId="BulletText3">
    <w:name w:val="Bullet Text 3"/>
    <w:basedOn w:val="Normal"/>
    <w:rsid w:val="0087122C"/>
    <w:pPr>
      <w:numPr>
        <w:numId w:val="3"/>
      </w:numPr>
      <w:ind w:left="518"/>
    </w:pPr>
    <w:rPr>
      <w:szCs w:val="20"/>
    </w:rPr>
  </w:style>
  <w:style w:type="character" w:styleId="HTMLAcronym">
    <w:name w:val="HTML Acronym"/>
    <w:rsid w:val="0087122C"/>
  </w:style>
  <w:style w:type="paragraph" w:customStyle="1" w:styleId="IMTOC">
    <w:name w:val="IMTOC"/>
    <w:rsid w:val="0087122C"/>
    <w:rPr>
      <w:sz w:val="24"/>
    </w:rPr>
  </w:style>
  <w:style w:type="table" w:styleId="TableGrid">
    <w:name w:val="Table Grid"/>
    <w:basedOn w:val="TableNormal"/>
    <w:rsid w:val="0087122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7122C"/>
    <w:rPr>
      <w:color w:val="000000"/>
      <w:szCs w:val="24"/>
    </w:rPr>
  </w:style>
  <w:style w:type="character" w:customStyle="1" w:styleId="FooterChar">
    <w:name w:val="Footer Char"/>
    <w:link w:val="Footer"/>
    <w:rsid w:val="0087122C"/>
    <w:rPr>
      <w:color w:val="000000"/>
      <w:szCs w:val="24"/>
    </w:rPr>
  </w:style>
  <w:style w:type="paragraph" w:styleId="ListParagraph">
    <w:name w:val="List Paragraph"/>
    <w:basedOn w:val="Normal"/>
    <w:uiPriority w:val="34"/>
    <w:qFormat/>
    <w:rsid w:val="0087122C"/>
    <w:pPr>
      <w:ind w:left="720"/>
      <w:contextualSpacing/>
    </w:pPr>
  </w:style>
  <w:style w:type="character" w:customStyle="1" w:styleId="CommentTextChar">
    <w:name w:val="Comment Text Char"/>
    <w:basedOn w:val="DefaultParagraphFont"/>
    <w:link w:val="CommentText"/>
    <w:semiHidden/>
    <w:rsid w:val="005234CC"/>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2C"/>
    <w:rPr>
      <w:color w:val="000000"/>
      <w:sz w:val="24"/>
      <w:szCs w:val="24"/>
    </w:rPr>
  </w:style>
  <w:style w:type="paragraph" w:styleId="Heading1">
    <w:name w:val="heading 1"/>
    <w:aliases w:val="Part Title"/>
    <w:basedOn w:val="Normal"/>
    <w:next w:val="Heading4"/>
    <w:qFormat/>
    <w:rsid w:val="0087122C"/>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87122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87122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7122C"/>
    <w:pPr>
      <w:spacing w:after="240"/>
      <w:outlineLvl w:val="3"/>
    </w:pPr>
    <w:rPr>
      <w:rFonts w:ascii="Arial" w:hAnsi="Arial" w:cs="Arial"/>
      <w:b/>
      <w:sz w:val="32"/>
      <w:szCs w:val="20"/>
    </w:rPr>
  </w:style>
  <w:style w:type="paragraph" w:styleId="Heading5">
    <w:name w:val="heading 5"/>
    <w:aliases w:val="Block Label"/>
    <w:basedOn w:val="Normal"/>
    <w:qFormat/>
    <w:rsid w:val="0087122C"/>
    <w:pPr>
      <w:outlineLvl w:val="4"/>
    </w:pPr>
    <w:rPr>
      <w:b/>
      <w:sz w:val="22"/>
      <w:szCs w:val="20"/>
    </w:rPr>
  </w:style>
  <w:style w:type="paragraph" w:styleId="Heading6">
    <w:name w:val="heading 6"/>
    <w:aliases w:val="Sub Label"/>
    <w:basedOn w:val="Heading5"/>
    <w:next w:val="BlockText"/>
    <w:rsid w:val="0087122C"/>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22C"/>
    <w:pPr>
      <w:tabs>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87122C"/>
    <w:pPr>
      <w:pBdr>
        <w:top w:val="single" w:sz="6" w:space="1" w:color="000000"/>
        <w:between w:val="single" w:sz="6" w:space="1" w:color="auto"/>
      </w:pBdr>
      <w:spacing w:before="240"/>
      <w:ind w:left="1728"/>
    </w:pPr>
    <w:rPr>
      <w:szCs w:val="20"/>
    </w:rPr>
  </w:style>
  <w:style w:type="paragraph" w:styleId="BlockText">
    <w:name w:val="Block Text"/>
    <w:basedOn w:val="Normal"/>
    <w:qFormat/>
    <w:rsid w:val="0087122C"/>
  </w:style>
  <w:style w:type="paragraph" w:customStyle="1" w:styleId="BulletText1">
    <w:name w:val="Bullet Text 1"/>
    <w:basedOn w:val="Normal"/>
    <w:qFormat/>
    <w:rsid w:val="0087122C"/>
    <w:pPr>
      <w:numPr>
        <w:numId w:val="1"/>
      </w:numPr>
    </w:pPr>
    <w:rPr>
      <w:szCs w:val="20"/>
    </w:rPr>
  </w:style>
  <w:style w:type="paragraph" w:customStyle="1" w:styleId="BulletText2">
    <w:name w:val="Bullet Text 2"/>
    <w:basedOn w:val="Normal"/>
    <w:rsid w:val="0087122C"/>
    <w:pPr>
      <w:numPr>
        <w:numId w:val="2"/>
      </w:numPr>
      <w:ind w:left="346"/>
    </w:pPr>
    <w:rPr>
      <w:szCs w:val="20"/>
    </w:rPr>
  </w:style>
  <w:style w:type="paragraph" w:customStyle="1" w:styleId="ContinuedOnNextPa">
    <w:name w:val="Continued On Next Pa"/>
    <w:basedOn w:val="Normal"/>
    <w:next w:val="Normal"/>
    <w:rsid w:val="0087122C"/>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7122C"/>
    <w:pPr>
      <w:spacing w:after="240"/>
    </w:pPr>
    <w:rPr>
      <w:b/>
      <w:sz w:val="22"/>
      <w:szCs w:val="20"/>
    </w:rPr>
  </w:style>
  <w:style w:type="paragraph" w:customStyle="1" w:styleId="MapTitleContinued">
    <w:name w:val="Map Title. Continued"/>
    <w:basedOn w:val="Normal"/>
    <w:next w:val="Normal"/>
    <w:rsid w:val="0087122C"/>
    <w:pPr>
      <w:spacing w:after="240"/>
    </w:pPr>
    <w:rPr>
      <w:rFonts w:ascii="Arial" w:hAnsi="Arial" w:cs="Arial"/>
      <w:b/>
      <w:sz w:val="32"/>
      <w:szCs w:val="20"/>
    </w:rPr>
  </w:style>
  <w:style w:type="paragraph" w:customStyle="1" w:styleId="MemoLine">
    <w:name w:val="Memo Line"/>
    <w:basedOn w:val="BlockLine"/>
    <w:next w:val="Normal"/>
    <w:rsid w:val="0087122C"/>
    <w:pPr>
      <w:ind w:left="0"/>
    </w:pPr>
  </w:style>
  <w:style w:type="paragraph" w:styleId="Footer">
    <w:name w:val="footer"/>
    <w:basedOn w:val="Normal"/>
    <w:link w:val="FooterChar"/>
    <w:rsid w:val="0087122C"/>
    <w:pPr>
      <w:tabs>
        <w:tab w:val="center" w:pos="4680"/>
        <w:tab w:val="right" w:pos="9360"/>
      </w:tabs>
    </w:pPr>
    <w:rPr>
      <w:sz w:val="20"/>
    </w:rPr>
  </w:style>
  <w:style w:type="character" w:styleId="PageNumber">
    <w:name w:val="page number"/>
    <w:basedOn w:val="DefaultParagraphFont"/>
    <w:semiHidden/>
  </w:style>
  <w:style w:type="paragraph" w:customStyle="1" w:styleId="TableText">
    <w:name w:val="Table Text"/>
    <w:basedOn w:val="Normal"/>
    <w:qFormat/>
    <w:rsid w:val="0087122C"/>
    <w:rPr>
      <w:szCs w:val="20"/>
    </w:rPr>
  </w:style>
  <w:style w:type="paragraph" w:customStyle="1" w:styleId="NoteText">
    <w:name w:val="Note Text"/>
    <w:basedOn w:val="Normal"/>
    <w:rsid w:val="0087122C"/>
    <w:rPr>
      <w:szCs w:val="20"/>
    </w:rPr>
  </w:style>
  <w:style w:type="paragraph" w:customStyle="1" w:styleId="TableHeaderText">
    <w:name w:val="Table Header Text"/>
    <w:basedOn w:val="Normal"/>
    <w:rsid w:val="0087122C"/>
    <w:pPr>
      <w:jc w:val="center"/>
    </w:pPr>
    <w:rPr>
      <w:b/>
      <w:szCs w:val="20"/>
    </w:rPr>
  </w:style>
  <w:style w:type="paragraph" w:customStyle="1" w:styleId="EmbeddedText">
    <w:name w:val="Embedded Text"/>
    <w:basedOn w:val="Normal"/>
    <w:rsid w:val="0087122C"/>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87122C"/>
    <w:pPr>
      <w:ind w:left="480"/>
    </w:pPr>
  </w:style>
  <w:style w:type="paragraph" w:styleId="TOC4">
    <w:name w:val="toc 4"/>
    <w:basedOn w:val="Normal"/>
    <w:next w:val="Normal"/>
    <w:autoRedefine/>
    <w:uiPriority w:val="39"/>
    <w:rsid w:val="0087122C"/>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87122C"/>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87122C"/>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87122C"/>
    <w:pPr>
      <w:spacing w:after="240"/>
      <w:jc w:val="center"/>
    </w:pPr>
    <w:rPr>
      <w:rFonts w:ascii="Arial" w:hAnsi="Arial" w:cs="Arial"/>
      <w:b/>
      <w:sz w:val="32"/>
      <w:szCs w:val="20"/>
    </w:rPr>
  </w:style>
  <w:style w:type="paragraph" w:customStyle="1" w:styleId="TOCTitle">
    <w:name w:val="TOC Title"/>
    <w:basedOn w:val="Normal"/>
    <w:rsid w:val="0087122C"/>
    <w:pPr>
      <w:widowControl w:val="0"/>
    </w:pPr>
    <w:rPr>
      <w:rFonts w:ascii="Arial" w:hAnsi="Arial" w:cs="Arial"/>
      <w:b/>
      <w:sz w:val="32"/>
      <w:szCs w:val="20"/>
    </w:rPr>
  </w:style>
  <w:style w:type="paragraph" w:customStyle="1" w:styleId="TOCItem">
    <w:name w:val="TOCItem"/>
    <w:basedOn w:val="Normal"/>
    <w:rsid w:val="0087122C"/>
    <w:pPr>
      <w:tabs>
        <w:tab w:val="left" w:leader="dot" w:pos="7061"/>
        <w:tab w:val="right" w:pos="7524"/>
      </w:tabs>
      <w:spacing w:before="60" w:after="60"/>
      <w:ind w:right="465"/>
    </w:pPr>
    <w:rPr>
      <w:szCs w:val="20"/>
    </w:rPr>
  </w:style>
  <w:style w:type="paragraph" w:customStyle="1" w:styleId="TOCStem">
    <w:name w:val="TOCStem"/>
    <w:basedOn w:val="Normal"/>
    <w:rsid w:val="0087122C"/>
    <w:rPr>
      <w:szCs w:val="20"/>
    </w:rPr>
  </w:style>
  <w:style w:type="character" w:styleId="FollowedHyperlink">
    <w:name w:val="FollowedHyperlink"/>
    <w:rsid w:val="0087122C"/>
    <w:rPr>
      <w:color w:val="800080"/>
      <w:u w:val="single"/>
    </w:rPr>
  </w:style>
  <w:style w:type="paragraph" w:styleId="BalloonText">
    <w:name w:val="Balloon Text"/>
    <w:basedOn w:val="Normal"/>
    <w:semiHidden/>
    <w:rsid w:val="0087122C"/>
    <w:rPr>
      <w:rFonts w:ascii="Tahoma" w:hAnsi="Tahoma" w:cs="Tahoma"/>
      <w:sz w:val="16"/>
      <w:szCs w:val="16"/>
    </w:rPr>
  </w:style>
  <w:style w:type="character" w:styleId="CommentReference">
    <w:name w:val="annotation reference"/>
    <w:semiHidden/>
    <w:rsid w:val="009357B4"/>
    <w:rPr>
      <w:sz w:val="16"/>
      <w:szCs w:val="16"/>
    </w:rPr>
  </w:style>
  <w:style w:type="paragraph" w:styleId="CommentText">
    <w:name w:val="annotation text"/>
    <w:basedOn w:val="Normal"/>
    <w:link w:val="CommentTextChar"/>
    <w:semiHidden/>
    <w:rsid w:val="009357B4"/>
    <w:rPr>
      <w:sz w:val="20"/>
    </w:rPr>
  </w:style>
  <w:style w:type="paragraph" w:styleId="CommentSubject">
    <w:name w:val="annotation subject"/>
    <w:basedOn w:val="CommentText"/>
    <w:next w:val="CommentText"/>
    <w:semiHidden/>
    <w:rsid w:val="009357B4"/>
    <w:rPr>
      <w:b/>
      <w:bCs/>
    </w:rPr>
  </w:style>
  <w:style w:type="paragraph" w:customStyle="1" w:styleId="BulletText3">
    <w:name w:val="Bullet Text 3"/>
    <w:basedOn w:val="Normal"/>
    <w:rsid w:val="0087122C"/>
    <w:pPr>
      <w:numPr>
        <w:numId w:val="3"/>
      </w:numPr>
      <w:ind w:left="518"/>
    </w:pPr>
    <w:rPr>
      <w:szCs w:val="20"/>
    </w:rPr>
  </w:style>
  <w:style w:type="character" w:styleId="HTMLAcronym">
    <w:name w:val="HTML Acronym"/>
    <w:rsid w:val="0087122C"/>
  </w:style>
  <w:style w:type="paragraph" w:customStyle="1" w:styleId="IMTOC">
    <w:name w:val="IMTOC"/>
    <w:rsid w:val="0087122C"/>
    <w:rPr>
      <w:sz w:val="24"/>
    </w:rPr>
  </w:style>
  <w:style w:type="table" w:styleId="TableGrid">
    <w:name w:val="Table Grid"/>
    <w:basedOn w:val="TableNormal"/>
    <w:rsid w:val="0087122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7122C"/>
    <w:rPr>
      <w:color w:val="000000"/>
      <w:szCs w:val="24"/>
    </w:rPr>
  </w:style>
  <w:style w:type="character" w:customStyle="1" w:styleId="FooterChar">
    <w:name w:val="Footer Char"/>
    <w:link w:val="Footer"/>
    <w:rsid w:val="0087122C"/>
    <w:rPr>
      <w:color w:val="000000"/>
      <w:szCs w:val="24"/>
    </w:rPr>
  </w:style>
  <w:style w:type="paragraph" w:styleId="ListParagraph">
    <w:name w:val="List Paragraph"/>
    <w:basedOn w:val="Normal"/>
    <w:uiPriority w:val="34"/>
    <w:qFormat/>
    <w:rsid w:val="0087122C"/>
    <w:pPr>
      <w:ind w:left="720"/>
      <w:contextualSpacing/>
    </w:pPr>
  </w:style>
  <w:style w:type="character" w:customStyle="1" w:styleId="CommentTextChar">
    <w:name w:val="Comment Text Char"/>
    <w:basedOn w:val="DefaultParagraphFont"/>
    <w:link w:val="CommentText"/>
    <w:semiHidden/>
    <w:rsid w:val="005234CC"/>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benefits.va.gov/warms/docs/regs/38CFR/BOOKB/PART3/S3_327.DOC" TargetMode="External"/><Relationship Id="rId117" Type="http://schemas.openxmlformats.org/officeDocument/2006/relationships/hyperlink" Target="http://law.cornell.edu/uscode/html/uscode38/usc_sup_01_38_10_III_20_31.html" TargetMode="External"/><Relationship Id="rId21" Type="http://schemas.openxmlformats.org/officeDocument/2006/relationships/hyperlink" Target="http://vbaw.vba.va.gov/bl/21/Advisory/CAVCDAD.htm" TargetMode="External"/><Relationship Id="rId42" Type="http://schemas.openxmlformats.org/officeDocument/2006/relationships/hyperlink" Target="imi-internal:M21-1MRIII.iv.6.B" TargetMode="External"/><Relationship Id="rId47" Type="http://schemas.openxmlformats.org/officeDocument/2006/relationships/hyperlink" Target="imi-internal:M21-1MRIII.v.7.B.14" TargetMode="External"/><Relationship Id="rId63" Type="http://schemas.openxmlformats.org/officeDocument/2006/relationships/hyperlink" Target="imi-internal:M21-1MRIII.v.7.C.17.d" TargetMode="External"/><Relationship Id="rId68" Type="http://schemas.openxmlformats.org/officeDocument/2006/relationships/hyperlink" Target="imi-internal:M21-1MRIX.ii.2.2.g" TargetMode="External"/><Relationship Id="rId84" Type="http://schemas.openxmlformats.org/officeDocument/2006/relationships/hyperlink" Target="imi-internal:M21-1MRI.1.C.7" TargetMode="External"/><Relationship Id="rId89" Type="http://schemas.openxmlformats.org/officeDocument/2006/relationships/hyperlink" Target="http://law.cornell.edu/uscode/html/uscode38/usc_sec_38_00001702----000-.html" TargetMode="External"/><Relationship Id="rId112" Type="http://schemas.openxmlformats.org/officeDocument/2006/relationships/hyperlink" Target="imi-internal:M21-1MRIII.v.1.E" TargetMode="External"/><Relationship Id="rId133" Type="http://schemas.openxmlformats.org/officeDocument/2006/relationships/hyperlink" Target="http://www.benefits.va.gov/warms/docs/regs/38CFR/BOOKB/PART3/S3_302.DOC" TargetMode="External"/><Relationship Id="rId138" Type="http://schemas.openxmlformats.org/officeDocument/2006/relationships/hyperlink" Target="http://www.benefits.va.gov/warms/docs/regs/38CFR/BOOKB/PART3/S3_359.DOC" TargetMode="External"/><Relationship Id="rId16" Type="http://schemas.openxmlformats.org/officeDocument/2006/relationships/hyperlink" Target="http://www.benefits.va.gov/WARMS/docs/regs/38cfr/bookb/part3/S3_51.doc" TargetMode="External"/><Relationship Id="rId107" Type="http://schemas.openxmlformats.org/officeDocument/2006/relationships/hyperlink" Target="http://law.cornell.edu/uscode/html/uscode38/usc_sec_38_00001702----000-.html" TargetMode="External"/><Relationship Id="rId11" Type="http://schemas.openxmlformats.org/officeDocument/2006/relationships/endnotes" Target="endnotes.xml"/><Relationship Id="rId32" Type="http://schemas.openxmlformats.org/officeDocument/2006/relationships/hyperlink" Target="http://www.va.gov/ogc/docs/1998/prc13-98.doc" TargetMode="External"/><Relationship Id="rId37" Type="http://schemas.openxmlformats.org/officeDocument/2006/relationships/hyperlink" Target="http://www.benefits.va.gov/warms/docs/regs/38CFR/BOOKB/PART3/S3_155.DOC" TargetMode="External"/><Relationship Id="rId53" Type="http://schemas.openxmlformats.org/officeDocument/2006/relationships/hyperlink" Target="http://law.cornell.edu/uscode/html/uscode38/usc_sec_38_00001710----000-.html" TargetMode="External"/><Relationship Id="rId58" Type="http://schemas.openxmlformats.org/officeDocument/2006/relationships/hyperlink" Target="imi-internal:M21-1MRIII.v.7.B.13" TargetMode="External"/><Relationship Id="rId74" Type="http://schemas.openxmlformats.org/officeDocument/2006/relationships/hyperlink" Target="http://www.benefits.va.gov/warms/docs/Regs/38CFR/BookI/Part17/s17_161.doc" TargetMode="External"/><Relationship Id="rId79" Type="http://schemas.openxmlformats.org/officeDocument/2006/relationships/hyperlink" Target="http://www.benefits.va.gov/warms/docs/regs/38CFR/BOOKB/PART3/S3_102.DOC" TargetMode="External"/><Relationship Id="rId102" Type="http://schemas.openxmlformats.org/officeDocument/2006/relationships/hyperlink" Target="imi-internal:M21-1MRIII.v.7.A.4.b" TargetMode="External"/><Relationship Id="rId123" Type="http://schemas.openxmlformats.org/officeDocument/2006/relationships/hyperlink" Target="imi-internal:M21-1MRIII.v.1.D" TargetMode="External"/><Relationship Id="rId128" Type="http://schemas.openxmlformats.org/officeDocument/2006/relationships/hyperlink" Target="http://assembler.law.cornell.edu/uscode/html/uscode38/usc_sup_01_38_10_III_20_35.html" TargetMode="External"/><Relationship Id="rId144"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imi-internal:M21-1MRIII.v.7.A.1" TargetMode="External"/><Relationship Id="rId95" Type="http://schemas.openxmlformats.org/officeDocument/2006/relationships/hyperlink" Target="imi-internal:M21-1MRIX.ii.2.5.d" TargetMode="External"/><Relationship Id="rId22" Type="http://schemas.openxmlformats.org/officeDocument/2006/relationships/hyperlink" Target="http://www.benefits.va.gov/warms/docs/regs/38CFR/BOOKC/PART4/S4_28.DOC" TargetMode="External"/><Relationship Id="rId27" Type="http://schemas.openxmlformats.org/officeDocument/2006/relationships/hyperlink" Target="http://www.benefits.va.gov/warms/docs/regs/38CFR/BOOKB/PART3/S3_327.DOC" TargetMode="External"/><Relationship Id="rId43" Type="http://schemas.openxmlformats.org/officeDocument/2006/relationships/hyperlink" Target="imi-internal:M21-1MRIII.iv.4.H.32" TargetMode="External"/><Relationship Id="rId48" Type="http://schemas.openxmlformats.org/officeDocument/2006/relationships/hyperlink" Target="imi-internal:M21-1MRIII.v.7.B.15" TargetMode="External"/><Relationship Id="rId64" Type="http://schemas.openxmlformats.org/officeDocument/2006/relationships/hyperlink" Target="http://www.benefits.va.gov/warms/docs/regs/38CFR/BOOKB/PART3/S3_381.DOC" TargetMode="External"/><Relationship Id="rId69" Type="http://schemas.openxmlformats.org/officeDocument/2006/relationships/hyperlink" Target="imi-internal:M21-1MRIX.ii.2.2.n" TargetMode="External"/><Relationship Id="rId113" Type="http://schemas.openxmlformats.org/officeDocument/2006/relationships/hyperlink" Target="http://www.benefits.va.gov/warms/docs/regs/38CFR/BOOKB/PART3/S3_354.DOC" TargetMode="External"/><Relationship Id="rId118" Type="http://schemas.openxmlformats.org/officeDocument/2006/relationships/hyperlink" Target="http://law.cornell.edu/uscode/html/uscode38/usc_sup_01_38_10_III_20_32.html" TargetMode="External"/><Relationship Id="rId134" Type="http://schemas.openxmlformats.org/officeDocument/2006/relationships/hyperlink" Target="http://assembler.law.cornell.edu/uscode/html/uscode38/usc_sec_38_00001922----000-.html" TargetMode="External"/><Relationship Id="rId139" Type="http://schemas.openxmlformats.org/officeDocument/2006/relationships/hyperlink" Target="imi-internal:M21-1MRIII.ii.5.A" TargetMode="External"/><Relationship Id="rId80" Type="http://schemas.openxmlformats.org/officeDocument/2006/relationships/hyperlink" Target="http://www.benefits.va.gov/warms/docs/regs/38CFR/BOOKB/PART3/S3_381.DOC" TargetMode="External"/><Relationship Id="rId85" Type="http://schemas.openxmlformats.org/officeDocument/2006/relationships/hyperlink" Target="http://www.benefits.va.gov/warms/docs/regs/38CFR/BOOKB/PART3/S3_381.DOC" TargetMode="External"/><Relationship Id="rId3" Type="http://schemas.openxmlformats.org/officeDocument/2006/relationships/customXml" Target="../customXml/item2.xml"/><Relationship Id="rId12" Type="http://schemas.openxmlformats.org/officeDocument/2006/relationships/hyperlink" Target="http://www.benefits.va.gov/WARMS/bookg.asp" TargetMode="External"/><Relationship Id="rId17" Type="http://schemas.openxmlformats.org/officeDocument/2006/relationships/hyperlink" Target="http://www.benefits.va.gov/WARMS/docs/regs/38cfr/bookb/part3/S3_50.doc" TargetMode="External"/><Relationship Id="rId25" Type="http://schemas.openxmlformats.org/officeDocument/2006/relationships/hyperlink" Target="http://www.benefits.va.gov/warms/docs/regs/38CFR/BOOKC/PART4/S4_104.DOC" TargetMode="External"/><Relationship Id="rId33" Type="http://schemas.openxmlformats.org/officeDocument/2006/relationships/hyperlink" Target="imi-internal:M21-1MRIII.iii.5.F" TargetMode="External"/><Relationship Id="rId38" Type="http://schemas.openxmlformats.org/officeDocument/2006/relationships/hyperlink" Target="http://www.benefits.va.gov/warms/docs/regs/38CFR/BOOKB/PART3/S3_159.DOC" TargetMode="External"/><Relationship Id="rId46" Type="http://schemas.openxmlformats.org/officeDocument/2006/relationships/hyperlink" Target="imi-internal:M21-1MRIII.v.7.B.13" TargetMode="External"/><Relationship Id="rId59" Type="http://schemas.openxmlformats.org/officeDocument/2006/relationships/hyperlink" Target="imi-internal:M21-1MRIX.ii.2.2.d" TargetMode="External"/><Relationship Id="rId67" Type="http://schemas.openxmlformats.org/officeDocument/2006/relationships/hyperlink" Target="http://www.va.gov/ogc/docs/1997/PRC05-97.DOC" TargetMode="External"/><Relationship Id="rId103" Type="http://schemas.openxmlformats.org/officeDocument/2006/relationships/hyperlink" Target="http://law.cornell.edu/uscode/html/uscode38/usc_sec_38_00001702----000-.html" TargetMode="External"/><Relationship Id="rId108" Type="http://schemas.openxmlformats.org/officeDocument/2006/relationships/hyperlink" Target="imi-internal:M21-1MRIX.ii.2.5.f" TargetMode="External"/><Relationship Id="rId116" Type="http://schemas.openxmlformats.org/officeDocument/2006/relationships/hyperlink" Target="http://law.cornell.edu/uscode/html/uscode38/usc_sup_01_38_10_III_20_30.html" TargetMode="External"/><Relationship Id="rId124" Type="http://schemas.openxmlformats.org/officeDocument/2006/relationships/hyperlink" Target="http://assembler.law.cornell.edu/uscode/html/uscode38/usc_sup_01_38_10_III_20_31.html" TargetMode="External"/><Relationship Id="rId129" Type="http://schemas.openxmlformats.org/officeDocument/2006/relationships/hyperlink" Target="http://assembler.law.cornell.edu/uscode/html/uscode10/usc_sup_01_10_10_E_20_IV_30_1606.html" TargetMode="External"/><Relationship Id="rId137" Type="http://schemas.openxmlformats.org/officeDocument/2006/relationships/hyperlink" Target="http://assembler.law.cornell.edu/uscode/html/uscode38/usc_sec_38_00000109----000-.html" TargetMode="External"/><Relationship Id="rId20" Type="http://schemas.openxmlformats.org/officeDocument/2006/relationships/hyperlink" Target="http://www.law.cornell.edu/uscode/38/1160.html" TargetMode="External"/><Relationship Id="rId41" Type="http://schemas.openxmlformats.org/officeDocument/2006/relationships/hyperlink" Target="imi-internal:M21-1MRIII.ii.2.B.6.b" TargetMode="External"/><Relationship Id="rId54" Type="http://schemas.openxmlformats.org/officeDocument/2006/relationships/hyperlink" Target="imi-internal:M21-1MRIII.v.7.B.16" TargetMode="External"/><Relationship Id="rId62" Type="http://schemas.openxmlformats.org/officeDocument/2006/relationships/hyperlink" Target="imi-internal:M21-1MRIX.ii.2.2.g" TargetMode="External"/><Relationship Id="rId70" Type="http://schemas.openxmlformats.org/officeDocument/2006/relationships/hyperlink" Target="http://www.benefits.va.gov/warms/docs/regs/38CFR/BOOKB/PART3/S3_381.DOC" TargetMode="External"/><Relationship Id="rId75" Type="http://schemas.openxmlformats.org/officeDocument/2006/relationships/hyperlink" Target="http://www.benefits.va.gov/warms/docs/Regs/38CFR/BookI/Part17/s17_161.doc" TargetMode="External"/><Relationship Id="rId83" Type="http://schemas.openxmlformats.org/officeDocument/2006/relationships/hyperlink" Target="imi-internal:M21-1MRIX.ii.2.2.a" TargetMode="External"/><Relationship Id="rId88" Type="http://schemas.openxmlformats.org/officeDocument/2006/relationships/hyperlink" Target="imi-internal:M21-1MRIII.v.7.A" TargetMode="External"/><Relationship Id="rId91" Type="http://schemas.openxmlformats.org/officeDocument/2006/relationships/hyperlink" Target="http://law.cornell.edu/uscode/html/uscode38/usc_sec_38_00001702----000-.html" TargetMode="External"/><Relationship Id="rId96" Type="http://schemas.openxmlformats.org/officeDocument/2006/relationships/hyperlink" Target="imi-internal:M21-1MRIX.ii.2.5.e" TargetMode="External"/><Relationship Id="rId111" Type="http://schemas.openxmlformats.org/officeDocument/2006/relationships/hyperlink" Target="http://law.cornell.edu/uscode/html/uscode38/usc_sec_38_00001702----000-.html" TargetMode="External"/><Relationship Id="rId132" Type="http://schemas.openxmlformats.org/officeDocument/2006/relationships/hyperlink" Target="http://assembler.law.cornell.edu/uscode/html/uscode38/usc_sec_38_00001922----000-.html" TargetMode="External"/><Relationship Id="rId140" Type="http://schemas.openxmlformats.org/officeDocument/2006/relationships/header" Target="header1.xml"/><Relationship Id="rId14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ww.benefits.va.gov/WARMS/docs/regs/38cfr/bookb/part3/S3_50.doc" TargetMode="External"/><Relationship Id="rId23" Type="http://schemas.openxmlformats.org/officeDocument/2006/relationships/hyperlink" Target="http://www.benefits.va.gov/warms/docs/regs/38CFR/BOOKC/PART4/S4_29.DOC" TargetMode="External"/><Relationship Id="rId28" Type="http://schemas.openxmlformats.org/officeDocument/2006/relationships/hyperlink" Target="http://www.benefits.va.gov/warms/docs/regs/38CFR/BOOKB/PART3/S3_950.DOC" TargetMode="External"/><Relationship Id="rId36" Type="http://schemas.openxmlformats.org/officeDocument/2006/relationships/hyperlink" Target="http://www.benefits.va.gov/warms/docs/regs/38CFR/BOOKB/PART3/S3_381.DOC" TargetMode="External"/><Relationship Id="rId49" Type="http://schemas.openxmlformats.org/officeDocument/2006/relationships/hyperlink" Target="imi-internal:M21-1MRIII.v.7.B.15.b" TargetMode="External"/><Relationship Id="rId57" Type="http://schemas.openxmlformats.org/officeDocument/2006/relationships/hyperlink" Target="imi-internal:M21-1MRIX.ii.2.2.b" TargetMode="External"/><Relationship Id="rId106" Type="http://schemas.openxmlformats.org/officeDocument/2006/relationships/hyperlink" Target="http://law.cornell.edu/uscode/html/uscode38/usc_sec_38_00001702----000-.html" TargetMode="External"/><Relationship Id="rId114" Type="http://schemas.openxmlformats.org/officeDocument/2006/relationships/hyperlink" Target="http://vbaw.vba.va.gov/bl/21/publicat/Regs/Part3/3_324.htm" TargetMode="External"/><Relationship Id="rId119" Type="http://schemas.openxmlformats.org/officeDocument/2006/relationships/hyperlink" Target="http://assembler.law.cornell.edu/uscode/html/uscode38/usc_sup_01_38_10_III_20_33.html" TargetMode="External"/><Relationship Id="rId127" Type="http://schemas.openxmlformats.org/officeDocument/2006/relationships/hyperlink" Target="http://assembler.law.cornell.edu/uscode/html/uscode38/usc_sup_01_38_10_III_20_33.html" TargetMode="External"/><Relationship Id="rId10" Type="http://schemas.openxmlformats.org/officeDocument/2006/relationships/footnotes" Target="footnotes.xml"/><Relationship Id="rId31" Type="http://schemas.openxmlformats.org/officeDocument/2006/relationships/hyperlink" Target="http://www.law.cornell.edu/uscode/html/uscode38/usc_sec_38_00001311----000-.html" TargetMode="External"/><Relationship Id="rId44" Type="http://schemas.openxmlformats.org/officeDocument/2006/relationships/hyperlink" Target="imi-internal:M21-1MRIX.ii.2.3" TargetMode="External"/><Relationship Id="rId52" Type="http://schemas.openxmlformats.org/officeDocument/2006/relationships/hyperlink" Target="imi-internal:M21-1MRIII.v.7.B.16" TargetMode="External"/><Relationship Id="rId60" Type="http://schemas.openxmlformats.org/officeDocument/2006/relationships/hyperlink" Target="imi-internal:M21-1MRIII.v.7.C" TargetMode="External"/><Relationship Id="rId65" Type="http://schemas.openxmlformats.org/officeDocument/2006/relationships/hyperlink" Target="http://www.benefits.va.gov/warms/docs/Regs/38CFR/BookI/Part17/s17_161.doc" TargetMode="External"/><Relationship Id="rId73" Type="http://schemas.openxmlformats.org/officeDocument/2006/relationships/hyperlink" Target="http://www.benefits.va.gov/warms/docs/regs/38CFR/BOOKB/PART3/S3_381.DOC" TargetMode="External"/><Relationship Id="rId78" Type="http://schemas.openxmlformats.org/officeDocument/2006/relationships/hyperlink" Target="http://www.benefits.va.gov/warms/docs/regs/38CFR/BOOKB/PART3/S3_381.DOC" TargetMode="External"/><Relationship Id="rId81" Type="http://schemas.openxmlformats.org/officeDocument/2006/relationships/hyperlink" Target="http://law.cornell.edu/uscode/html/uscode38/usc_sec_38_00001712----000-.html" TargetMode="External"/><Relationship Id="rId86" Type="http://schemas.openxmlformats.org/officeDocument/2006/relationships/hyperlink" Target="http://law.cornell.edu/uscode/html/uscode38/usc_sec_38_00001710----000-.html" TargetMode="External"/><Relationship Id="rId94" Type="http://schemas.openxmlformats.org/officeDocument/2006/relationships/hyperlink" Target="imi-internal:M21-1MRIX.ii.2.5.c" TargetMode="External"/><Relationship Id="rId99" Type="http://schemas.openxmlformats.org/officeDocument/2006/relationships/hyperlink" Target="http://www.benefits.va.gov/warms/docs/regs/38CFR/BOOKB/PART3/S3_384.DOC" TargetMode="External"/><Relationship Id="rId101" Type="http://schemas.openxmlformats.org/officeDocument/2006/relationships/hyperlink" Target="http://law.cornell.edu/uscode/html/uscode38/usc_sec_38_00001702----000-.html" TargetMode="External"/><Relationship Id="rId122" Type="http://schemas.openxmlformats.org/officeDocument/2006/relationships/hyperlink" Target="http://law.cornell.edu/uscode/html/uscode38/usc_sup_01_38_10_III_20_35.html" TargetMode="External"/><Relationship Id="rId130" Type="http://schemas.openxmlformats.org/officeDocument/2006/relationships/hyperlink" Target="imi-internal:M21-1MRIX.ii.2.9.f" TargetMode="External"/><Relationship Id="rId135" Type="http://schemas.openxmlformats.org/officeDocument/2006/relationships/hyperlink" Target="http://assembler.law.cornell.edu/uscode/html/uscode38/usc_sec_38_00001922----000-.html" TargetMode="External"/><Relationship Id="rId143"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benefits.va.gov/WARMS/docs/regs/38cfr/bookb/part3/S3_57.doc" TargetMode="External"/><Relationship Id="rId18" Type="http://schemas.openxmlformats.org/officeDocument/2006/relationships/hyperlink" Target="http://vbaw.vba.va.gov/usb/letters/2014/vba-letter-20-14-08.docx" TargetMode="External"/><Relationship Id="rId39" Type="http://schemas.openxmlformats.org/officeDocument/2006/relationships/hyperlink" Target="http://www.benefits.va.gov/warms/docs/regs/38CFR/BOOKB/PART3/S3_381.DOC" TargetMode="External"/><Relationship Id="rId109" Type="http://schemas.openxmlformats.org/officeDocument/2006/relationships/hyperlink" Target="http://law.cornell.edu/uscode/html/uscode38/usc_sec_38_00001702----000-.html" TargetMode="External"/><Relationship Id="rId34" Type="http://schemas.openxmlformats.org/officeDocument/2006/relationships/hyperlink" Target="http://www.benefits.va.gov/warms/docs/regs/38CFR/BOOKC/PART4/S4_150.DOC" TargetMode="External"/><Relationship Id="rId50" Type="http://schemas.openxmlformats.org/officeDocument/2006/relationships/hyperlink" Target="imi-internal:M21-1MRIII.v.7.B.16" TargetMode="External"/><Relationship Id="rId55" Type="http://schemas.openxmlformats.org/officeDocument/2006/relationships/hyperlink" Target="http://www.benefits.va.gov/warms/docs/regs/38CFR/BOOKB/PART3/S3_381.DOC" TargetMode="External"/><Relationship Id="rId76" Type="http://schemas.openxmlformats.org/officeDocument/2006/relationships/hyperlink" Target="http://www.benefits.va.gov/warms/docs/regs/38CFR/BOOKB/PART3/S3_381.DOC" TargetMode="External"/><Relationship Id="rId97" Type="http://schemas.openxmlformats.org/officeDocument/2006/relationships/hyperlink" Target="imi-internal:M21-1MRIII.iv.6.B.3.d" TargetMode="External"/><Relationship Id="rId104" Type="http://schemas.openxmlformats.org/officeDocument/2006/relationships/hyperlink" Target="http://law.cornell.edu/uscode/html/uscode38/usc_sec_38_00001702----000-.html" TargetMode="External"/><Relationship Id="rId120" Type="http://schemas.openxmlformats.org/officeDocument/2006/relationships/hyperlink" Target="http://law.cornell.edu/uscode/html/uscode10/usc_sup_01_10_10_E_20_IV_30_1606.html" TargetMode="External"/><Relationship Id="rId125" Type="http://schemas.openxmlformats.org/officeDocument/2006/relationships/hyperlink" Target="http://assembler.law.cornell.edu/uscode/html/uscode38/usc_sup_01_38_10_III_20_30.html" TargetMode="External"/><Relationship Id="rId141" Type="http://schemas.openxmlformats.org/officeDocument/2006/relationships/header" Target="header2.xml"/><Relationship Id="rId7" Type="http://schemas.microsoft.com/office/2007/relationships/stylesWithEffects" Target="stylesWithEffects.xml"/><Relationship Id="rId71" Type="http://schemas.openxmlformats.org/officeDocument/2006/relationships/hyperlink" Target="http://www.benefits.va.gov/warms/docs/Regs/38CFR/BookI/Part17/s17_161.doc" TargetMode="External"/><Relationship Id="rId92" Type="http://schemas.openxmlformats.org/officeDocument/2006/relationships/hyperlink" Target="http://law.cornell.edu/uscode/html/uscode38/usc_sec_38_00001702----000-.html" TargetMode="External"/><Relationship Id="rId2" Type="http://schemas.openxmlformats.org/officeDocument/2006/relationships/customXml" Target="../customXml/item1.xml"/><Relationship Id="rId29" Type="http://schemas.openxmlformats.org/officeDocument/2006/relationships/hyperlink" Target="http://www.benefits.va.gov/warms/docs/regs/38CFR/BOOKB/PART3/S3_952.DOC" TargetMode="External"/><Relationship Id="rId24" Type="http://schemas.openxmlformats.org/officeDocument/2006/relationships/hyperlink" Target="http://www.benefits.va.gov/warms/docs/regs/38CFR/BOOKC/PART4/S4_30.DOC" TargetMode="External"/><Relationship Id="rId40" Type="http://schemas.openxmlformats.org/officeDocument/2006/relationships/hyperlink" Target="imi-internal:M21-1MRIII.iv.6.B" TargetMode="External"/><Relationship Id="rId45" Type="http://schemas.openxmlformats.org/officeDocument/2006/relationships/hyperlink" Target="http://www.benefits.va.gov/warms/docs/regs/38CFR/BOOKC/PART4/S4_150.DOC" TargetMode="External"/><Relationship Id="rId66" Type="http://schemas.openxmlformats.org/officeDocument/2006/relationships/hyperlink" Target="http://vbaw.vba.va.gov/bl/21/advisory/CAVCDAD.htm" TargetMode="External"/><Relationship Id="rId87" Type="http://schemas.openxmlformats.org/officeDocument/2006/relationships/hyperlink" Target="imi-internal:M21-1MRIII.v.7.A" TargetMode="External"/><Relationship Id="rId110" Type="http://schemas.openxmlformats.org/officeDocument/2006/relationships/hyperlink" Target="http://law.cornell.edu/uscode/html/uscode38/usc_sec_38_00001702----000-.html" TargetMode="External"/><Relationship Id="rId115" Type="http://schemas.openxmlformats.org/officeDocument/2006/relationships/hyperlink" Target="imi-internal:M21-1MRIX.ii.2.12" TargetMode="External"/><Relationship Id="rId131" Type="http://schemas.openxmlformats.org/officeDocument/2006/relationships/hyperlink" Target="http://assembler.law.cornell.edu/uscode/html/uscode38/usc_sec_38_00001922----000-.html" TargetMode="External"/><Relationship Id="rId136" Type="http://schemas.openxmlformats.org/officeDocument/2006/relationships/hyperlink" Target="http://www.benefits.va.gov/warms/docs/regs/38CFR/BOOKB/PART3/S3_353.DOC" TargetMode="External"/><Relationship Id="rId61" Type="http://schemas.openxmlformats.org/officeDocument/2006/relationships/hyperlink" Target="http://www.benefits.va.gov/warms/docs/regs/38CFR/BOOKB/PART3/S3_381.DOC" TargetMode="External"/><Relationship Id="rId82" Type="http://schemas.openxmlformats.org/officeDocument/2006/relationships/hyperlink" Target="http://www.benefits.va.gov/warms/docs/Regs/38CFR/BookI/Part17/s17_160.doc" TargetMode="External"/><Relationship Id="rId19" Type="http://schemas.openxmlformats.org/officeDocument/2006/relationships/hyperlink" Target="http://www.law.cornell.edu/uscode/38/1151.html" TargetMode="External"/><Relationship Id="rId14" Type="http://schemas.openxmlformats.org/officeDocument/2006/relationships/hyperlink" Target="http://www.benefits.va.gov/WARMS/docs/regs/38cfr/bookb/part3/S3_50.doc" TargetMode="External"/><Relationship Id="rId30" Type="http://schemas.openxmlformats.org/officeDocument/2006/relationships/hyperlink" Target="http://www.benefits.va.gov/warms/docs/regs/38CFR/BOOKB/PART3/S3_327.DOC" TargetMode="External"/><Relationship Id="rId35" Type="http://schemas.openxmlformats.org/officeDocument/2006/relationships/hyperlink" Target="http://www.benefits.va.gov/warms/docs/regs/38CFR/BOOKB/PART3/S3_381.DOC" TargetMode="External"/><Relationship Id="rId56" Type="http://schemas.openxmlformats.org/officeDocument/2006/relationships/hyperlink" Target="http://www.benefits.va.gov/warms/docs/Regs/38CFR/BookI/Part17/s17_161.doc" TargetMode="External"/><Relationship Id="rId77" Type="http://schemas.openxmlformats.org/officeDocument/2006/relationships/hyperlink" Target="http://www.benefits.va.gov/warms/docs/regs/38CFR/BOOKB/PART3/S3_381.DOC" TargetMode="External"/><Relationship Id="rId100" Type="http://schemas.openxmlformats.org/officeDocument/2006/relationships/hyperlink" Target="imi-internal:M21-1MRIII.iv.4.H.27.d" TargetMode="External"/><Relationship Id="rId105" Type="http://schemas.openxmlformats.org/officeDocument/2006/relationships/hyperlink" Target="http://law.cornell.edu/uscode/html/uscode38/usc_sec_38_00001702----000-.html" TargetMode="External"/><Relationship Id="rId126" Type="http://schemas.openxmlformats.org/officeDocument/2006/relationships/hyperlink" Target="http://assembler.law.cornell.edu/uscode/html/uscode38/usc_sup_01_38_10_III_20_32.html" TargetMode="External"/><Relationship Id="rId8" Type="http://schemas.openxmlformats.org/officeDocument/2006/relationships/settings" Target="settings.xml"/><Relationship Id="rId51" Type="http://schemas.openxmlformats.org/officeDocument/2006/relationships/hyperlink" Target="imi-internal:M21-1MRIII.v.7.B.16" TargetMode="External"/><Relationship Id="rId72" Type="http://schemas.openxmlformats.org/officeDocument/2006/relationships/hyperlink" Target="imi-internal:M21-1MRIX.ii.2.3" TargetMode="External"/><Relationship Id="rId93" Type="http://schemas.openxmlformats.org/officeDocument/2006/relationships/hyperlink" Target="http://law.cornell.edu/uscode/html/uscode38/usc_sec_38_00001702----000-.html" TargetMode="External"/><Relationship Id="rId98" Type="http://schemas.openxmlformats.org/officeDocument/2006/relationships/hyperlink" Target="http://law.cornell.edu/uscode/html/uscode38/usc_sec_38_00001702----000-.html" TargetMode="External"/><Relationship Id="rId121" Type="http://schemas.openxmlformats.org/officeDocument/2006/relationships/hyperlink" Target="http://assembler.law.cornell.edu/uscode/html/uscode38/usc_sup_01_38_10_III_20_33.html" TargetMode="External"/><Relationship Id="rId14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Props1.xml><?xml version="1.0" encoding="utf-8"?>
<ds:datastoreItem xmlns:ds="http://schemas.openxmlformats.org/officeDocument/2006/customXml" ds:itemID="{11D35BD0-5D61-4050-B59B-222082A61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F6747-6774-4FDC-A365-54CDAB7868B1}">
  <ds:schemaRefs>
    <ds:schemaRef ds:uri="http://schemas.microsoft.com/sharepoint/v3/contenttype/forms"/>
  </ds:schemaRefs>
</ds:datastoreItem>
</file>

<file path=customXml/itemProps3.xml><?xml version="1.0" encoding="utf-8"?>
<ds:datastoreItem xmlns:ds="http://schemas.openxmlformats.org/officeDocument/2006/customXml" ds:itemID="{4BD13F9D-461B-48EC-BED2-8D27EA496216}">
  <ds:schemaRefs>
    <ds:schemaRef ds:uri="b438dcf7-3998-4283-b7fc-0ec6fa8e430f"/>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FSPro.dotm</Template>
  <TotalTime>5346</TotalTime>
  <Pages>36</Pages>
  <Words>9176</Words>
  <Characters>63953</Characters>
  <Application>Microsoft Office Word</Application>
  <DocSecurity>0</DocSecurity>
  <Lines>532</Lines>
  <Paragraphs>145</Paragraphs>
  <ScaleCrop>false</ScaleCrop>
  <HeadingPairs>
    <vt:vector size="2" baseType="variant">
      <vt:variant>
        <vt:lpstr>Title</vt:lpstr>
      </vt:variant>
      <vt:variant>
        <vt:i4>1</vt:i4>
      </vt:variant>
    </vt:vector>
  </HeadingPairs>
  <TitlesOfParts>
    <vt:vector size="1" baseType="lpstr">
      <vt:lpstr>Chapter 2.  Ratings for Special Purposes (U.S. Department of Veterans Affiairs)</vt:lpstr>
    </vt:vector>
  </TitlesOfParts>
  <Company>Department of Veterans Affairs (VA)</Company>
  <LinksUpToDate>false</LinksUpToDate>
  <CharactersWithSpaces>72984</CharactersWithSpaces>
  <SharedDoc>false</SharedDoc>
  <HLinks>
    <vt:vector size="876" baseType="variant">
      <vt:variant>
        <vt:i4>2883631</vt:i4>
      </vt:variant>
      <vt:variant>
        <vt:i4>528</vt:i4>
      </vt:variant>
      <vt:variant>
        <vt:i4>0</vt:i4>
      </vt:variant>
      <vt:variant>
        <vt:i4>5</vt:i4>
      </vt:variant>
      <vt:variant>
        <vt:lpwstr>imi-internal:M21-1MRIII.ii.5.A</vt:lpwstr>
      </vt:variant>
      <vt:variant>
        <vt:lpwstr/>
      </vt:variant>
      <vt:variant>
        <vt:i4>458858</vt:i4>
      </vt:variant>
      <vt:variant>
        <vt:i4>525</vt:i4>
      </vt:variant>
      <vt:variant>
        <vt:i4>0</vt:i4>
      </vt:variant>
      <vt:variant>
        <vt:i4>5</vt:i4>
      </vt:variant>
      <vt:variant>
        <vt:lpwstr>http://www.benefits.va.gov/warms/docs/regs/38CFR/BOOKB/PART3/S3_359.DOC</vt:lpwstr>
      </vt:variant>
      <vt:variant>
        <vt:lpwstr/>
      </vt:variant>
      <vt:variant>
        <vt:i4>6946841</vt:i4>
      </vt:variant>
      <vt:variant>
        <vt:i4>522</vt:i4>
      </vt:variant>
      <vt:variant>
        <vt:i4>0</vt:i4>
      </vt:variant>
      <vt:variant>
        <vt:i4>5</vt:i4>
      </vt:variant>
      <vt:variant>
        <vt:lpwstr>http://assembler.law.cornell.edu/uscode/html/uscode38/usc_sec_38_00000109----000-.html</vt:lpwstr>
      </vt:variant>
      <vt:variant>
        <vt:lpwstr/>
      </vt:variant>
      <vt:variant>
        <vt:i4>458848</vt:i4>
      </vt:variant>
      <vt:variant>
        <vt:i4>519</vt:i4>
      </vt:variant>
      <vt:variant>
        <vt:i4>0</vt:i4>
      </vt:variant>
      <vt:variant>
        <vt:i4>5</vt:i4>
      </vt:variant>
      <vt:variant>
        <vt:lpwstr>http://www.benefits.va.gov/warms/docs/regs/38CFR/BOOKB/PART3/S3_353.DOC</vt:lpwstr>
      </vt:variant>
      <vt:variant>
        <vt:lpwstr/>
      </vt:variant>
      <vt:variant>
        <vt:i4>6881306</vt:i4>
      </vt:variant>
      <vt:variant>
        <vt:i4>516</vt:i4>
      </vt:variant>
      <vt:variant>
        <vt:i4>0</vt:i4>
      </vt:variant>
      <vt:variant>
        <vt:i4>5</vt:i4>
      </vt:variant>
      <vt:variant>
        <vt:lpwstr>http://assembler.law.cornell.edu/uscode/html/uscode38/usc_sec_38_00001922----000-.html</vt:lpwstr>
      </vt:variant>
      <vt:variant>
        <vt:lpwstr/>
      </vt:variant>
      <vt:variant>
        <vt:i4>6881306</vt:i4>
      </vt:variant>
      <vt:variant>
        <vt:i4>513</vt:i4>
      </vt:variant>
      <vt:variant>
        <vt:i4>0</vt:i4>
      </vt:variant>
      <vt:variant>
        <vt:i4>5</vt:i4>
      </vt:variant>
      <vt:variant>
        <vt:lpwstr>http://assembler.law.cornell.edu/uscode/html/uscode38/usc_sec_38_00001922----000-.html</vt:lpwstr>
      </vt:variant>
      <vt:variant>
        <vt:lpwstr/>
      </vt:variant>
      <vt:variant>
        <vt:i4>131169</vt:i4>
      </vt:variant>
      <vt:variant>
        <vt:i4>510</vt:i4>
      </vt:variant>
      <vt:variant>
        <vt:i4>0</vt:i4>
      </vt:variant>
      <vt:variant>
        <vt:i4>5</vt:i4>
      </vt:variant>
      <vt:variant>
        <vt:lpwstr>http://www.benefits.va.gov/warms/docs/regs/38CFR/BOOKB/PART3/S3_302.DOC</vt:lpwstr>
      </vt:variant>
      <vt:variant>
        <vt:lpwstr/>
      </vt:variant>
      <vt:variant>
        <vt:i4>6881306</vt:i4>
      </vt:variant>
      <vt:variant>
        <vt:i4>507</vt:i4>
      </vt:variant>
      <vt:variant>
        <vt:i4>0</vt:i4>
      </vt:variant>
      <vt:variant>
        <vt:i4>5</vt:i4>
      </vt:variant>
      <vt:variant>
        <vt:lpwstr>http://assembler.law.cornell.edu/uscode/html/uscode38/usc_sec_38_00001922----000-.html</vt:lpwstr>
      </vt:variant>
      <vt:variant>
        <vt:lpwstr/>
      </vt:variant>
      <vt:variant>
        <vt:i4>6881306</vt:i4>
      </vt:variant>
      <vt:variant>
        <vt:i4>504</vt:i4>
      </vt:variant>
      <vt:variant>
        <vt:i4>0</vt:i4>
      </vt:variant>
      <vt:variant>
        <vt:i4>5</vt:i4>
      </vt:variant>
      <vt:variant>
        <vt:lpwstr>http://assembler.law.cornell.edu/uscode/html/uscode38/usc_sec_38_00001922----000-.html</vt:lpwstr>
      </vt:variant>
      <vt:variant>
        <vt:lpwstr/>
      </vt:variant>
      <vt:variant>
        <vt:i4>6881379</vt:i4>
      </vt:variant>
      <vt:variant>
        <vt:i4>486</vt:i4>
      </vt:variant>
      <vt:variant>
        <vt:i4>0</vt:i4>
      </vt:variant>
      <vt:variant>
        <vt:i4>5</vt:i4>
      </vt:variant>
      <vt:variant>
        <vt:lpwstr>imi-internal:M21-1MRIX.ii.2.9.f</vt:lpwstr>
      </vt:variant>
      <vt:variant>
        <vt:lpwstr/>
      </vt:variant>
      <vt:variant>
        <vt:i4>917629</vt:i4>
      </vt:variant>
      <vt:variant>
        <vt:i4>480</vt:i4>
      </vt:variant>
      <vt:variant>
        <vt:i4>0</vt:i4>
      </vt:variant>
      <vt:variant>
        <vt:i4>5</vt:i4>
      </vt:variant>
      <vt:variant>
        <vt:lpwstr>http://assembler.law.cornell.edu/uscode/html/uscode10/usc_sup_01_10_10_E_20_IV_30_1606.html</vt:lpwstr>
      </vt:variant>
      <vt:variant>
        <vt:lpwstr/>
      </vt:variant>
      <vt:variant>
        <vt:i4>4456480</vt:i4>
      </vt:variant>
      <vt:variant>
        <vt:i4>477</vt:i4>
      </vt:variant>
      <vt:variant>
        <vt:i4>0</vt:i4>
      </vt:variant>
      <vt:variant>
        <vt:i4>5</vt:i4>
      </vt:variant>
      <vt:variant>
        <vt:lpwstr>http://assembler.law.cornell.edu/uscode/html/uscode38/usc_sup_01_38_10_III_20_35.html</vt:lpwstr>
      </vt:variant>
      <vt:variant>
        <vt:lpwstr/>
      </vt:variant>
      <vt:variant>
        <vt:i4>4325408</vt:i4>
      </vt:variant>
      <vt:variant>
        <vt:i4>474</vt:i4>
      </vt:variant>
      <vt:variant>
        <vt:i4>0</vt:i4>
      </vt:variant>
      <vt:variant>
        <vt:i4>5</vt:i4>
      </vt:variant>
      <vt:variant>
        <vt:lpwstr>http://assembler.law.cornell.edu/uscode/html/uscode38/usc_sup_01_38_10_III_20_33.html</vt:lpwstr>
      </vt:variant>
      <vt:variant>
        <vt:lpwstr/>
      </vt:variant>
      <vt:variant>
        <vt:i4>4390944</vt:i4>
      </vt:variant>
      <vt:variant>
        <vt:i4>471</vt:i4>
      </vt:variant>
      <vt:variant>
        <vt:i4>0</vt:i4>
      </vt:variant>
      <vt:variant>
        <vt:i4>5</vt:i4>
      </vt:variant>
      <vt:variant>
        <vt:lpwstr>http://assembler.law.cornell.edu/uscode/html/uscode38/usc_sup_01_38_10_III_20_32.html</vt:lpwstr>
      </vt:variant>
      <vt:variant>
        <vt:lpwstr/>
      </vt:variant>
      <vt:variant>
        <vt:i4>4259872</vt:i4>
      </vt:variant>
      <vt:variant>
        <vt:i4>468</vt:i4>
      </vt:variant>
      <vt:variant>
        <vt:i4>0</vt:i4>
      </vt:variant>
      <vt:variant>
        <vt:i4>5</vt:i4>
      </vt:variant>
      <vt:variant>
        <vt:lpwstr>http://assembler.law.cornell.edu/uscode/html/uscode38/usc_sup_01_38_10_III_20_30.html</vt:lpwstr>
      </vt:variant>
      <vt:variant>
        <vt:lpwstr/>
      </vt:variant>
      <vt:variant>
        <vt:i4>4194336</vt:i4>
      </vt:variant>
      <vt:variant>
        <vt:i4>465</vt:i4>
      </vt:variant>
      <vt:variant>
        <vt:i4>0</vt:i4>
      </vt:variant>
      <vt:variant>
        <vt:i4>5</vt:i4>
      </vt:variant>
      <vt:variant>
        <vt:lpwstr>http://assembler.law.cornell.edu/uscode/html/uscode38/usc_sup_01_38_10_III_20_31.html</vt:lpwstr>
      </vt:variant>
      <vt:variant>
        <vt:lpwstr/>
      </vt:variant>
      <vt:variant>
        <vt:i4>1114113</vt:i4>
      </vt:variant>
      <vt:variant>
        <vt:i4>459</vt:i4>
      </vt:variant>
      <vt:variant>
        <vt:i4>0</vt:i4>
      </vt:variant>
      <vt:variant>
        <vt:i4>5</vt:i4>
      </vt:variant>
      <vt:variant>
        <vt:lpwstr>imi-internal:M21-1MRIII.v.1.D</vt:lpwstr>
      </vt:variant>
      <vt:variant>
        <vt:lpwstr/>
      </vt:variant>
      <vt:variant>
        <vt:i4>2424863</vt:i4>
      </vt:variant>
      <vt:variant>
        <vt:i4>456</vt:i4>
      </vt:variant>
      <vt:variant>
        <vt:i4>0</vt:i4>
      </vt:variant>
      <vt:variant>
        <vt:i4>5</vt:i4>
      </vt:variant>
      <vt:variant>
        <vt:lpwstr>http://law.cornell.edu/uscode/html/uscode38/usc_sup_01_38_10_III_20_35.html</vt:lpwstr>
      </vt:variant>
      <vt:variant>
        <vt:lpwstr/>
      </vt:variant>
      <vt:variant>
        <vt:i4>4325408</vt:i4>
      </vt:variant>
      <vt:variant>
        <vt:i4>453</vt:i4>
      </vt:variant>
      <vt:variant>
        <vt:i4>0</vt:i4>
      </vt:variant>
      <vt:variant>
        <vt:i4>5</vt:i4>
      </vt:variant>
      <vt:variant>
        <vt:lpwstr>http://assembler.law.cornell.edu/uscode/html/uscode38/usc_sup_01_38_10_III_20_33.html</vt:lpwstr>
      </vt:variant>
      <vt:variant>
        <vt:lpwstr/>
      </vt:variant>
      <vt:variant>
        <vt:i4>7274562</vt:i4>
      </vt:variant>
      <vt:variant>
        <vt:i4>450</vt:i4>
      </vt:variant>
      <vt:variant>
        <vt:i4>0</vt:i4>
      </vt:variant>
      <vt:variant>
        <vt:i4>5</vt:i4>
      </vt:variant>
      <vt:variant>
        <vt:lpwstr>http://law.cornell.edu/uscode/html/uscode10/usc_sup_01_10_10_E_20_IV_30_1606.html</vt:lpwstr>
      </vt:variant>
      <vt:variant>
        <vt:lpwstr/>
      </vt:variant>
      <vt:variant>
        <vt:i4>4325408</vt:i4>
      </vt:variant>
      <vt:variant>
        <vt:i4>447</vt:i4>
      </vt:variant>
      <vt:variant>
        <vt:i4>0</vt:i4>
      </vt:variant>
      <vt:variant>
        <vt:i4>5</vt:i4>
      </vt:variant>
      <vt:variant>
        <vt:lpwstr>http://assembler.law.cornell.edu/uscode/html/uscode38/usc_sup_01_38_10_III_20_33.html</vt:lpwstr>
      </vt:variant>
      <vt:variant>
        <vt:lpwstr/>
      </vt:variant>
      <vt:variant>
        <vt:i4>2228255</vt:i4>
      </vt:variant>
      <vt:variant>
        <vt:i4>444</vt:i4>
      </vt:variant>
      <vt:variant>
        <vt:i4>0</vt:i4>
      </vt:variant>
      <vt:variant>
        <vt:i4>5</vt:i4>
      </vt:variant>
      <vt:variant>
        <vt:lpwstr>http://law.cornell.edu/uscode/html/uscode38/usc_sup_01_38_10_III_20_32.html</vt:lpwstr>
      </vt:variant>
      <vt:variant>
        <vt:lpwstr/>
      </vt:variant>
      <vt:variant>
        <vt:i4>2162719</vt:i4>
      </vt:variant>
      <vt:variant>
        <vt:i4>441</vt:i4>
      </vt:variant>
      <vt:variant>
        <vt:i4>0</vt:i4>
      </vt:variant>
      <vt:variant>
        <vt:i4>5</vt:i4>
      </vt:variant>
      <vt:variant>
        <vt:lpwstr>http://law.cornell.edu/uscode/html/uscode38/usc_sup_01_38_10_III_20_31.html</vt:lpwstr>
      </vt:variant>
      <vt:variant>
        <vt:lpwstr/>
      </vt:variant>
      <vt:variant>
        <vt:i4>2097183</vt:i4>
      </vt:variant>
      <vt:variant>
        <vt:i4>438</vt:i4>
      </vt:variant>
      <vt:variant>
        <vt:i4>0</vt:i4>
      </vt:variant>
      <vt:variant>
        <vt:i4>5</vt:i4>
      </vt:variant>
      <vt:variant>
        <vt:lpwstr>http://law.cornell.edu/uscode/html/uscode38/usc_sup_01_38_10_III_20_30.html</vt:lpwstr>
      </vt:variant>
      <vt:variant>
        <vt:lpwstr/>
      </vt:variant>
      <vt:variant>
        <vt:i4>7667819</vt:i4>
      </vt:variant>
      <vt:variant>
        <vt:i4>432</vt:i4>
      </vt:variant>
      <vt:variant>
        <vt:i4>0</vt:i4>
      </vt:variant>
      <vt:variant>
        <vt:i4>5</vt:i4>
      </vt:variant>
      <vt:variant>
        <vt:lpwstr>imi-internal:M21-1MRIX.ii.2.12</vt:lpwstr>
      </vt:variant>
      <vt:variant>
        <vt:lpwstr/>
      </vt:variant>
      <vt:variant>
        <vt:i4>7405659</vt:i4>
      </vt:variant>
      <vt:variant>
        <vt:i4>429</vt:i4>
      </vt:variant>
      <vt:variant>
        <vt:i4>0</vt:i4>
      </vt:variant>
      <vt:variant>
        <vt:i4>5</vt:i4>
      </vt:variant>
      <vt:variant>
        <vt:lpwstr>http://vbaw.vba.va.gov/bl/21/publicat/Regs/Part3/3_324.htm</vt:lpwstr>
      </vt:variant>
      <vt:variant>
        <vt:lpwstr/>
      </vt:variant>
      <vt:variant>
        <vt:i4>458855</vt:i4>
      </vt:variant>
      <vt:variant>
        <vt:i4>426</vt:i4>
      </vt:variant>
      <vt:variant>
        <vt:i4>0</vt:i4>
      </vt:variant>
      <vt:variant>
        <vt:i4>5</vt:i4>
      </vt:variant>
      <vt:variant>
        <vt:lpwstr>http://www.benefits.va.gov/warms/docs/regs/38CFR/BOOKB/PART3/S3_354.DOC</vt:lpwstr>
      </vt:variant>
      <vt:variant>
        <vt:lpwstr/>
      </vt:variant>
      <vt:variant>
        <vt:i4>1114113</vt:i4>
      </vt:variant>
      <vt:variant>
        <vt:i4>423</vt:i4>
      </vt:variant>
      <vt:variant>
        <vt:i4>0</vt:i4>
      </vt:variant>
      <vt:variant>
        <vt:i4>5</vt:i4>
      </vt:variant>
      <vt:variant>
        <vt:lpwstr>imi-internal:M21-1MRIII.v.1.E</vt:lpwstr>
      </vt:variant>
      <vt:variant>
        <vt:lpwstr/>
      </vt:variant>
      <vt:variant>
        <vt:i4>655403</vt:i4>
      </vt:variant>
      <vt:variant>
        <vt:i4>420</vt:i4>
      </vt:variant>
      <vt:variant>
        <vt:i4>0</vt:i4>
      </vt:variant>
      <vt:variant>
        <vt:i4>5</vt:i4>
      </vt:variant>
      <vt:variant>
        <vt:lpwstr>http://law.cornell.edu/uscode/html/uscode38/usc_sec_38_00001702----000-.html</vt:lpwstr>
      </vt:variant>
      <vt:variant>
        <vt:lpwstr/>
      </vt:variant>
      <vt:variant>
        <vt:i4>655403</vt:i4>
      </vt:variant>
      <vt:variant>
        <vt:i4>417</vt:i4>
      </vt:variant>
      <vt:variant>
        <vt:i4>0</vt:i4>
      </vt:variant>
      <vt:variant>
        <vt:i4>5</vt:i4>
      </vt:variant>
      <vt:variant>
        <vt:lpwstr>http://law.cornell.edu/uscode/html/uscode38/usc_sec_38_00001702----000-.html</vt:lpwstr>
      </vt:variant>
      <vt:variant>
        <vt:lpwstr/>
      </vt:variant>
      <vt:variant>
        <vt:i4>655403</vt:i4>
      </vt:variant>
      <vt:variant>
        <vt:i4>414</vt:i4>
      </vt:variant>
      <vt:variant>
        <vt:i4>0</vt:i4>
      </vt:variant>
      <vt:variant>
        <vt:i4>5</vt:i4>
      </vt:variant>
      <vt:variant>
        <vt:lpwstr>http://law.cornell.edu/uscode/html/uscode38/usc_sec_38_00001702----000-.html</vt:lpwstr>
      </vt:variant>
      <vt:variant>
        <vt:lpwstr/>
      </vt:variant>
      <vt:variant>
        <vt:i4>6881391</vt:i4>
      </vt:variant>
      <vt:variant>
        <vt:i4>408</vt:i4>
      </vt:variant>
      <vt:variant>
        <vt:i4>0</vt:i4>
      </vt:variant>
      <vt:variant>
        <vt:i4>5</vt:i4>
      </vt:variant>
      <vt:variant>
        <vt:lpwstr>imi-internal:M21-1MRIX.ii.2.5.f</vt:lpwstr>
      </vt:variant>
      <vt:variant>
        <vt:lpwstr/>
      </vt:variant>
      <vt:variant>
        <vt:i4>655403</vt:i4>
      </vt:variant>
      <vt:variant>
        <vt:i4>405</vt:i4>
      </vt:variant>
      <vt:variant>
        <vt:i4>0</vt:i4>
      </vt:variant>
      <vt:variant>
        <vt:i4>5</vt:i4>
      </vt:variant>
      <vt:variant>
        <vt:lpwstr>http://law.cornell.edu/uscode/html/uscode38/usc_sec_38_00001702----000-.html</vt:lpwstr>
      </vt:variant>
      <vt:variant>
        <vt:lpwstr/>
      </vt:variant>
      <vt:variant>
        <vt:i4>655403</vt:i4>
      </vt:variant>
      <vt:variant>
        <vt:i4>402</vt:i4>
      </vt:variant>
      <vt:variant>
        <vt:i4>0</vt:i4>
      </vt:variant>
      <vt:variant>
        <vt:i4>5</vt:i4>
      </vt:variant>
      <vt:variant>
        <vt:lpwstr>http://law.cornell.edu/uscode/html/uscode38/usc_sec_38_00001702----000-.html</vt:lpwstr>
      </vt:variant>
      <vt:variant>
        <vt:lpwstr/>
      </vt:variant>
      <vt:variant>
        <vt:i4>655403</vt:i4>
      </vt:variant>
      <vt:variant>
        <vt:i4>399</vt:i4>
      </vt:variant>
      <vt:variant>
        <vt:i4>0</vt:i4>
      </vt:variant>
      <vt:variant>
        <vt:i4>5</vt:i4>
      </vt:variant>
      <vt:variant>
        <vt:lpwstr>http://law.cornell.edu/uscode/html/uscode38/usc_sec_38_00001702----000-.html</vt:lpwstr>
      </vt:variant>
      <vt:variant>
        <vt:lpwstr/>
      </vt:variant>
      <vt:variant>
        <vt:i4>655403</vt:i4>
      </vt:variant>
      <vt:variant>
        <vt:i4>396</vt:i4>
      </vt:variant>
      <vt:variant>
        <vt:i4>0</vt:i4>
      </vt:variant>
      <vt:variant>
        <vt:i4>5</vt:i4>
      </vt:variant>
      <vt:variant>
        <vt:lpwstr>http://law.cornell.edu/uscode/html/uscode38/usc_sec_38_00001702----000-.html</vt:lpwstr>
      </vt:variant>
      <vt:variant>
        <vt:lpwstr/>
      </vt:variant>
      <vt:variant>
        <vt:i4>655403</vt:i4>
      </vt:variant>
      <vt:variant>
        <vt:i4>393</vt:i4>
      </vt:variant>
      <vt:variant>
        <vt:i4>0</vt:i4>
      </vt:variant>
      <vt:variant>
        <vt:i4>5</vt:i4>
      </vt:variant>
      <vt:variant>
        <vt:lpwstr>http://law.cornell.edu/uscode/html/uscode38/usc_sec_38_00001702----000-.html</vt:lpwstr>
      </vt:variant>
      <vt:variant>
        <vt:lpwstr/>
      </vt:variant>
      <vt:variant>
        <vt:i4>655403</vt:i4>
      </vt:variant>
      <vt:variant>
        <vt:i4>390</vt:i4>
      </vt:variant>
      <vt:variant>
        <vt:i4>0</vt:i4>
      </vt:variant>
      <vt:variant>
        <vt:i4>5</vt:i4>
      </vt:variant>
      <vt:variant>
        <vt:lpwstr>http://law.cornell.edu/uscode/html/uscode38/usc_sec_38_00001702----000-.html</vt:lpwstr>
      </vt:variant>
      <vt:variant>
        <vt:lpwstr/>
      </vt:variant>
      <vt:variant>
        <vt:i4>524373</vt:i4>
      </vt:variant>
      <vt:variant>
        <vt:i4>384</vt:i4>
      </vt:variant>
      <vt:variant>
        <vt:i4>0</vt:i4>
      </vt:variant>
      <vt:variant>
        <vt:i4>5</vt:i4>
      </vt:variant>
      <vt:variant>
        <vt:lpwstr>imi-internal:M21-1MRIII.v.7.C.17</vt:lpwstr>
      </vt:variant>
      <vt:variant>
        <vt:lpwstr/>
      </vt:variant>
      <vt:variant>
        <vt:i4>655403</vt:i4>
      </vt:variant>
      <vt:variant>
        <vt:i4>381</vt:i4>
      </vt:variant>
      <vt:variant>
        <vt:i4>0</vt:i4>
      </vt:variant>
      <vt:variant>
        <vt:i4>5</vt:i4>
      </vt:variant>
      <vt:variant>
        <vt:lpwstr>http://law.cornell.edu/uscode/html/uscode38/usc_sec_38_00001702----000-.html</vt:lpwstr>
      </vt:variant>
      <vt:variant>
        <vt:lpwstr/>
      </vt:variant>
      <vt:variant>
        <vt:i4>2555958</vt:i4>
      </vt:variant>
      <vt:variant>
        <vt:i4>375</vt:i4>
      </vt:variant>
      <vt:variant>
        <vt:i4>0</vt:i4>
      </vt:variant>
      <vt:variant>
        <vt:i4>5</vt:i4>
      </vt:variant>
      <vt:variant>
        <vt:lpwstr>imi-internal:M21-1MRIII.iv.4.H.27.d</vt:lpwstr>
      </vt:variant>
      <vt:variant>
        <vt:lpwstr/>
      </vt:variant>
      <vt:variant>
        <vt:i4>655463</vt:i4>
      </vt:variant>
      <vt:variant>
        <vt:i4>372</vt:i4>
      </vt:variant>
      <vt:variant>
        <vt:i4>0</vt:i4>
      </vt:variant>
      <vt:variant>
        <vt:i4>5</vt:i4>
      </vt:variant>
      <vt:variant>
        <vt:lpwstr>http://www.benefits.va.gov/warms/docs/regs/38CFR/BOOKB/PART3/S3_384.DOC</vt:lpwstr>
      </vt:variant>
      <vt:variant>
        <vt:lpwstr/>
      </vt:variant>
      <vt:variant>
        <vt:i4>655403</vt:i4>
      </vt:variant>
      <vt:variant>
        <vt:i4>369</vt:i4>
      </vt:variant>
      <vt:variant>
        <vt:i4>0</vt:i4>
      </vt:variant>
      <vt:variant>
        <vt:i4>5</vt:i4>
      </vt:variant>
      <vt:variant>
        <vt:lpwstr>http://law.cornell.edu/uscode/html/uscode38/usc_sec_38_00001702----000-.html</vt:lpwstr>
      </vt:variant>
      <vt:variant>
        <vt:lpwstr/>
      </vt:variant>
      <vt:variant>
        <vt:i4>6553647</vt:i4>
      </vt:variant>
      <vt:variant>
        <vt:i4>363</vt:i4>
      </vt:variant>
      <vt:variant>
        <vt:i4>0</vt:i4>
      </vt:variant>
      <vt:variant>
        <vt:i4>5</vt:i4>
      </vt:variant>
      <vt:variant>
        <vt:lpwstr>imi-internal:M21-1MRIII.iv.6.B.3.d</vt:lpwstr>
      </vt:variant>
      <vt:variant>
        <vt:lpwstr/>
      </vt:variant>
      <vt:variant>
        <vt:i4>6881391</vt:i4>
      </vt:variant>
      <vt:variant>
        <vt:i4>360</vt:i4>
      </vt:variant>
      <vt:variant>
        <vt:i4>0</vt:i4>
      </vt:variant>
      <vt:variant>
        <vt:i4>5</vt:i4>
      </vt:variant>
      <vt:variant>
        <vt:lpwstr>imi-internal:M21-1MRIX.ii.2.5.e</vt:lpwstr>
      </vt:variant>
      <vt:variant>
        <vt:lpwstr/>
      </vt:variant>
      <vt:variant>
        <vt:i4>6881391</vt:i4>
      </vt:variant>
      <vt:variant>
        <vt:i4>357</vt:i4>
      </vt:variant>
      <vt:variant>
        <vt:i4>0</vt:i4>
      </vt:variant>
      <vt:variant>
        <vt:i4>5</vt:i4>
      </vt:variant>
      <vt:variant>
        <vt:lpwstr>imi-internal:M21-1MRIX.ii.2.5.d</vt:lpwstr>
      </vt:variant>
      <vt:variant>
        <vt:lpwstr/>
      </vt:variant>
      <vt:variant>
        <vt:i4>6881391</vt:i4>
      </vt:variant>
      <vt:variant>
        <vt:i4>354</vt:i4>
      </vt:variant>
      <vt:variant>
        <vt:i4>0</vt:i4>
      </vt:variant>
      <vt:variant>
        <vt:i4>5</vt:i4>
      </vt:variant>
      <vt:variant>
        <vt:lpwstr>imi-internal:M21-1MRIX.ii.2.5.c</vt:lpwstr>
      </vt:variant>
      <vt:variant>
        <vt:lpwstr/>
      </vt:variant>
      <vt:variant>
        <vt:i4>655403</vt:i4>
      </vt:variant>
      <vt:variant>
        <vt:i4>351</vt:i4>
      </vt:variant>
      <vt:variant>
        <vt:i4>0</vt:i4>
      </vt:variant>
      <vt:variant>
        <vt:i4>5</vt:i4>
      </vt:variant>
      <vt:variant>
        <vt:lpwstr>http://law.cornell.edu/uscode/html/uscode38/usc_sec_38_00001702----000-.html</vt:lpwstr>
      </vt:variant>
      <vt:variant>
        <vt:lpwstr/>
      </vt:variant>
      <vt:variant>
        <vt:i4>655403</vt:i4>
      </vt:variant>
      <vt:variant>
        <vt:i4>348</vt:i4>
      </vt:variant>
      <vt:variant>
        <vt:i4>0</vt:i4>
      </vt:variant>
      <vt:variant>
        <vt:i4>5</vt:i4>
      </vt:variant>
      <vt:variant>
        <vt:lpwstr>http://law.cornell.edu/uscode/html/uscode38/usc_sec_38_00001702----000-.html</vt:lpwstr>
      </vt:variant>
      <vt:variant>
        <vt:lpwstr/>
      </vt:variant>
      <vt:variant>
        <vt:i4>655403</vt:i4>
      </vt:variant>
      <vt:variant>
        <vt:i4>345</vt:i4>
      </vt:variant>
      <vt:variant>
        <vt:i4>0</vt:i4>
      </vt:variant>
      <vt:variant>
        <vt:i4>5</vt:i4>
      </vt:variant>
      <vt:variant>
        <vt:lpwstr>http://law.cornell.edu/uscode/html/uscode38/usc_sec_38_00001702----000-.html</vt:lpwstr>
      </vt:variant>
      <vt:variant>
        <vt:lpwstr/>
      </vt:variant>
      <vt:variant>
        <vt:i4>655403</vt:i4>
      </vt:variant>
      <vt:variant>
        <vt:i4>342</vt:i4>
      </vt:variant>
      <vt:variant>
        <vt:i4>0</vt:i4>
      </vt:variant>
      <vt:variant>
        <vt:i4>5</vt:i4>
      </vt:variant>
      <vt:variant>
        <vt:lpwstr>http://law.cornell.edu/uscode/html/uscode38/usc_sec_38_00001702----000-.html</vt:lpwstr>
      </vt:variant>
      <vt:variant>
        <vt:lpwstr/>
      </vt:variant>
      <vt:variant>
        <vt:i4>655403</vt:i4>
      </vt:variant>
      <vt:variant>
        <vt:i4>339</vt:i4>
      </vt:variant>
      <vt:variant>
        <vt:i4>0</vt:i4>
      </vt:variant>
      <vt:variant>
        <vt:i4>5</vt:i4>
      </vt:variant>
      <vt:variant>
        <vt:lpwstr>http://law.cornell.edu/uscode/html/uscode38/usc_sec_38_00001702----000-.html</vt:lpwstr>
      </vt:variant>
      <vt:variant>
        <vt:lpwstr/>
      </vt:variant>
      <vt:variant>
        <vt:i4>655403</vt:i4>
      </vt:variant>
      <vt:variant>
        <vt:i4>336</vt:i4>
      </vt:variant>
      <vt:variant>
        <vt:i4>0</vt:i4>
      </vt:variant>
      <vt:variant>
        <vt:i4>5</vt:i4>
      </vt:variant>
      <vt:variant>
        <vt:lpwstr>http://law.cornell.edu/uscode/html/uscode38/usc_sec_38_00001702----000-.html</vt:lpwstr>
      </vt:variant>
      <vt:variant>
        <vt:lpwstr/>
      </vt:variant>
      <vt:variant>
        <vt:i4>4128870</vt:i4>
      </vt:variant>
      <vt:variant>
        <vt:i4>333</vt:i4>
      </vt:variant>
      <vt:variant>
        <vt:i4>0</vt:i4>
      </vt:variant>
      <vt:variant>
        <vt:i4>5</vt:i4>
      </vt:variant>
      <vt:variant>
        <vt:lpwstr>http://vbaw.vba.va.gov/bl/21/advisory/CAVCDAD.htm</vt:lpwstr>
      </vt:variant>
      <vt:variant>
        <vt:lpwstr>bmm</vt:lpwstr>
      </vt:variant>
      <vt:variant>
        <vt:i4>655403</vt:i4>
      </vt:variant>
      <vt:variant>
        <vt:i4>330</vt:i4>
      </vt:variant>
      <vt:variant>
        <vt:i4>0</vt:i4>
      </vt:variant>
      <vt:variant>
        <vt:i4>5</vt:i4>
      </vt:variant>
      <vt:variant>
        <vt:lpwstr>http://law.cornell.edu/uscode/html/uscode38/usc_sec_38_00001702----000-.html</vt:lpwstr>
      </vt:variant>
      <vt:variant>
        <vt:lpwstr/>
      </vt:variant>
      <vt:variant>
        <vt:i4>655403</vt:i4>
      </vt:variant>
      <vt:variant>
        <vt:i4>327</vt:i4>
      </vt:variant>
      <vt:variant>
        <vt:i4>0</vt:i4>
      </vt:variant>
      <vt:variant>
        <vt:i4>5</vt:i4>
      </vt:variant>
      <vt:variant>
        <vt:lpwstr>http://law.cornell.edu/uscode/html/uscode38/usc_sec_38_00001702----000-.html</vt:lpwstr>
      </vt:variant>
      <vt:variant>
        <vt:lpwstr/>
      </vt:variant>
      <vt:variant>
        <vt:i4>655403</vt:i4>
      </vt:variant>
      <vt:variant>
        <vt:i4>321</vt:i4>
      </vt:variant>
      <vt:variant>
        <vt:i4>0</vt:i4>
      </vt:variant>
      <vt:variant>
        <vt:i4>5</vt:i4>
      </vt:variant>
      <vt:variant>
        <vt:lpwstr>http://law.cornell.edu/uscode/html/uscode38/usc_sec_38_00001702----000-.html</vt:lpwstr>
      </vt:variant>
      <vt:variant>
        <vt:lpwstr/>
      </vt:variant>
      <vt:variant>
        <vt:i4>655403</vt:i4>
      </vt:variant>
      <vt:variant>
        <vt:i4>318</vt:i4>
      </vt:variant>
      <vt:variant>
        <vt:i4>0</vt:i4>
      </vt:variant>
      <vt:variant>
        <vt:i4>5</vt:i4>
      </vt:variant>
      <vt:variant>
        <vt:lpwstr>http://law.cornell.edu/uscode/html/uscode38/usc_sec_38_00001702----000-.html</vt:lpwstr>
      </vt:variant>
      <vt:variant>
        <vt:lpwstr/>
      </vt:variant>
      <vt:variant>
        <vt:i4>1114119</vt:i4>
      </vt:variant>
      <vt:variant>
        <vt:i4>315</vt:i4>
      </vt:variant>
      <vt:variant>
        <vt:i4>0</vt:i4>
      </vt:variant>
      <vt:variant>
        <vt:i4>5</vt:i4>
      </vt:variant>
      <vt:variant>
        <vt:lpwstr>imi-internal:M21-1MRIII.v.7.A</vt:lpwstr>
      </vt:variant>
      <vt:variant>
        <vt:lpwstr/>
      </vt:variant>
      <vt:variant>
        <vt:i4>1114119</vt:i4>
      </vt:variant>
      <vt:variant>
        <vt:i4>312</vt:i4>
      </vt:variant>
      <vt:variant>
        <vt:i4>0</vt:i4>
      </vt:variant>
      <vt:variant>
        <vt:i4>5</vt:i4>
      </vt:variant>
      <vt:variant>
        <vt:lpwstr>imi-internal:M21-1MRIII.v.7.A</vt:lpwstr>
      </vt:variant>
      <vt:variant>
        <vt:lpwstr/>
      </vt:variant>
      <vt:variant>
        <vt:i4>720937</vt:i4>
      </vt:variant>
      <vt:variant>
        <vt:i4>309</vt:i4>
      </vt:variant>
      <vt:variant>
        <vt:i4>0</vt:i4>
      </vt:variant>
      <vt:variant>
        <vt:i4>5</vt:i4>
      </vt:variant>
      <vt:variant>
        <vt:lpwstr>http://law.cornell.edu/uscode/html/uscode38/usc_sec_38_00001710----000-.html</vt:lpwstr>
      </vt:variant>
      <vt:variant>
        <vt:lpwstr/>
      </vt:variant>
      <vt:variant>
        <vt:i4>655458</vt:i4>
      </vt:variant>
      <vt:variant>
        <vt:i4>306</vt:i4>
      </vt:variant>
      <vt:variant>
        <vt:i4>0</vt:i4>
      </vt:variant>
      <vt:variant>
        <vt:i4>5</vt:i4>
      </vt:variant>
      <vt:variant>
        <vt:lpwstr>http://www.benefits.va.gov/warms/docs/regs/38CFR/BOOKB/PART3/S3_381.DOC</vt:lpwstr>
      </vt:variant>
      <vt:variant>
        <vt:lpwstr/>
      </vt:variant>
      <vt:variant>
        <vt:i4>655458</vt:i4>
      </vt:variant>
      <vt:variant>
        <vt:i4>303</vt:i4>
      </vt:variant>
      <vt:variant>
        <vt:i4>0</vt:i4>
      </vt:variant>
      <vt:variant>
        <vt:i4>5</vt:i4>
      </vt:variant>
      <vt:variant>
        <vt:lpwstr>http://www.benefits.va.gov/warms/docs/regs/38CFR/BOOKB/PART3/S3_381.DOC</vt:lpwstr>
      </vt:variant>
      <vt:variant>
        <vt:lpwstr/>
      </vt:variant>
      <vt:variant>
        <vt:i4>5636126</vt:i4>
      </vt:variant>
      <vt:variant>
        <vt:i4>300</vt:i4>
      </vt:variant>
      <vt:variant>
        <vt:i4>0</vt:i4>
      </vt:variant>
      <vt:variant>
        <vt:i4>5</vt:i4>
      </vt:variant>
      <vt:variant>
        <vt:lpwstr>imi-internal:M21-1MRI.1.C</vt:lpwstr>
      </vt:variant>
      <vt:variant>
        <vt:lpwstr/>
      </vt:variant>
      <vt:variant>
        <vt:i4>655458</vt:i4>
      </vt:variant>
      <vt:variant>
        <vt:i4>297</vt:i4>
      </vt:variant>
      <vt:variant>
        <vt:i4>0</vt:i4>
      </vt:variant>
      <vt:variant>
        <vt:i4>5</vt:i4>
      </vt:variant>
      <vt:variant>
        <vt:lpwstr>http://www.benefits.va.gov/warms/docs/regs/38CFR/BOOKB/PART3/S3_381.DOC</vt:lpwstr>
      </vt:variant>
      <vt:variant>
        <vt:lpwstr/>
      </vt:variant>
      <vt:variant>
        <vt:i4>655458</vt:i4>
      </vt:variant>
      <vt:variant>
        <vt:i4>294</vt:i4>
      </vt:variant>
      <vt:variant>
        <vt:i4>0</vt:i4>
      </vt:variant>
      <vt:variant>
        <vt:i4>5</vt:i4>
      </vt:variant>
      <vt:variant>
        <vt:lpwstr>http://www.benefits.va.gov/warms/docs/regs/38CFR/BOOKB/PART3/S3_381.DOC</vt:lpwstr>
      </vt:variant>
      <vt:variant>
        <vt:lpwstr/>
      </vt:variant>
      <vt:variant>
        <vt:i4>6291470</vt:i4>
      </vt:variant>
      <vt:variant>
        <vt:i4>291</vt:i4>
      </vt:variant>
      <vt:variant>
        <vt:i4>0</vt:i4>
      </vt:variant>
      <vt:variant>
        <vt:i4>5</vt:i4>
      </vt:variant>
      <vt:variant>
        <vt:lpwstr>http://www.benefits.va.gov/warms/docs/Regs/38CFR/BookI/Part17/s17_160.doc</vt:lpwstr>
      </vt:variant>
      <vt:variant>
        <vt:lpwstr/>
      </vt:variant>
      <vt:variant>
        <vt:i4>720939</vt:i4>
      </vt:variant>
      <vt:variant>
        <vt:i4>282</vt:i4>
      </vt:variant>
      <vt:variant>
        <vt:i4>0</vt:i4>
      </vt:variant>
      <vt:variant>
        <vt:i4>5</vt:i4>
      </vt:variant>
      <vt:variant>
        <vt:lpwstr>http://law.cornell.edu/uscode/html/uscode38/usc_sec_38_00001712----000-.html</vt:lpwstr>
      </vt:variant>
      <vt:variant>
        <vt:lpwstr/>
      </vt:variant>
      <vt:variant>
        <vt:i4>655458</vt:i4>
      </vt:variant>
      <vt:variant>
        <vt:i4>279</vt:i4>
      </vt:variant>
      <vt:variant>
        <vt:i4>0</vt:i4>
      </vt:variant>
      <vt:variant>
        <vt:i4>5</vt:i4>
      </vt:variant>
      <vt:variant>
        <vt:lpwstr>http://www.benefits.va.gov/warms/docs/regs/38CFR/BOOKB/PART3/S3_381.DOC</vt:lpwstr>
      </vt:variant>
      <vt:variant>
        <vt:lpwstr/>
      </vt:variant>
      <vt:variant>
        <vt:i4>131171</vt:i4>
      </vt:variant>
      <vt:variant>
        <vt:i4>273</vt:i4>
      </vt:variant>
      <vt:variant>
        <vt:i4>0</vt:i4>
      </vt:variant>
      <vt:variant>
        <vt:i4>5</vt:i4>
      </vt:variant>
      <vt:variant>
        <vt:lpwstr>http://www.benefits.va.gov/warms/docs/regs/38CFR/BOOKB/PART3/S3_102.DOC</vt:lpwstr>
      </vt:variant>
      <vt:variant>
        <vt:lpwstr/>
      </vt:variant>
      <vt:variant>
        <vt:i4>655458</vt:i4>
      </vt:variant>
      <vt:variant>
        <vt:i4>270</vt:i4>
      </vt:variant>
      <vt:variant>
        <vt:i4>0</vt:i4>
      </vt:variant>
      <vt:variant>
        <vt:i4>5</vt:i4>
      </vt:variant>
      <vt:variant>
        <vt:lpwstr>http://www.benefits.va.gov/warms/docs/regs/38CFR/BOOKB/PART3/S3_381.DOC</vt:lpwstr>
      </vt:variant>
      <vt:variant>
        <vt:lpwstr/>
      </vt:variant>
      <vt:variant>
        <vt:i4>655458</vt:i4>
      </vt:variant>
      <vt:variant>
        <vt:i4>264</vt:i4>
      </vt:variant>
      <vt:variant>
        <vt:i4>0</vt:i4>
      </vt:variant>
      <vt:variant>
        <vt:i4>5</vt:i4>
      </vt:variant>
      <vt:variant>
        <vt:lpwstr>http://www.benefits.va.gov/warms/docs/regs/38CFR/BOOKB/PART3/S3_381.DOC</vt:lpwstr>
      </vt:variant>
      <vt:variant>
        <vt:lpwstr/>
      </vt:variant>
      <vt:variant>
        <vt:i4>655458</vt:i4>
      </vt:variant>
      <vt:variant>
        <vt:i4>261</vt:i4>
      </vt:variant>
      <vt:variant>
        <vt:i4>0</vt:i4>
      </vt:variant>
      <vt:variant>
        <vt:i4>5</vt:i4>
      </vt:variant>
      <vt:variant>
        <vt:lpwstr>http://www.benefits.va.gov/warms/docs/regs/38CFR/BOOKB/PART3/S3_381.DOC</vt:lpwstr>
      </vt:variant>
      <vt:variant>
        <vt:lpwstr/>
      </vt:variant>
      <vt:variant>
        <vt:i4>655458</vt:i4>
      </vt:variant>
      <vt:variant>
        <vt:i4>258</vt:i4>
      </vt:variant>
      <vt:variant>
        <vt:i4>0</vt:i4>
      </vt:variant>
      <vt:variant>
        <vt:i4>5</vt:i4>
      </vt:variant>
      <vt:variant>
        <vt:lpwstr>http://www.benefits.va.gov/warms/docs/regs/38CFR/BOOKB/PART3/S3_381.DOC</vt:lpwstr>
      </vt:variant>
      <vt:variant>
        <vt:lpwstr/>
      </vt:variant>
      <vt:variant>
        <vt:i4>6291471</vt:i4>
      </vt:variant>
      <vt:variant>
        <vt:i4>252</vt:i4>
      </vt:variant>
      <vt:variant>
        <vt:i4>0</vt:i4>
      </vt:variant>
      <vt:variant>
        <vt:i4>5</vt:i4>
      </vt:variant>
      <vt:variant>
        <vt:lpwstr>http://www.benefits.va.gov/warms/docs/Regs/38CFR/BookI/Part17/s17_161.doc</vt:lpwstr>
      </vt:variant>
      <vt:variant>
        <vt:lpwstr/>
      </vt:variant>
      <vt:variant>
        <vt:i4>6291471</vt:i4>
      </vt:variant>
      <vt:variant>
        <vt:i4>249</vt:i4>
      </vt:variant>
      <vt:variant>
        <vt:i4>0</vt:i4>
      </vt:variant>
      <vt:variant>
        <vt:i4>5</vt:i4>
      </vt:variant>
      <vt:variant>
        <vt:lpwstr>http://www.benefits.va.gov/warms/docs/Regs/38CFR/BookI/Part17/s17_161.doc</vt:lpwstr>
      </vt:variant>
      <vt:variant>
        <vt:lpwstr/>
      </vt:variant>
      <vt:variant>
        <vt:i4>655458</vt:i4>
      </vt:variant>
      <vt:variant>
        <vt:i4>246</vt:i4>
      </vt:variant>
      <vt:variant>
        <vt:i4>0</vt:i4>
      </vt:variant>
      <vt:variant>
        <vt:i4>5</vt:i4>
      </vt:variant>
      <vt:variant>
        <vt:lpwstr>http://www.benefits.va.gov/warms/docs/regs/38CFR/BOOKB/PART3/S3_381.DOC</vt:lpwstr>
      </vt:variant>
      <vt:variant>
        <vt:lpwstr/>
      </vt:variant>
      <vt:variant>
        <vt:i4>6291471</vt:i4>
      </vt:variant>
      <vt:variant>
        <vt:i4>243</vt:i4>
      </vt:variant>
      <vt:variant>
        <vt:i4>0</vt:i4>
      </vt:variant>
      <vt:variant>
        <vt:i4>5</vt:i4>
      </vt:variant>
      <vt:variant>
        <vt:lpwstr>http://www.benefits.va.gov/warms/docs/Regs/38CFR/BookI/Part17/s17_161.doc</vt:lpwstr>
      </vt:variant>
      <vt:variant>
        <vt:lpwstr/>
      </vt:variant>
      <vt:variant>
        <vt:i4>655458</vt:i4>
      </vt:variant>
      <vt:variant>
        <vt:i4>240</vt:i4>
      </vt:variant>
      <vt:variant>
        <vt:i4>0</vt:i4>
      </vt:variant>
      <vt:variant>
        <vt:i4>5</vt:i4>
      </vt:variant>
      <vt:variant>
        <vt:lpwstr>http://www.benefits.va.gov/warms/docs/regs/38CFR/BOOKB/PART3/S3_381.DOC</vt:lpwstr>
      </vt:variant>
      <vt:variant>
        <vt:lpwstr/>
      </vt:variant>
      <vt:variant>
        <vt:i4>6881384</vt:i4>
      </vt:variant>
      <vt:variant>
        <vt:i4>234</vt:i4>
      </vt:variant>
      <vt:variant>
        <vt:i4>0</vt:i4>
      </vt:variant>
      <vt:variant>
        <vt:i4>5</vt:i4>
      </vt:variant>
      <vt:variant>
        <vt:lpwstr>imi-internal:M21-1MRIX.ii.2.2.o</vt:lpwstr>
      </vt:variant>
      <vt:variant>
        <vt:lpwstr/>
      </vt:variant>
      <vt:variant>
        <vt:i4>6881384</vt:i4>
      </vt:variant>
      <vt:variant>
        <vt:i4>231</vt:i4>
      </vt:variant>
      <vt:variant>
        <vt:i4>0</vt:i4>
      </vt:variant>
      <vt:variant>
        <vt:i4>5</vt:i4>
      </vt:variant>
      <vt:variant>
        <vt:lpwstr>imi-internal:M21-1MRIX.ii.2.2.h</vt:lpwstr>
      </vt:variant>
      <vt:variant>
        <vt:lpwstr/>
      </vt:variant>
      <vt:variant>
        <vt:i4>2031700</vt:i4>
      </vt:variant>
      <vt:variant>
        <vt:i4>228</vt:i4>
      </vt:variant>
      <vt:variant>
        <vt:i4>0</vt:i4>
      </vt:variant>
      <vt:variant>
        <vt:i4>5</vt:i4>
      </vt:variant>
      <vt:variant>
        <vt:lpwstr>http://www.va.gov/ogc/docs/1997/PRC05-97.DOC</vt:lpwstr>
      </vt:variant>
      <vt:variant>
        <vt:lpwstr/>
      </vt:variant>
      <vt:variant>
        <vt:i4>4128870</vt:i4>
      </vt:variant>
      <vt:variant>
        <vt:i4>225</vt:i4>
      </vt:variant>
      <vt:variant>
        <vt:i4>0</vt:i4>
      </vt:variant>
      <vt:variant>
        <vt:i4>5</vt:i4>
      </vt:variant>
      <vt:variant>
        <vt:lpwstr>http://vbaw.vba.va.gov/bl/21/advisory/CAVCDAD.htm</vt:lpwstr>
      </vt:variant>
      <vt:variant>
        <vt:lpwstr>bmn</vt:lpwstr>
      </vt:variant>
      <vt:variant>
        <vt:i4>6881384</vt:i4>
      </vt:variant>
      <vt:variant>
        <vt:i4>222</vt:i4>
      </vt:variant>
      <vt:variant>
        <vt:i4>0</vt:i4>
      </vt:variant>
      <vt:variant>
        <vt:i4>5</vt:i4>
      </vt:variant>
      <vt:variant>
        <vt:lpwstr>imi-internal:M21-1MRIX.ii.2.2.e</vt:lpwstr>
      </vt:variant>
      <vt:variant>
        <vt:lpwstr/>
      </vt:variant>
      <vt:variant>
        <vt:i4>6881384</vt:i4>
      </vt:variant>
      <vt:variant>
        <vt:i4>219</vt:i4>
      </vt:variant>
      <vt:variant>
        <vt:i4>0</vt:i4>
      </vt:variant>
      <vt:variant>
        <vt:i4>5</vt:i4>
      </vt:variant>
      <vt:variant>
        <vt:lpwstr>imi-internal:M21-1MRIX.ii.2.2.d</vt:lpwstr>
      </vt:variant>
      <vt:variant>
        <vt:lpwstr/>
      </vt:variant>
      <vt:variant>
        <vt:i4>6291471</vt:i4>
      </vt:variant>
      <vt:variant>
        <vt:i4>213</vt:i4>
      </vt:variant>
      <vt:variant>
        <vt:i4>0</vt:i4>
      </vt:variant>
      <vt:variant>
        <vt:i4>5</vt:i4>
      </vt:variant>
      <vt:variant>
        <vt:lpwstr>http://www.benefits.va.gov/warms/docs/Regs/38CFR/BookI/Part17/s17_161.doc</vt:lpwstr>
      </vt:variant>
      <vt:variant>
        <vt:lpwstr/>
      </vt:variant>
      <vt:variant>
        <vt:i4>655458</vt:i4>
      </vt:variant>
      <vt:variant>
        <vt:i4>210</vt:i4>
      </vt:variant>
      <vt:variant>
        <vt:i4>0</vt:i4>
      </vt:variant>
      <vt:variant>
        <vt:i4>5</vt:i4>
      </vt:variant>
      <vt:variant>
        <vt:lpwstr>http://www.benefits.va.gov/warms/docs/regs/38CFR/BOOKB/PART3/S3_381.DOC</vt:lpwstr>
      </vt:variant>
      <vt:variant>
        <vt:lpwstr/>
      </vt:variant>
      <vt:variant>
        <vt:i4>786516</vt:i4>
      </vt:variant>
      <vt:variant>
        <vt:i4>207</vt:i4>
      </vt:variant>
      <vt:variant>
        <vt:i4>0</vt:i4>
      </vt:variant>
      <vt:variant>
        <vt:i4>5</vt:i4>
      </vt:variant>
      <vt:variant>
        <vt:lpwstr>imi-internal:M21-1MRIII.v.7.B.13</vt:lpwstr>
      </vt:variant>
      <vt:variant>
        <vt:lpwstr/>
      </vt:variant>
      <vt:variant>
        <vt:i4>6881384</vt:i4>
      </vt:variant>
      <vt:variant>
        <vt:i4>204</vt:i4>
      </vt:variant>
      <vt:variant>
        <vt:i4>0</vt:i4>
      </vt:variant>
      <vt:variant>
        <vt:i4>5</vt:i4>
      </vt:variant>
      <vt:variant>
        <vt:lpwstr>imi-internal:M21-1MRIX.ii.2.2.c</vt:lpwstr>
      </vt:variant>
      <vt:variant>
        <vt:lpwstr/>
      </vt:variant>
      <vt:variant>
        <vt:i4>6291468</vt:i4>
      </vt:variant>
      <vt:variant>
        <vt:i4>201</vt:i4>
      </vt:variant>
      <vt:variant>
        <vt:i4>0</vt:i4>
      </vt:variant>
      <vt:variant>
        <vt:i4>5</vt:i4>
      </vt:variant>
      <vt:variant>
        <vt:lpwstr>http://www.benefits.va.gov/warms/docs/Regs/38CFR/BookI/Part17/s17_162.doc</vt:lpwstr>
      </vt:variant>
      <vt:variant>
        <vt:lpwstr/>
      </vt:variant>
      <vt:variant>
        <vt:i4>655458</vt:i4>
      </vt:variant>
      <vt:variant>
        <vt:i4>195</vt:i4>
      </vt:variant>
      <vt:variant>
        <vt:i4>0</vt:i4>
      </vt:variant>
      <vt:variant>
        <vt:i4>5</vt:i4>
      </vt:variant>
      <vt:variant>
        <vt:lpwstr>http://www.benefits.va.gov/warms/docs/regs/38CFR/BOOKB/PART3/S3_381.DOC</vt:lpwstr>
      </vt:variant>
      <vt:variant>
        <vt:lpwstr/>
      </vt:variant>
      <vt:variant>
        <vt:i4>655458</vt:i4>
      </vt:variant>
      <vt:variant>
        <vt:i4>192</vt:i4>
      </vt:variant>
      <vt:variant>
        <vt:i4>0</vt:i4>
      </vt:variant>
      <vt:variant>
        <vt:i4>5</vt:i4>
      </vt:variant>
      <vt:variant>
        <vt:lpwstr>http://www.benefits.va.gov/warms/docs/regs/38CFR/BOOKB/PART3/S3_381.DOC</vt:lpwstr>
      </vt:variant>
      <vt:variant>
        <vt:lpwstr/>
      </vt:variant>
      <vt:variant>
        <vt:i4>655458</vt:i4>
      </vt:variant>
      <vt:variant>
        <vt:i4>189</vt:i4>
      </vt:variant>
      <vt:variant>
        <vt:i4>0</vt:i4>
      </vt:variant>
      <vt:variant>
        <vt:i4>5</vt:i4>
      </vt:variant>
      <vt:variant>
        <vt:lpwstr>http://www.benefits.va.gov/warms/docs/regs/38CFR/BOOKB/PART3/S3_381.DOC</vt:lpwstr>
      </vt:variant>
      <vt:variant>
        <vt:lpwstr/>
      </vt:variant>
      <vt:variant>
        <vt:i4>65638</vt:i4>
      </vt:variant>
      <vt:variant>
        <vt:i4>186</vt:i4>
      </vt:variant>
      <vt:variant>
        <vt:i4>0</vt:i4>
      </vt:variant>
      <vt:variant>
        <vt:i4>5</vt:i4>
      </vt:variant>
      <vt:variant>
        <vt:lpwstr>http://www.benefits.va.gov/warms/docs/regs/38CFR/BOOKC/PART4/S4_150.DOC</vt:lpwstr>
      </vt:variant>
      <vt:variant>
        <vt:lpwstr/>
      </vt:variant>
      <vt:variant>
        <vt:i4>131168</vt:i4>
      </vt:variant>
      <vt:variant>
        <vt:i4>183</vt:i4>
      </vt:variant>
      <vt:variant>
        <vt:i4>0</vt:i4>
      </vt:variant>
      <vt:variant>
        <vt:i4>5</vt:i4>
      </vt:variant>
      <vt:variant>
        <vt:lpwstr>http://www.benefits.va.gov/warms/docs/regs/38CFR/BOOKB/PART3/S3_303.DOC</vt:lpwstr>
      </vt:variant>
      <vt:variant>
        <vt:lpwstr/>
      </vt:variant>
      <vt:variant>
        <vt:i4>65638</vt:i4>
      </vt:variant>
      <vt:variant>
        <vt:i4>180</vt:i4>
      </vt:variant>
      <vt:variant>
        <vt:i4>0</vt:i4>
      </vt:variant>
      <vt:variant>
        <vt:i4>5</vt:i4>
      </vt:variant>
      <vt:variant>
        <vt:lpwstr>http://www.benefits.va.gov/warms/docs/regs/38CFR/BOOKC/PART4/S4_150.DOC</vt:lpwstr>
      </vt:variant>
      <vt:variant>
        <vt:lpwstr/>
      </vt:variant>
      <vt:variant>
        <vt:i4>131168</vt:i4>
      </vt:variant>
      <vt:variant>
        <vt:i4>177</vt:i4>
      </vt:variant>
      <vt:variant>
        <vt:i4>0</vt:i4>
      </vt:variant>
      <vt:variant>
        <vt:i4>5</vt:i4>
      </vt:variant>
      <vt:variant>
        <vt:lpwstr>http://www.benefits.va.gov/warms/docs/regs/38CFR/BOOKB/PART3/S3_303.DOC</vt:lpwstr>
      </vt:variant>
      <vt:variant>
        <vt:lpwstr/>
      </vt:variant>
      <vt:variant>
        <vt:i4>589908</vt:i4>
      </vt:variant>
      <vt:variant>
        <vt:i4>174</vt:i4>
      </vt:variant>
      <vt:variant>
        <vt:i4>0</vt:i4>
      </vt:variant>
      <vt:variant>
        <vt:i4>5</vt:i4>
      </vt:variant>
      <vt:variant>
        <vt:lpwstr>imi-internal:M21-1MRIII.v.7.B.16</vt:lpwstr>
      </vt:variant>
      <vt:variant>
        <vt:lpwstr/>
      </vt:variant>
      <vt:variant>
        <vt:i4>720937</vt:i4>
      </vt:variant>
      <vt:variant>
        <vt:i4>171</vt:i4>
      </vt:variant>
      <vt:variant>
        <vt:i4>0</vt:i4>
      </vt:variant>
      <vt:variant>
        <vt:i4>5</vt:i4>
      </vt:variant>
      <vt:variant>
        <vt:lpwstr>http://law.cornell.edu/uscode/html/uscode38/usc_sec_38_00001710----000-.html</vt:lpwstr>
      </vt:variant>
      <vt:variant>
        <vt:lpwstr/>
      </vt:variant>
      <vt:variant>
        <vt:i4>589908</vt:i4>
      </vt:variant>
      <vt:variant>
        <vt:i4>162</vt:i4>
      </vt:variant>
      <vt:variant>
        <vt:i4>0</vt:i4>
      </vt:variant>
      <vt:variant>
        <vt:i4>5</vt:i4>
      </vt:variant>
      <vt:variant>
        <vt:lpwstr>imi-internal:M21-1MRIII.v.7.B.16</vt:lpwstr>
      </vt:variant>
      <vt:variant>
        <vt:lpwstr/>
      </vt:variant>
      <vt:variant>
        <vt:i4>589908</vt:i4>
      </vt:variant>
      <vt:variant>
        <vt:i4>159</vt:i4>
      </vt:variant>
      <vt:variant>
        <vt:i4>0</vt:i4>
      </vt:variant>
      <vt:variant>
        <vt:i4>5</vt:i4>
      </vt:variant>
      <vt:variant>
        <vt:lpwstr>imi-internal:M21-1MRIII.v.7.B.16</vt:lpwstr>
      </vt:variant>
      <vt:variant>
        <vt:lpwstr/>
      </vt:variant>
      <vt:variant>
        <vt:i4>589908</vt:i4>
      </vt:variant>
      <vt:variant>
        <vt:i4>156</vt:i4>
      </vt:variant>
      <vt:variant>
        <vt:i4>0</vt:i4>
      </vt:variant>
      <vt:variant>
        <vt:i4>5</vt:i4>
      </vt:variant>
      <vt:variant>
        <vt:lpwstr>imi-internal:M21-1MRIII.v.7.B.16</vt:lpwstr>
      </vt:variant>
      <vt:variant>
        <vt:lpwstr/>
      </vt:variant>
      <vt:variant>
        <vt:i4>6815866</vt:i4>
      </vt:variant>
      <vt:variant>
        <vt:i4>153</vt:i4>
      </vt:variant>
      <vt:variant>
        <vt:i4>0</vt:i4>
      </vt:variant>
      <vt:variant>
        <vt:i4>5</vt:i4>
      </vt:variant>
      <vt:variant>
        <vt:lpwstr>imi-internal:M21-1MRIII.v.7.B.15.b</vt:lpwstr>
      </vt:variant>
      <vt:variant>
        <vt:lpwstr/>
      </vt:variant>
      <vt:variant>
        <vt:i4>655444</vt:i4>
      </vt:variant>
      <vt:variant>
        <vt:i4>150</vt:i4>
      </vt:variant>
      <vt:variant>
        <vt:i4>0</vt:i4>
      </vt:variant>
      <vt:variant>
        <vt:i4>5</vt:i4>
      </vt:variant>
      <vt:variant>
        <vt:lpwstr>imi-internal:M21-1MRIII.v.7.B.15</vt:lpwstr>
      </vt:variant>
      <vt:variant>
        <vt:lpwstr/>
      </vt:variant>
      <vt:variant>
        <vt:i4>720980</vt:i4>
      </vt:variant>
      <vt:variant>
        <vt:i4>147</vt:i4>
      </vt:variant>
      <vt:variant>
        <vt:i4>0</vt:i4>
      </vt:variant>
      <vt:variant>
        <vt:i4>5</vt:i4>
      </vt:variant>
      <vt:variant>
        <vt:lpwstr>imi-internal:M21-1MRIII.v.7.B.14</vt:lpwstr>
      </vt:variant>
      <vt:variant>
        <vt:lpwstr/>
      </vt:variant>
      <vt:variant>
        <vt:i4>786516</vt:i4>
      </vt:variant>
      <vt:variant>
        <vt:i4>144</vt:i4>
      </vt:variant>
      <vt:variant>
        <vt:i4>0</vt:i4>
      </vt:variant>
      <vt:variant>
        <vt:i4>5</vt:i4>
      </vt:variant>
      <vt:variant>
        <vt:lpwstr>imi-internal:M21-1MRIII.v.7.B.13</vt:lpwstr>
      </vt:variant>
      <vt:variant>
        <vt:lpwstr/>
      </vt:variant>
      <vt:variant>
        <vt:i4>65638</vt:i4>
      </vt:variant>
      <vt:variant>
        <vt:i4>141</vt:i4>
      </vt:variant>
      <vt:variant>
        <vt:i4>0</vt:i4>
      </vt:variant>
      <vt:variant>
        <vt:i4>5</vt:i4>
      </vt:variant>
      <vt:variant>
        <vt:lpwstr>http://www.benefits.va.gov/warms/docs/regs/38CFR/BOOKC/PART4/S4_150.DOC</vt:lpwstr>
      </vt:variant>
      <vt:variant>
        <vt:lpwstr/>
      </vt:variant>
      <vt:variant>
        <vt:i4>1114119</vt:i4>
      </vt:variant>
      <vt:variant>
        <vt:i4>138</vt:i4>
      </vt:variant>
      <vt:variant>
        <vt:i4>0</vt:i4>
      </vt:variant>
      <vt:variant>
        <vt:i4>5</vt:i4>
      </vt:variant>
      <vt:variant>
        <vt:lpwstr>imi-internal:M21-1MRIII.v.7.C</vt:lpwstr>
      </vt:variant>
      <vt:variant>
        <vt:lpwstr/>
      </vt:variant>
      <vt:variant>
        <vt:i4>6291471</vt:i4>
      </vt:variant>
      <vt:variant>
        <vt:i4>135</vt:i4>
      </vt:variant>
      <vt:variant>
        <vt:i4>0</vt:i4>
      </vt:variant>
      <vt:variant>
        <vt:i4>5</vt:i4>
      </vt:variant>
      <vt:variant>
        <vt:lpwstr>http://www.benefits.va.gov/warms/docs/Regs/38CFR/BookI/Part17/s17_161.doc</vt:lpwstr>
      </vt:variant>
      <vt:variant>
        <vt:lpwstr/>
      </vt:variant>
      <vt:variant>
        <vt:i4>4653146</vt:i4>
      </vt:variant>
      <vt:variant>
        <vt:i4>129</vt:i4>
      </vt:variant>
      <vt:variant>
        <vt:i4>0</vt:i4>
      </vt:variant>
      <vt:variant>
        <vt:i4>5</vt:i4>
      </vt:variant>
      <vt:variant>
        <vt:lpwstr>imi-internal:M21-1MRIX.ii.2.3</vt:lpwstr>
      </vt:variant>
      <vt:variant>
        <vt:lpwstr/>
      </vt:variant>
      <vt:variant>
        <vt:i4>524289</vt:i4>
      </vt:variant>
      <vt:variant>
        <vt:i4>126</vt:i4>
      </vt:variant>
      <vt:variant>
        <vt:i4>0</vt:i4>
      </vt:variant>
      <vt:variant>
        <vt:i4>5</vt:i4>
      </vt:variant>
      <vt:variant>
        <vt:lpwstr>imi-internal:M21-1MRIII.iv.4.H.32</vt:lpwstr>
      </vt:variant>
      <vt:variant>
        <vt:lpwstr/>
      </vt:variant>
      <vt:variant>
        <vt:i4>3342383</vt:i4>
      </vt:variant>
      <vt:variant>
        <vt:i4>123</vt:i4>
      </vt:variant>
      <vt:variant>
        <vt:i4>0</vt:i4>
      </vt:variant>
      <vt:variant>
        <vt:i4>5</vt:i4>
      </vt:variant>
      <vt:variant>
        <vt:lpwstr>imi-internal:M21-1MRIII.iv.6.B</vt:lpwstr>
      </vt:variant>
      <vt:variant>
        <vt:lpwstr/>
      </vt:variant>
      <vt:variant>
        <vt:i4>8126511</vt:i4>
      </vt:variant>
      <vt:variant>
        <vt:i4>120</vt:i4>
      </vt:variant>
      <vt:variant>
        <vt:i4>0</vt:i4>
      </vt:variant>
      <vt:variant>
        <vt:i4>5</vt:i4>
      </vt:variant>
      <vt:variant>
        <vt:lpwstr>imi-internal:M21-1MRIII.ii.2.B.6.b</vt:lpwstr>
      </vt:variant>
      <vt:variant>
        <vt:lpwstr/>
      </vt:variant>
      <vt:variant>
        <vt:i4>3342383</vt:i4>
      </vt:variant>
      <vt:variant>
        <vt:i4>117</vt:i4>
      </vt:variant>
      <vt:variant>
        <vt:i4>0</vt:i4>
      </vt:variant>
      <vt:variant>
        <vt:i4>5</vt:i4>
      </vt:variant>
      <vt:variant>
        <vt:lpwstr>imi-internal:M21-1MRIII.iv.6.B</vt:lpwstr>
      </vt:variant>
      <vt:variant>
        <vt:lpwstr/>
      </vt:variant>
      <vt:variant>
        <vt:i4>655458</vt:i4>
      </vt:variant>
      <vt:variant>
        <vt:i4>114</vt:i4>
      </vt:variant>
      <vt:variant>
        <vt:i4>0</vt:i4>
      </vt:variant>
      <vt:variant>
        <vt:i4>5</vt:i4>
      </vt:variant>
      <vt:variant>
        <vt:lpwstr>http://www.benefits.va.gov/warms/docs/regs/38CFR/BOOKB/PART3/S3_381.DOC</vt:lpwstr>
      </vt:variant>
      <vt:variant>
        <vt:lpwstr/>
      </vt:variant>
      <vt:variant>
        <vt:i4>458852</vt:i4>
      </vt:variant>
      <vt:variant>
        <vt:i4>111</vt:i4>
      </vt:variant>
      <vt:variant>
        <vt:i4>0</vt:i4>
      </vt:variant>
      <vt:variant>
        <vt:i4>5</vt:i4>
      </vt:variant>
      <vt:variant>
        <vt:lpwstr>http://www.benefits.va.gov/warms/docs/regs/38CFR/BOOKB/PART3/S3_155.DOC</vt:lpwstr>
      </vt:variant>
      <vt:variant>
        <vt:lpwstr/>
      </vt:variant>
      <vt:variant>
        <vt:i4>458856</vt:i4>
      </vt:variant>
      <vt:variant>
        <vt:i4>108</vt:i4>
      </vt:variant>
      <vt:variant>
        <vt:i4>0</vt:i4>
      </vt:variant>
      <vt:variant>
        <vt:i4>5</vt:i4>
      </vt:variant>
      <vt:variant>
        <vt:lpwstr>http://www.benefits.va.gov/warms/docs/regs/38CFR/BOOKB/PART3/S3_159.DOC</vt:lpwstr>
      </vt:variant>
      <vt:variant>
        <vt:lpwstr/>
      </vt:variant>
      <vt:variant>
        <vt:i4>1</vt:i4>
      </vt:variant>
      <vt:variant>
        <vt:i4>102</vt:i4>
      </vt:variant>
      <vt:variant>
        <vt:i4>0</vt:i4>
      </vt:variant>
      <vt:variant>
        <vt:i4>5</vt:i4>
      </vt:variant>
      <vt:variant>
        <vt:lpwstr>imi-internal:M21-1MRIII.iv.6.B.3</vt:lpwstr>
      </vt:variant>
      <vt:variant>
        <vt:lpwstr/>
      </vt:variant>
      <vt:variant>
        <vt:i4>4849740</vt:i4>
      </vt:variant>
      <vt:variant>
        <vt:i4>99</vt:i4>
      </vt:variant>
      <vt:variant>
        <vt:i4>0</vt:i4>
      </vt:variant>
      <vt:variant>
        <vt:i4>5</vt:i4>
      </vt:variant>
      <vt:variant>
        <vt:lpwstr>http://www.law.cornell.edu/uscode/text/38/part-III/chapter-35</vt:lpwstr>
      </vt:variant>
      <vt:variant>
        <vt:lpwstr/>
      </vt:variant>
      <vt:variant>
        <vt:i4>262242</vt:i4>
      </vt:variant>
      <vt:variant>
        <vt:i4>93</vt:i4>
      </vt:variant>
      <vt:variant>
        <vt:i4>0</vt:i4>
      </vt:variant>
      <vt:variant>
        <vt:i4>5</vt:i4>
      </vt:variant>
      <vt:variant>
        <vt:lpwstr>http://www.benefits.va.gov/warms/docs/regs/38CFR/BOOKC/PART4/S4_104.DOC</vt:lpwstr>
      </vt:variant>
      <vt:variant>
        <vt:lpwstr/>
      </vt:variant>
      <vt:variant>
        <vt:i4>5636097</vt:i4>
      </vt:variant>
      <vt:variant>
        <vt:i4>87</vt:i4>
      </vt:variant>
      <vt:variant>
        <vt:i4>0</vt:i4>
      </vt:variant>
      <vt:variant>
        <vt:i4>5</vt:i4>
      </vt:variant>
      <vt:variant>
        <vt:lpwstr>imi-internal:M21-1MRIII.iv.1</vt:lpwstr>
      </vt:variant>
      <vt:variant>
        <vt:lpwstr/>
      </vt:variant>
      <vt:variant>
        <vt:i4>4325489</vt:i4>
      </vt:variant>
      <vt:variant>
        <vt:i4>84</vt:i4>
      </vt:variant>
      <vt:variant>
        <vt:i4>0</vt:i4>
      </vt:variant>
      <vt:variant>
        <vt:i4>5</vt:i4>
      </vt:variant>
      <vt:variant>
        <vt:lpwstr>http://www.benefits.va.gov/warms/docs/regs/38CFR/BOOKC/PART4/S4_30.DOC</vt:lpwstr>
      </vt:variant>
      <vt:variant>
        <vt:lpwstr/>
      </vt:variant>
      <vt:variant>
        <vt:i4>4915312</vt:i4>
      </vt:variant>
      <vt:variant>
        <vt:i4>81</vt:i4>
      </vt:variant>
      <vt:variant>
        <vt:i4>0</vt:i4>
      </vt:variant>
      <vt:variant>
        <vt:i4>5</vt:i4>
      </vt:variant>
      <vt:variant>
        <vt:lpwstr>http://www.benefits.va.gov/warms/docs/regs/38CFR/BOOKC/PART4/S4_29.DOC</vt:lpwstr>
      </vt:variant>
      <vt:variant>
        <vt:lpwstr/>
      </vt:variant>
      <vt:variant>
        <vt:i4>4849776</vt:i4>
      </vt:variant>
      <vt:variant>
        <vt:i4>78</vt:i4>
      </vt:variant>
      <vt:variant>
        <vt:i4>0</vt:i4>
      </vt:variant>
      <vt:variant>
        <vt:i4>5</vt:i4>
      </vt:variant>
      <vt:variant>
        <vt:lpwstr>http://www.benefits.va.gov/warms/docs/regs/38CFR/BOOKC/PART4/S4_28.DOC</vt:lpwstr>
      </vt:variant>
      <vt:variant>
        <vt:lpwstr/>
      </vt:variant>
      <vt:variant>
        <vt:i4>458859</vt:i4>
      </vt:variant>
      <vt:variant>
        <vt:i4>75</vt:i4>
      </vt:variant>
      <vt:variant>
        <vt:i4>0</vt:i4>
      </vt:variant>
      <vt:variant>
        <vt:i4>5</vt:i4>
      </vt:variant>
      <vt:variant>
        <vt:lpwstr>http://www.benefits.va.gov/warms/docs/regs/38CFR/BOOKB/PART3/S3_952.DOC</vt:lpwstr>
      </vt:variant>
      <vt:variant>
        <vt:lpwstr/>
      </vt:variant>
      <vt:variant>
        <vt:i4>458857</vt:i4>
      </vt:variant>
      <vt:variant>
        <vt:i4>72</vt:i4>
      </vt:variant>
      <vt:variant>
        <vt:i4>0</vt:i4>
      </vt:variant>
      <vt:variant>
        <vt:i4>5</vt:i4>
      </vt:variant>
      <vt:variant>
        <vt:lpwstr>http://www.benefits.va.gov/warms/docs/regs/38CFR/BOOKB/PART3/S3_950.DOC</vt:lpwstr>
      </vt:variant>
      <vt:variant>
        <vt:lpwstr/>
      </vt:variant>
      <vt:variant>
        <vt:i4>100</vt:i4>
      </vt:variant>
      <vt:variant>
        <vt:i4>69</vt:i4>
      </vt:variant>
      <vt:variant>
        <vt:i4>0</vt:i4>
      </vt:variant>
      <vt:variant>
        <vt:i4>5</vt:i4>
      </vt:variant>
      <vt:variant>
        <vt:lpwstr>http://www.benefits.va.gov/warms/docs/regs/38CFR/BOOKB/PART3/S3_327.DOC</vt:lpwstr>
      </vt:variant>
      <vt:variant>
        <vt:lpwstr/>
      </vt:variant>
      <vt:variant>
        <vt:i4>393314</vt:i4>
      </vt:variant>
      <vt:variant>
        <vt:i4>66</vt:i4>
      </vt:variant>
      <vt:variant>
        <vt:i4>0</vt:i4>
      </vt:variant>
      <vt:variant>
        <vt:i4>5</vt:i4>
      </vt:variant>
      <vt:variant>
        <vt:lpwstr>http://www.benefits.va.gov/warms/docs/regs/38CFR/BOOKB/PART3/S3_341.DOC</vt:lpwstr>
      </vt:variant>
      <vt:variant>
        <vt:lpwstr/>
      </vt:variant>
      <vt:variant>
        <vt:i4>393315</vt:i4>
      </vt:variant>
      <vt:variant>
        <vt:i4>63</vt:i4>
      </vt:variant>
      <vt:variant>
        <vt:i4>0</vt:i4>
      </vt:variant>
      <vt:variant>
        <vt:i4>5</vt:i4>
      </vt:variant>
      <vt:variant>
        <vt:lpwstr>http://www.benefits.va.gov/warms/docs/regs/38CFR/BOOKB/PART3/S3_340.DOC</vt:lpwstr>
      </vt:variant>
      <vt:variant>
        <vt:lpwstr/>
      </vt:variant>
      <vt:variant>
        <vt:i4>4325489</vt:i4>
      </vt:variant>
      <vt:variant>
        <vt:i4>60</vt:i4>
      </vt:variant>
      <vt:variant>
        <vt:i4>0</vt:i4>
      </vt:variant>
      <vt:variant>
        <vt:i4>5</vt:i4>
      </vt:variant>
      <vt:variant>
        <vt:lpwstr>http://www.benefits.va.gov/warms/docs/regs/38CFR/BOOKC/PART4/S4_30.DOC</vt:lpwstr>
      </vt:variant>
      <vt:variant>
        <vt:lpwstr/>
      </vt:variant>
      <vt:variant>
        <vt:i4>4915312</vt:i4>
      </vt:variant>
      <vt:variant>
        <vt:i4>57</vt:i4>
      </vt:variant>
      <vt:variant>
        <vt:i4>0</vt:i4>
      </vt:variant>
      <vt:variant>
        <vt:i4>5</vt:i4>
      </vt:variant>
      <vt:variant>
        <vt:lpwstr>http://www.benefits.va.gov/warms/docs/regs/38CFR/BOOKC/PART4/S4_29.DOC</vt:lpwstr>
      </vt:variant>
      <vt:variant>
        <vt:lpwstr/>
      </vt:variant>
      <vt:variant>
        <vt:i4>4849776</vt:i4>
      </vt:variant>
      <vt:variant>
        <vt:i4>54</vt:i4>
      </vt:variant>
      <vt:variant>
        <vt:i4>0</vt:i4>
      </vt:variant>
      <vt:variant>
        <vt:i4>5</vt:i4>
      </vt:variant>
      <vt:variant>
        <vt:lpwstr>http://www.benefits.va.gov/warms/docs/regs/38CFR/BOOKC/PART4/S4_28.DOC</vt:lpwstr>
      </vt:variant>
      <vt:variant>
        <vt:lpwstr/>
      </vt:variant>
      <vt:variant>
        <vt:i4>7864439</vt:i4>
      </vt:variant>
      <vt:variant>
        <vt:i4>48</vt:i4>
      </vt:variant>
      <vt:variant>
        <vt:i4>0</vt:i4>
      </vt:variant>
      <vt:variant>
        <vt:i4>5</vt:i4>
      </vt:variant>
      <vt:variant>
        <vt:lpwstr>imi-internal:M21-1MRIII.iii.1.2</vt:lpwstr>
      </vt:variant>
      <vt:variant>
        <vt:lpwstr/>
      </vt:variant>
      <vt:variant>
        <vt:i4>4325489</vt:i4>
      </vt:variant>
      <vt:variant>
        <vt:i4>45</vt:i4>
      </vt:variant>
      <vt:variant>
        <vt:i4>0</vt:i4>
      </vt:variant>
      <vt:variant>
        <vt:i4>5</vt:i4>
      </vt:variant>
      <vt:variant>
        <vt:lpwstr>http://www.benefits.va.gov/warms/docs/regs/38CFR/BOOKC/PART4/S4_30.DOC</vt:lpwstr>
      </vt:variant>
      <vt:variant>
        <vt:lpwstr/>
      </vt:variant>
      <vt:variant>
        <vt:i4>4915312</vt:i4>
      </vt:variant>
      <vt:variant>
        <vt:i4>42</vt:i4>
      </vt:variant>
      <vt:variant>
        <vt:i4>0</vt:i4>
      </vt:variant>
      <vt:variant>
        <vt:i4>5</vt:i4>
      </vt:variant>
      <vt:variant>
        <vt:lpwstr>http://www.benefits.va.gov/warms/docs/regs/38CFR/BOOKC/PART4/S4_29.DOC</vt:lpwstr>
      </vt:variant>
      <vt:variant>
        <vt:lpwstr/>
      </vt:variant>
      <vt:variant>
        <vt:i4>4849776</vt:i4>
      </vt:variant>
      <vt:variant>
        <vt:i4>39</vt:i4>
      </vt:variant>
      <vt:variant>
        <vt:i4>0</vt:i4>
      </vt:variant>
      <vt:variant>
        <vt:i4>5</vt:i4>
      </vt:variant>
      <vt:variant>
        <vt:lpwstr>http://www.benefits.va.gov/warms/docs/regs/38CFR/BOOKC/PART4/S4_28.DOC</vt:lpwstr>
      </vt:variant>
      <vt:variant>
        <vt:lpwstr/>
      </vt:variant>
      <vt:variant>
        <vt:i4>2424863</vt:i4>
      </vt:variant>
      <vt:variant>
        <vt:i4>36</vt:i4>
      </vt:variant>
      <vt:variant>
        <vt:i4>0</vt:i4>
      </vt:variant>
      <vt:variant>
        <vt:i4>5</vt:i4>
      </vt:variant>
      <vt:variant>
        <vt:lpwstr>http://law.cornell.edu/uscode/html/uscode38/usc_sup_01_38_10_III_20_35.html</vt:lpwstr>
      </vt:variant>
      <vt:variant>
        <vt:lpwstr/>
      </vt:variant>
      <vt:variant>
        <vt:i4>2424863</vt:i4>
      </vt:variant>
      <vt:variant>
        <vt:i4>30</vt:i4>
      </vt:variant>
      <vt:variant>
        <vt:i4>0</vt:i4>
      </vt:variant>
      <vt:variant>
        <vt:i4>5</vt:i4>
      </vt:variant>
      <vt:variant>
        <vt:lpwstr>http://law.cornell.edu/uscode/html/uscode38/usc_sup_01_38_10_III_20_35.html</vt:lpwstr>
      </vt:variant>
      <vt:variant>
        <vt:lpwstr/>
      </vt:variant>
      <vt:variant>
        <vt:i4>7864435</vt:i4>
      </vt:variant>
      <vt:variant>
        <vt:i4>27</vt:i4>
      </vt:variant>
      <vt:variant>
        <vt:i4>0</vt:i4>
      </vt:variant>
      <vt:variant>
        <vt:i4>5</vt:i4>
      </vt:variant>
      <vt:variant>
        <vt:lpwstr>imi-internal:M21-1MRIII.iii.5.F</vt:lpwstr>
      </vt:variant>
      <vt:variant>
        <vt:lpwstr/>
      </vt:variant>
      <vt:variant>
        <vt:i4>1114205</vt:i4>
      </vt:variant>
      <vt:variant>
        <vt:i4>24</vt:i4>
      </vt:variant>
      <vt:variant>
        <vt:i4>0</vt:i4>
      </vt:variant>
      <vt:variant>
        <vt:i4>5</vt:i4>
      </vt:variant>
      <vt:variant>
        <vt:lpwstr>http://www.va.gov/ogc/docs/1998/prc13-98.doc</vt:lpwstr>
      </vt:variant>
      <vt:variant>
        <vt:lpwstr/>
      </vt:variant>
      <vt:variant>
        <vt:i4>721013</vt:i4>
      </vt:variant>
      <vt:variant>
        <vt:i4>21</vt:i4>
      </vt:variant>
      <vt:variant>
        <vt:i4>0</vt:i4>
      </vt:variant>
      <vt:variant>
        <vt:i4>5</vt:i4>
      </vt:variant>
      <vt:variant>
        <vt:lpwstr>http://www.law.cornell.edu/uscode/html/uscode38/usc_sec_38_00001311----000-.html</vt:lpwstr>
      </vt:variant>
      <vt:variant>
        <vt:lpwstr/>
      </vt:variant>
      <vt:variant>
        <vt:i4>4128870</vt:i4>
      </vt:variant>
      <vt:variant>
        <vt:i4>15</vt:i4>
      </vt:variant>
      <vt:variant>
        <vt:i4>0</vt:i4>
      </vt:variant>
      <vt:variant>
        <vt:i4>5</vt:i4>
      </vt:variant>
      <vt:variant>
        <vt:lpwstr>http://vbaw.vba.va.gov/bl/21/Advisory/CAVCDAD.htm</vt:lpwstr>
      </vt:variant>
      <vt:variant>
        <vt:lpwstr>bmk</vt:lpwstr>
      </vt:variant>
      <vt:variant>
        <vt:i4>7078006</vt:i4>
      </vt:variant>
      <vt:variant>
        <vt:i4>12</vt:i4>
      </vt:variant>
      <vt:variant>
        <vt:i4>0</vt:i4>
      </vt:variant>
      <vt:variant>
        <vt:i4>5</vt:i4>
      </vt:variant>
      <vt:variant>
        <vt:lpwstr>http://www.law.cornell.edu/uscode/38/1160.html</vt:lpwstr>
      </vt:variant>
      <vt:variant>
        <vt:lpwstr/>
      </vt:variant>
      <vt:variant>
        <vt:i4>7274615</vt:i4>
      </vt:variant>
      <vt:variant>
        <vt:i4>9</vt:i4>
      </vt:variant>
      <vt:variant>
        <vt:i4>0</vt:i4>
      </vt:variant>
      <vt:variant>
        <vt:i4>5</vt:i4>
      </vt:variant>
      <vt:variant>
        <vt:lpwstr>http://www.law.cornell.edu/uscode/38/1151.html</vt:lpwstr>
      </vt:variant>
      <vt:variant>
        <vt:lpwstr/>
      </vt:variant>
      <vt:variant>
        <vt:i4>2293857</vt:i4>
      </vt:variant>
      <vt:variant>
        <vt:i4>6</vt:i4>
      </vt:variant>
      <vt:variant>
        <vt:i4>0</vt:i4>
      </vt:variant>
      <vt:variant>
        <vt:i4>5</vt:i4>
      </vt:variant>
      <vt:variant>
        <vt:lpwstr>http://www4.law.cornell.edu/uscode/38/1160.html</vt:lpwstr>
      </vt:variant>
      <vt:variant>
        <vt:lpwstr/>
      </vt:variant>
      <vt:variant>
        <vt:i4>2424902</vt:i4>
      </vt:variant>
      <vt:variant>
        <vt:i4>3</vt:i4>
      </vt:variant>
      <vt:variant>
        <vt:i4>0</vt:i4>
      </vt:variant>
      <vt:variant>
        <vt:i4>5</vt:i4>
      </vt:variant>
      <vt:variant>
        <vt:lpwstr>http://www.law.cornell.edu/uscode/html/uscode38/usc_sup_01_38_10_III_20_35.html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Ratings for Special Purposes (U.S. Department of Veterans Affiairs)</dc:title>
  <dc:subject>Ratings for Special Purposes</dc:subject>
  <dc:creator>Department of Veterans Affairs</dc:creator>
  <cp:keywords>DEA, Dependents Educational Assistance, Chapter 35, 1702, dental, treatment, compensation, insurance, civil service, insanity, mental, psychosis, gulf war, polish, czech republic</cp:keywords>
  <dc:description>Topics on ratings for special purposes including Dependents Educational Assistance under Ch. 35, dental ratings for treatment and compensation purposes, ratings for medical care, ratings for 1702 purposes for treatment of mental disorders, insanity determinations, civil service and insurance determinations and polish and czech cases.  </dc:description>
  <cp:lastModifiedBy>Mazar, Leah B., VBAVACO</cp:lastModifiedBy>
  <cp:revision>88</cp:revision>
  <cp:lastPrinted>2012-03-08T17:16:00Z</cp:lastPrinted>
  <dcterms:created xsi:type="dcterms:W3CDTF">2014-08-01T07:06:00Z</dcterms:created>
  <dcterms:modified xsi:type="dcterms:W3CDTF">2015-01-21T16:22:00Z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vt:lpwstr>
  </property>
  <property fmtid="{D5CDD505-2E9C-101B-9397-08002B2CF9AE}" pid="3" name="DateReviewed">
    <vt:lpwstr>20140915</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