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0DB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FF4357">
        <w:rPr>
          <w:rFonts w:ascii="Times New Roman" w:hAnsi="Times New Roman"/>
          <w:sz w:val="20"/>
        </w:rPr>
        <w:t>Affairs</w:t>
      </w:r>
      <w:r w:rsidR="00FF4357">
        <w:rPr>
          <w:rFonts w:ascii="Times New Roman" w:hAnsi="Times New Roman"/>
          <w:sz w:val="20"/>
        </w:rPr>
        <w:tab/>
        <w:t>M29-1, Part 7, Chapter 3</w:t>
      </w:r>
    </w:p>
    <w:p w14:paraId="44C0E62C" w14:textId="13EF144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7E2D0B">
        <w:rPr>
          <w:b/>
          <w:bCs/>
          <w:sz w:val="20"/>
        </w:rPr>
        <w:t xml:space="preserve">                 </w:t>
      </w:r>
      <w:r w:rsidR="005D0464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5D0464">
        <w:rPr>
          <w:b/>
          <w:bCs/>
          <w:sz w:val="20"/>
        </w:rPr>
        <w:t>March 25, 2020</w:t>
      </w:r>
      <w:r>
        <w:rPr>
          <w:b/>
          <w:bCs/>
          <w:sz w:val="20"/>
        </w:rPr>
        <w:tab/>
      </w:r>
    </w:p>
    <w:p w14:paraId="374B100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5B1F764" w14:textId="77777777" w:rsidR="00504F80" w:rsidRDefault="00504F80" w:rsidP="00504F80">
      <w:pPr>
        <w:rPr>
          <w:b/>
          <w:bCs/>
          <w:sz w:val="20"/>
        </w:rPr>
      </w:pPr>
    </w:p>
    <w:p w14:paraId="276C88ED" w14:textId="77777777" w:rsidR="00504F80" w:rsidRDefault="00AE64CB" w:rsidP="00504F80">
      <w:pPr>
        <w:pStyle w:val="Heading4"/>
      </w:pPr>
      <w:r>
        <w:t>Key Changes</w:t>
      </w:r>
    </w:p>
    <w:p w14:paraId="09CDBE8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89C5356" w14:textId="77777777" w:rsidTr="00C24D50">
        <w:tc>
          <w:tcPr>
            <w:tcW w:w="1728" w:type="dxa"/>
          </w:tcPr>
          <w:p w14:paraId="3512C6A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C5C3323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FF4357">
              <w:t>1, Part 7, Chapter 3</w:t>
            </w:r>
            <w:r w:rsidR="007E2D0B">
              <w:t>.</w:t>
            </w:r>
          </w:p>
          <w:p w14:paraId="69A63717" w14:textId="55EA084A" w:rsidR="00504F80" w:rsidRPr="00EA3A57" w:rsidRDefault="00504F80" w:rsidP="005D0464">
            <w:pPr>
              <w:pStyle w:val="BulletText2"/>
              <w:numPr>
                <w:ilvl w:val="0"/>
                <w:numId w:val="0"/>
              </w:numPr>
            </w:pPr>
          </w:p>
        </w:tc>
      </w:tr>
    </w:tbl>
    <w:p w14:paraId="1035C5E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0997D673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5F6A" w14:textId="77777777" w:rsidR="0060514F" w:rsidRPr="00405AF0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405AF0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706D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0A3E8076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AACE1" w14:textId="6898749B" w:rsidR="0060514F" w:rsidRPr="00405AF0" w:rsidRDefault="005D0464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Clarifies that the timeliness clock for completed cases </w:t>
            </w:r>
            <w:r w:rsidRPr="005D0464">
              <w:rPr>
                <w:b w:val="0"/>
              </w:rPr>
              <w:t xml:space="preserve">includes all prescribed clerical actions, including mandatory reviews, if such clerical actions impact delivery of the benefit at point of decision or future actions.  If </w:t>
            </w:r>
            <w:r>
              <w:rPr>
                <w:b w:val="0"/>
              </w:rPr>
              <w:t>they</w:t>
            </w:r>
            <w:r w:rsidRPr="005D0464">
              <w:rPr>
                <w:b w:val="0"/>
              </w:rPr>
              <w:t xml:space="preserve"> do not impact delivery of the benefit and/or would not impact future actions, </w:t>
            </w:r>
            <w:r>
              <w:rPr>
                <w:b w:val="0"/>
              </w:rPr>
              <w:t>they are</w:t>
            </w:r>
            <w:r w:rsidRPr="005D0464">
              <w:rPr>
                <w:b w:val="0"/>
              </w:rPr>
              <w:t xml:space="preserve"> not included in the timeliness processing days.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708EF" w14:textId="74D816A0" w:rsidR="0060514F" w:rsidRPr="0060514F" w:rsidRDefault="00AB0F90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3.0</w:t>
            </w:r>
            <w:r w:rsidR="005D0464">
              <w:rPr>
                <w:b w:val="0"/>
              </w:rPr>
              <w:t>3</w:t>
            </w:r>
          </w:p>
        </w:tc>
      </w:tr>
    </w:tbl>
    <w:p w14:paraId="2D85F671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32788398" w14:textId="77777777" w:rsidTr="0060514F">
        <w:trPr>
          <w:trHeight w:val="330"/>
        </w:trPr>
        <w:tc>
          <w:tcPr>
            <w:tcW w:w="7380" w:type="dxa"/>
          </w:tcPr>
          <w:p w14:paraId="074C0793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0ACB4090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405AF0" w:rsidRPr="004221F2" w14:paraId="276A2731" w14:textId="77777777" w:rsidTr="00673296">
        <w:trPr>
          <w:trHeight w:val="187"/>
        </w:trPr>
        <w:tc>
          <w:tcPr>
            <w:tcW w:w="7380" w:type="dxa"/>
          </w:tcPr>
          <w:p w14:paraId="545D294C" w14:textId="57A99D3D" w:rsidR="00405AF0" w:rsidRPr="0060514F" w:rsidRDefault="005D0464" w:rsidP="00405AF0">
            <w:r>
              <w:t>Corrects SQC program area references.</w:t>
            </w:r>
          </w:p>
        </w:tc>
        <w:tc>
          <w:tcPr>
            <w:tcW w:w="1980" w:type="dxa"/>
          </w:tcPr>
          <w:p w14:paraId="1506229A" w14:textId="13CD8C9C" w:rsidR="00405AF0" w:rsidRPr="0060514F" w:rsidRDefault="005D0464" w:rsidP="00405AF0">
            <w:pPr>
              <w:pStyle w:val="TableText"/>
            </w:pPr>
            <w:r>
              <w:t>Subchapter 3.04</w:t>
            </w:r>
          </w:p>
        </w:tc>
      </w:tr>
      <w:tr w:rsidR="00405AF0" w:rsidRPr="004221F2" w14:paraId="1F546253" w14:textId="77777777" w:rsidTr="00673296">
        <w:trPr>
          <w:trHeight w:val="187"/>
        </w:trPr>
        <w:tc>
          <w:tcPr>
            <w:tcW w:w="7380" w:type="dxa"/>
          </w:tcPr>
          <w:p w14:paraId="2E6E53F3" w14:textId="77777777" w:rsidR="00405AF0" w:rsidRPr="0060514F" w:rsidRDefault="00405AF0" w:rsidP="00405AF0"/>
        </w:tc>
        <w:tc>
          <w:tcPr>
            <w:tcW w:w="1980" w:type="dxa"/>
          </w:tcPr>
          <w:p w14:paraId="59976040" w14:textId="77777777" w:rsidR="00405AF0" w:rsidRPr="0060514F" w:rsidRDefault="00405AF0" w:rsidP="00405AF0"/>
        </w:tc>
      </w:tr>
      <w:tr w:rsidR="00405AF0" w:rsidRPr="004221F2" w14:paraId="32B1D7B0" w14:textId="77777777" w:rsidTr="00673296">
        <w:trPr>
          <w:trHeight w:val="187"/>
        </w:trPr>
        <w:tc>
          <w:tcPr>
            <w:tcW w:w="7380" w:type="dxa"/>
          </w:tcPr>
          <w:p w14:paraId="034CD349" w14:textId="77777777" w:rsidR="00405AF0" w:rsidRPr="0060514F" w:rsidRDefault="00405AF0" w:rsidP="00405AF0"/>
        </w:tc>
        <w:tc>
          <w:tcPr>
            <w:tcW w:w="1980" w:type="dxa"/>
          </w:tcPr>
          <w:p w14:paraId="355255C9" w14:textId="77777777" w:rsidR="00405AF0" w:rsidRPr="0060514F" w:rsidRDefault="00405AF0" w:rsidP="00405AF0"/>
        </w:tc>
      </w:tr>
    </w:tbl>
    <w:p w14:paraId="6BAC595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FFD57BB" w14:textId="77777777" w:rsidTr="00237C22">
        <w:tc>
          <w:tcPr>
            <w:tcW w:w="1728" w:type="dxa"/>
          </w:tcPr>
          <w:p w14:paraId="4DEC801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4FA438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51B519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ADF01F2" w14:textId="77777777" w:rsidTr="00237C22">
        <w:tc>
          <w:tcPr>
            <w:tcW w:w="1728" w:type="dxa"/>
          </w:tcPr>
          <w:p w14:paraId="0414D6B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E7EA07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85A7F6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FDAEDF" w14:textId="77777777" w:rsidTr="00237C22">
        <w:tc>
          <w:tcPr>
            <w:tcW w:w="1728" w:type="dxa"/>
          </w:tcPr>
          <w:p w14:paraId="72D647C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18C10A2" w14:textId="77777777" w:rsidR="00504F80" w:rsidRPr="00B4163A" w:rsidRDefault="00504F80" w:rsidP="00237C22">
            <w:pPr>
              <w:pStyle w:val="BlockText"/>
            </w:pPr>
          </w:p>
          <w:p w14:paraId="1566D60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52D3604" w14:textId="43901220" w:rsidR="005C2AD9" w:rsidRDefault="009B1E8C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527DF3C5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532A86D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F5C124D" w14:textId="77777777" w:rsidTr="00237C22">
        <w:tc>
          <w:tcPr>
            <w:tcW w:w="1728" w:type="dxa"/>
          </w:tcPr>
          <w:p w14:paraId="2183BA2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58A228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A36EBB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7FD99D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0E4B" w14:textId="77777777" w:rsidR="00B5750A" w:rsidRDefault="00B5750A" w:rsidP="00C765C7">
      <w:r>
        <w:separator/>
      </w:r>
    </w:p>
  </w:endnote>
  <w:endnote w:type="continuationSeparator" w:id="0">
    <w:p w14:paraId="53E03982" w14:textId="77777777" w:rsidR="00B5750A" w:rsidRDefault="00B5750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549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0567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13D6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1BC4C1A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5271" w14:textId="77777777" w:rsidR="00B5750A" w:rsidRDefault="00B5750A" w:rsidP="00C765C7">
      <w:r>
        <w:separator/>
      </w:r>
    </w:p>
  </w:footnote>
  <w:footnote w:type="continuationSeparator" w:id="0">
    <w:p w14:paraId="65B94E00" w14:textId="77777777" w:rsidR="00B5750A" w:rsidRDefault="00B5750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84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66E48"/>
    <w:rsid w:val="00186D46"/>
    <w:rsid w:val="0019657C"/>
    <w:rsid w:val="001B3F58"/>
    <w:rsid w:val="001C3AE3"/>
    <w:rsid w:val="001C3EB5"/>
    <w:rsid w:val="002041BE"/>
    <w:rsid w:val="0020432B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475D9"/>
    <w:rsid w:val="00366D36"/>
    <w:rsid w:val="00386999"/>
    <w:rsid w:val="003B2927"/>
    <w:rsid w:val="003D47AF"/>
    <w:rsid w:val="003E0FB1"/>
    <w:rsid w:val="003E2CA2"/>
    <w:rsid w:val="003F3021"/>
    <w:rsid w:val="003F6048"/>
    <w:rsid w:val="003F672A"/>
    <w:rsid w:val="00401EAD"/>
    <w:rsid w:val="0040351B"/>
    <w:rsid w:val="00405AF0"/>
    <w:rsid w:val="0041026E"/>
    <w:rsid w:val="00412253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2D54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81417"/>
    <w:rsid w:val="00594258"/>
    <w:rsid w:val="005A24DF"/>
    <w:rsid w:val="005C2AD9"/>
    <w:rsid w:val="005D0464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2D0B"/>
    <w:rsid w:val="007E5515"/>
    <w:rsid w:val="0080590C"/>
    <w:rsid w:val="008144E7"/>
    <w:rsid w:val="00822A16"/>
    <w:rsid w:val="0084596A"/>
    <w:rsid w:val="0086475B"/>
    <w:rsid w:val="00875AFA"/>
    <w:rsid w:val="0087696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B1E8C"/>
    <w:rsid w:val="009C22C8"/>
    <w:rsid w:val="009C6B2E"/>
    <w:rsid w:val="009E5F2A"/>
    <w:rsid w:val="009E6E1A"/>
    <w:rsid w:val="009F5657"/>
    <w:rsid w:val="00A01AF7"/>
    <w:rsid w:val="00A2703B"/>
    <w:rsid w:val="00A315CB"/>
    <w:rsid w:val="00A3579D"/>
    <w:rsid w:val="00A55356"/>
    <w:rsid w:val="00A557BB"/>
    <w:rsid w:val="00A55886"/>
    <w:rsid w:val="00A8520D"/>
    <w:rsid w:val="00AB0F90"/>
    <w:rsid w:val="00AC2993"/>
    <w:rsid w:val="00AC43CF"/>
    <w:rsid w:val="00AD0EDC"/>
    <w:rsid w:val="00AE64CB"/>
    <w:rsid w:val="00AF2CD6"/>
    <w:rsid w:val="00AF4159"/>
    <w:rsid w:val="00B023CC"/>
    <w:rsid w:val="00B0548B"/>
    <w:rsid w:val="00B30D2F"/>
    <w:rsid w:val="00B50AD7"/>
    <w:rsid w:val="00B54E05"/>
    <w:rsid w:val="00B5750A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0688C"/>
    <w:rsid w:val="00C24D50"/>
    <w:rsid w:val="00C273AD"/>
    <w:rsid w:val="00C621F3"/>
    <w:rsid w:val="00C72D10"/>
    <w:rsid w:val="00C765C7"/>
    <w:rsid w:val="00C938B3"/>
    <w:rsid w:val="00CD2D08"/>
    <w:rsid w:val="00D2345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15F37"/>
    <w:rsid w:val="00E2529E"/>
    <w:rsid w:val="00E36906"/>
    <w:rsid w:val="00E648E9"/>
    <w:rsid w:val="00E67135"/>
    <w:rsid w:val="00E77596"/>
    <w:rsid w:val="00E964FD"/>
    <w:rsid w:val="00ED4D5E"/>
    <w:rsid w:val="00ED71C8"/>
    <w:rsid w:val="00EF415F"/>
    <w:rsid w:val="00F006B2"/>
    <w:rsid w:val="00F05F88"/>
    <w:rsid w:val="00F43DFA"/>
    <w:rsid w:val="00F87670"/>
    <w:rsid w:val="00F87F72"/>
    <w:rsid w:val="00F90609"/>
    <w:rsid w:val="00FB6AD1"/>
    <w:rsid w:val="00FF26A6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00BF3"/>
  <w15:docId w15:val="{AE8F7B6F-F1B2-4A71-885F-1BB9A28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2020-03-27T17:01:00Z</dcterms:created>
  <dcterms:modified xsi:type="dcterms:W3CDTF">2020-03-27T17:01:00Z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