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9AEA5" w14:textId="77777777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bookmarkStart w:id="0" w:name="_GoBack"/>
      <w:bookmarkEnd w:id="0"/>
      <w:r>
        <w:rPr>
          <w:rFonts w:ascii="Times New Roman" w:hAnsi="Times New Roman"/>
          <w:sz w:val="20"/>
        </w:rPr>
        <w:t xml:space="preserve">Department </w:t>
      </w:r>
      <w:r w:rsidR="00311F26">
        <w:rPr>
          <w:rFonts w:ascii="Times New Roman" w:hAnsi="Times New Roman"/>
          <w:sz w:val="20"/>
        </w:rPr>
        <w:t xml:space="preserve">of Veterans </w:t>
      </w:r>
      <w:r w:rsidR="00993AD2">
        <w:rPr>
          <w:rFonts w:ascii="Times New Roman" w:hAnsi="Times New Roman"/>
          <w:sz w:val="20"/>
        </w:rPr>
        <w:t>Affairs</w:t>
      </w:r>
      <w:r w:rsidR="00993AD2">
        <w:rPr>
          <w:rFonts w:ascii="Times New Roman" w:hAnsi="Times New Roman"/>
          <w:sz w:val="20"/>
        </w:rPr>
        <w:tab/>
        <w:t>M29-1, Part 6, Chapter 6</w:t>
      </w:r>
    </w:p>
    <w:p w14:paraId="33CDC596" w14:textId="1DB8248C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</w:t>
      </w:r>
      <w:r w:rsidR="00D06739">
        <w:rPr>
          <w:b/>
          <w:bCs/>
          <w:sz w:val="20"/>
        </w:rPr>
        <w:t>March 19, 2020</w:t>
      </w:r>
      <w:r>
        <w:rPr>
          <w:b/>
          <w:bCs/>
          <w:sz w:val="20"/>
        </w:rPr>
        <w:tab/>
      </w:r>
    </w:p>
    <w:p w14:paraId="7821D691" w14:textId="77777777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</w:p>
    <w:p w14:paraId="45317907" w14:textId="77777777" w:rsidR="00504F80" w:rsidRDefault="00504F80" w:rsidP="00504F80">
      <w:pPr>
        <w:rPr>
          <w:b/>
          <w:bCs/>
          <w:sz w:val="20"/>
        </w:rPr>
      </w:pPr>
    </w:p>
    <w:p w14:paraId="15FCE13B" w14:textId="77777777" w:rsidR="00504F80" w:rsidRDefault="00AE64CB" w:rsidP="00504F80">
      <w:pPr>
        <w:pStyle w:val="Heading4"/>
      </w:pPr>
      <w:r>
        <w:t>Key Changes</w:t>
      </w:r>
    </w:p>
    <w:p w14:paraId="21594630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3A041D0B" w14:textId="77777777" w:rsidTr="00C24D50">
        <w:tc>
          <w:tcPr>
            <w:tcW w:w="1728" w:type="dxa"/>
          </w:tcPr>
          <w:p w14:paraId="78E66A4A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3A888455" w14:textId="77777777" w:rsidR="00504F80" w:rsidRDefault="00504F80" w:rsidP="00237C22">
            <w:pPr>
              <w:pStyle w:val="BlockText"/>
            </w:pPr>
            <w:r>
              <w:t>The table below describes the changes included in this revision of Veter</w:t>
            </w:r>
            <w:r w:rsidR="00311F26">
              <w:t>ans Benefits Insurance Manual M29-</w:t>
            </w:r>
            <w:r w:rsidR="00993AD2">
              <w:t>1, Part 6, Chapter 6</w:t>
            </w:r>
            <w:r w:rsidR="000D270D">
              <w:t>.</w:t>
            </w:r>
          </w:p>
          <w:p w14:paraId="224976A4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7759292C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328D74A5" w14:textId="77777777" w:rsidR="0027298D" w:rsidRDefault="00311F26" w:rsidP="00311F26">
            <w:pPr>
              <w:pStyle w:val="BulletText1"/>
            </w:pPr>
            <w:r>
              <w:rPr>
                <w:b/>
              </w:rPr>
              <w:t>M29-1</w:t>
            </w:r>
            <w:r w:rsidR="00993AD2">
              <w:rPr>
                <w:b/>
              </w:rPr>
              <w:t>, Part 6, Chapter 6</w:t>
            </w:r>
            <w:r w:rsidR="00DD22A9">
              <w:t xml:space="preserve"> </w:t>
            </w:r>
            <w:r w:rsidR="00DD22A9" w:rsidRPr="00DD22A9">
              <w:t>has been rewritten in its entirety for the purpose of improving clarity and readability</w:t>
            </w:r>
            <w:r w:rsidR="00DD22A9">
              <w:t xml:space="preserve">.  </w:t>
            </w:r>
            <w:r w:rsidR="00DD22A9" w:rsidRPr="00DD22A9">
              <w:t>Any substantive changes are itemized in the table below.</w:t>
            </w:r>
          </w:p>
          <w:p w14:paraId="77C0BAED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37CFFFE6" w14:textId="77777777" w:rsidR="00DD22A9" w:rsidRDefault="00DD22A9" w:rsidP="00237C22">
            <w:pPr>
              <w:pStyle w:val="BulletText2"/>
              <w:tabs>
                <w:tab w:val="num" w:pos="547"/>
              </w:tabs>
            </w:pPr>
            <w:r>
              <w:t>improve clarity and readability</w:t>
            </w:r>
          </w:p>
          <w:p w14:paraId="4198E050" w14:textId="77777777" w:rsidR="00B858F9" w:rsidRDefault="00B858F9" w:rsidP="00B858F9">
            <w:pPr>
              <w:pStyle w:val="BulletText2"/>
              <w:tabs>
                <w:tab w:val="num" w:pos="547"/>
              </w:tabs>
            </w:pPr>
            <w:r>
              <w:t>add references</w:t>
            </w:r>
          </w:p>
          <w:p w14:paraId="20E23B06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incorrect or obsolete references</w:t>
            </w:r>
          </w:p>
          <w:p w14:paraId="21FF267B" w14:textId="77777777" w:rsidR="00504F80" w:rsidRDefault="00504F80" w:rsidP="00237C22">
            <w:pPr>
              <w:pStyle w:val="BulletText2"/>
              <w:tabs>
                <w:tab w:val="num" w:pos="547"/>
              </w:tabs>
            </w:pPr>
            <w:r>
              <w:t>update obsolete terminology, where appropriate</w:t>
            </w:r>
          </w:p>
          <w:p w14:paraId="5473F33B" w14:textId="77777777" w:rsidR="00311F26" w:rsidRDefault="009E5F2A" w:rsidP="00311F26">
            <w:pPr>
              <w:pStyle w:val="BulletText2"/>
              <w:tabs>
                <w:tab w:val="num" w:pos="547"/>
              </w:tabs>
            </w:pPr>
            <w:r w:rsidRPr="009E5F2A">
              <w:t xml:space="preserve">reorganize/relocate content within </w:t>
            </w:r>
            <w:r w:rsidR="000D270D">
              <w:rPr>
                <w:b/>
              </w:rPr>
              <w:t>M29-1,</w:t>
            </w:r>
            <w:r w:rsidR="00993AD2">
              <w:rPr>
                <w:b/>
              </w:rPr>
              <w:t xml:space="preserve"> Part 6, Chapter 6</w:t>
            </w:r>
            <w:r w:rsidR="000D270D">
              <w:t xml:space="preserve"> </w:t>
            </w:r>
            <w:r w:rsidRPr="009E5F2A">
              <w:t>so that it flows more logically</w:t>
            </w:r>
          </w:p>
          <w:p w14:paraId="7F470143" w14:textId="77777777" w:rsidR="003E2CA2" w:rsidRDefault="003E2CA2" w:rsidP="00237C22">
            <w:pPr>
              <w:pStyle w:val="BulletText2"/>
              <w:tabs>
                <w:tab w:val="num" w:pos="547"/>
              </w:tabs>
            </w:pPr>
            <w:r>
              <w:t>reassign alphabetical designations to individual blocks, where necessary, to account for new and/or deleted blocks within a topic</w:t>
            </w:r>
          </w:p>
          <w:p w14:paraId="62085795" w14:textId="77777777" w:rsidR="00504F80" w:rsidRDefault="00A557BB" w:rsidP="00DD22A9">
            <w:pPr>
              <w:pStyle w:val="BulletText2"/>
              <w:tabs>
                <w:tab w:val="num" w:pos="547"/>
              </w:tabs>
            </w:pPr>
            <w:r>
              <w:t xml:space="preserve">update </w:t>
            </w:r>
            <w:r w:rsidR="00DD22A9">
              <w:t xml:space="preserve">the labels of individual blocks and the titles of </w:t>
            </w:r>
            <w:r>
              <w:t>section</w:t>
            </w:r>
            <w:r w:rsidR="00DD22A9">
              <w:t>s</w:t>
            </w:r>
            <w:r>
              <w:t xml:space="preserve"> and topic</w:t>
            </w:r>
            <w:r w:rsidR="00DD22A9">
              <w:t>s</w:t>
            </w:r>
            <w:r>
              <w:t xml:space="preserve"> to more accurately reflect their content</w:t>
            </w:r>
            <w:r w:rsidR="00504F80">
              <w:t xml:space="preserve">, and </w:t>
            </w:r>
          </w:p>
          <w:p w14:paraId="7514CCDC" w14:textId="77777777" w:rsidR="00504F80" w:rsidRPr="00EA3A57" w:rsidRDefault="00504F80" w:rsidP="00120103">
            <w:pPr>
              <w:pStyle w:val="BulletText2"/>
            </w:pPr>
            <w:r>
              <w:t>bring the document into conformance with M2</w:t>
            </w:r>
            <w:r w:rsidR="00311F26">
              <w:t>9</w:t>
            </w:r>
            <w:r>
              <w:t>-1 standards.</w:t>
            </w:r>
          </w:p>
        </w:tc>
      </w:tr>
    </w:tbl>
    <w:p w14:paraId="4ADAF20E" w14:textId="77777777" w:rsidR="00C24D50" w:rsidRDefault="00C24D50" w:rsidP="00C24D50"/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9"/>
        <w:gridCol w:w="1981"/>
      </w:tblGrid>
      <w:tr w:rsidR="0060514F" w:rsidRPr="004221F2" w14:paraId="511E5A23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84F2BB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Reason(s) for Notable Change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60BC23" w14:textId="77777777" w:rsidR="0060514F" w:rsidRPr="0060514F" w:rsidRDefault="0060514F" w:rsidP="002B755D">
            <w:pPr>
              <w:pStyle w:val="TableHeaderText"/>
              <w:rPr>
                <w:sz w:val="28"/>
                <w:szCs w:val="28"/>
              </w:rPr>
            </w:pPr>
            <w:r w:rsidRPr="0060514F">
              <w:rPr>
                <w:sz w:val="28"/>
                <w:szCs w:val="28"/>
              </w:rPr>
              <w:t>Citation</w:t>
            </w:r>
          </w:p>
        </w:tc>
      </w:tr>
      <w:tr w:rsidR="0060514F" w14:paraId="68EE9630" w14:textId="77777777" w:rsidTr="0060514F">
        <w:trPr>
          <w:trHeight w:val="180"/>
        </w:trPr>
        <w:tc>
          <w:tcPr>
            <w:tcW w:w="3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74DF3D" w14:textId="77777777" w:rsidR="0060514F" w:rsidRPr="00F038EC" w:rsidRDefault="007A7F6C" w:rsidP="00673296">
            <w:pPr>
              <w:pStyle w:val="TableHeaderText"/>
              <w:jc w:val="left"/>
              <w:rPr>
                <w:b w:val="0"/>
              </w:rPr>
            </w:pPr>
            <w:r w:rsidRPr="00F038EC">
              <w:rPr>
                <w:b w:val="0"/>
              </w:rPr>
              <w:t>Explains how the staff shoul</w:t>
            </w:r>
            <w:r w:rsidR="009B3696" w:rsidRPr="00F038EC">
              <w:rPr>
                <w:b w:val="0"/>
              </w:rPr>
              <w:t>d process a case in which a check for the payment of premiums is returned as uncollectible due to the insured’</w:t>
            </w:r>
            <w:r w:rsidR="00B71157" w:rsidRPr="00F038EC">
              <w:rPr>
                <w:b w:val="0"/>
              </w:rPr>
              <w:t xml:space="preserve">s death, eliminates obsolete language </w:t>
            </w:r>
            <w:r w:rsidR="009B3696" w:rsidRPr="00F038EC">
              <w:rPr>
                <w:b w:val="0"/>
              </w:rPr>
              <w:t xml:space="preserve">and </w:t>
            </w:r>
            <w:r w:rsidR="00B71157" w:rsidRPr="00F038EC">
              <w:rPr>
                <w:b w:val="0"/>
              </w:rPr>
              <w:t xml:space="preserve">provides current </w:t>
            </w:r>
            <w:r w:rsidR="009B3696" w:rsidRPr="00F038EC">
              <w:rPr>
                <w:b w:val="0"/>
              </w:rPr>
              <w:t>electronic processing procedures currently used by the Insurance Center</w:t>
            </w:r>
          </w:p>
        </w:tc>
        <w:tc>
          <w:tcPr>
            <w:tcW w:w="10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2A4D790" w14:textId="77777777" w:rsidR="0060514F" w:rsidRPr="0060514F" w:rsidRDefault="009B3696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6.01</w:t>
            </w:r>
          </w:p>
        </w:tc>
      </w:tr>
      <w:tr w:rsidR="002A1D3E" w14:paraId="5AFFE4A4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4049857" w14:textId="77777777" w:rsidR="002A1D3E" w:rsidRPr="00F038EC" w:rsidRDefault="00DB2104" w:rsidP="00673296">
            <w:pPr>
              <w:pStyle w:val="TableHeaderText"/>
              <w:jc w:val="left"/>
              <w:rPr>
                <w:b w:val="0"/>
              </w:rPr>
            </w:pPr>
            <w:r w:rsidRPr="00F038EC">
              <w:rPr>
                <w:b w:val="0"/>
              </w:rPr>
              <w:t>Explains</w:t>
            </w:r>
            <w:r w:rsidR="00670D76" w:rsidRPr="00F038EC">
              <w:rPr>
                <w:b w:val="0"/>
              </w:rPr>
              <w:t xml:space="preserve"> the </w:t>
            </w:r>
            <w:r w:rsidRPr="00F038EC">
              <w:rPr>
                <w:b w:val="0"/>
              </w:rPr>
              <w:t xml:space="preserve">process by which the Insurance staff should process a check that is returned due to the death of </w:t>
            </w:r>
            <w:r w:rsidR="007013F5" w:rsidRPr="00F038EC">
              <w:rPr>
                <w:b w:val="0"/>
              </w:rPr>
              <w:t>a</w:t>
            </w:r>
            <w:r w:rsidRPr="00F038EC">
              <w:rPr>
                <w:b w:val="0"/>
              </w:rPr>
              <w:t xml:space="preserve"> beneficiary</w:t>
            </w:r>
            <w:r w:rsidR="00C2757A" w:rsidRPr="00F038EC">
              <w:rPr>
                <w:b w:val="0"/>
              </w:rPr>
              <w:t xml:space="preserve"> or payee</w:t>
            </w:r>
            <w:r w:rsidRPr="00F038EC">
              <w:rPr>
                <w:b w:val="0"/>
              </w:rPr>
              <w:t xml:space="preserve">; </w:t>
            </w:r>
            <w:r w:rsidR="00B71157" w:rsidRPr="00F038EC">
              <w:rPr>
                <w:b w:val="0"/>
              </w:rPr>
              <w:t>eliminates obsolete language and provides current electronic processing procedures currently used by the Insurance Center</w:t>
            </w:r>
          </w:p>
        </w:tc>
        <w:tc>
          <w:tcPr>
            <w:tcW w:w="1058" w:type="pct"/>
            <w:shd w:val="clear" w:color="auto" w:fill="auto"/>
          </w:tcPr>
          <w:p w14:paraId="5F550078" w14:textId="77777777" w:rsidR="002A1D3E" w:rsidRPr="0060514F" w:rsidRDefault="00B71157" w:rsidP="00673296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6.02</w:t>
            </w:r>
          </w:p>
        </w:tc>
      </w:tr>
      <w:tr w:rsidR="00C2757A" w14:paraId="37EBB7EE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5F35ABF" w14:textId="77777777" w:rsidR="00C2757A" w:rsidRPr="0060514F" w:rsidRDefault="00C2757A" w:rsidP="00C2757A">
            <w:pPr>
              <w:pStyle w:val="TableHeaderText"/>
              <w:jc w:val="left"/>
              <w:rPr>
                <w:b w:val="0"/>
              </w:rPr>
            </w:pPr>
            <w:r w:rsidRPr="00C10125">
              <w:rPr>
                <w:b w:val="0"/>
              </w:rPr>
              <w:t xml:space="preserve">Eliminates outdated process for returned cash surrender or loan checks </w:t>
            </w:r>
            <w:r w:rsidR="0018073A" w:rsidRPr="00C10125">
              <w:rPr>
                <w:b w:val="0"/>
              </w:rPr>
              <w:t>d</w:t>
            </w:r>
            <w:r w:rsidRPr="00C10125">
              <w:rPr>
                <w:b w:val="0"/>
              </w:rPr>
              <w:t>ue to</w:t>
            </w:r>
            <w:r w:rsidR="0018073A" w:rsidRPr="00C10125">
              <w:rPr>
                <w:b w:val="0"/>
              </w:rPr>
              <w:t xml:space="preserve"> the</w:t>
            </w:r>
            <w:r w:rsidRPr="00C10125">
              <w:rPr>
                <w:b w:val="0"/>
              </w:rPr>
              <w:t xml:space="preserve"> death of insured to be sent to Voucher Audit activity before processing by Death claims</w:t>
            </w:r>
          </w:p>
        </w:tc>
        <w:tc>
          <w:tcPr>
            <w:tcW w:w="1058" w:type="pct"/>
            <w:shd w:val="clear" w:color="auto" w:fill="auto"/>
          </w:tcPr>
          <w:p w14:paraId="03ED0BD6" w14:textId="77777777" w:rsidR="00C2757A" w:rsidRPr="0060514F" w:rsidRDefault="00C2757A" w:rsidP="00C2757A">
            <w:pPr>
              <w:pStyle w:val="TableHeaderText"/>
              <w:jc w:val="left"/>
              <w:rPr>
                <w:b w:val="0"/>
              </w:rPr>
            </w:pPr>
            <w:r>
              <w:rPr>
                <w:b w:val="0"/>
              </w:rPr>
              <w:t>Subchapter 6.02</w:t>
            </w:r>
          </w:p>
        </w:tc>
      </w:tr>
      <w:tr w:rsidR="00C2757A" w14:paraId="5C586F7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68FBFF39" w14:textId="77777777" w:rsidR="00C2757A" w:rsidRPr="0060514F" w:rsidRDefault="00C2757A" w:rsidP="00C2757A">
            <w:pPr>
              <w:pStyle w:val="TableText"/>
            </w:pPr>
            <w:r>
              <w:t xml:space="preserve">Explains that if a payment is received by </w:t>
            </w:r>
            <w:r w:rsidR="00787C51">
              <w:t xml:space="preserve">the </w:t>
            </w:r>
            <w:r>
              <w:t xml:space="preserve">Insurance </w:t>
            </w:r>
            <w:r w:rsidR="00787C51">
              <w:t xml:space="preserve">Center </w:t>
            </w:r>
            <w:r>
              <w:t>postmarked after the insured’s death, it will be refunded to the submitter; if a payment is received by</w:t>
            </w:r>
            <w:r w:rsidR="00787C51">
              <w:t xml:space="preserve"> the</w:t>
            </w:r>
            <w:r>
              <w:t xml:space="preserve"> Insurance</w:t>
            </w:r>
            <w:r w:rsidR="00787C51">
              <w:t xml:space="preserve"> Center</w:t>
            </w:r>
            <w:r>
              <w:t xml:space="preserve"> postmarked prior to the insured ‘s death and prior to the First Notice of Death (FNOD), the payment will b</w:t>
            </w:r>
            <w:r w:rsidR="00787C51">
              <w:t>e applied to the award of an in</w:t>
            </w:r>
            <w:r>
              <w:t xml:space="preserve">force policy and refunded to the submitter for a policy that has previously lapsed </w:t>
            </w:r>
          </w:p>
        </w:tc>
        <w:tc>
          <w:tcPr>
            <w:tcW w:w="1058" w:type="pct"/>
            <w:shd w:val="clear" w:color="auto" w:fill="auto"/>
          </w:tcPr>
          <w:p w14:paraId="267B1EC7" w14:textId="77777777" w:rsidR="00C2757A" w:rsidRPr="0060514F" w:rsidRDefault="00C2757A" w:rsidP="00C2757A">
            <w:pPr>
              <w:pStyle w:val="TableText"/>
            </w:pPr>
            <w:r>
              <w:t xml:space="preserve">Subchapter 6.03 </w:t>
            </w:r>
          </w:p>
        </w:tc>
      </w:tr>
      <w:tr w:rsidR="00C2757A" w14:paraId="69139862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47B80FE7" w14:textId="77777777" w:rsidR="00C2757A" w:rsidRPr="0060514F" w:rsidRDefault="00C2757A" w:rsidP="00C2757A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7B46E030" w14:textId="77777777" w:rsidR="00C2757A" w:rsidRPr="0060514F" w:rsidRDefault="00C2757A" w:rsidP="00C2757A">
            <w:pPr>
              <w:pStyle w:val="TableText"/>
            </w:pPr>
          </w:p>
        </w:tc>
      </w:tr>
      <w:tr w:rsidR="00C2757A" w14:paraId="7E9DCFF0" w14:textId="77777777" w:rsidTr="002220F1">
        <w:trPr>
          <w:trHeight w:val="180"/>
        </w:trPr>
        <w:tc>
          <w:tcPr>
            <w:tcW w:w="3942" w:type="pct"/>
            <w:shd w:val="clear" w:color="auto" w:fill="auto"/>
          </w:tcPr>
          <w:p w14:paraId="2FC9C6B0" w14:textId="77777777" w:rsidR="00C2757A" w:rsidRPr="0060514F" w:rsidRDefault="00C2757A" w:rsidP="00C2757A">
            <w:pPr>
              <w:pStyle w:val="TableText"/>
            </w:pPr>
          </w:p>
        </w:tc>
        <w:tc>
          <w:tcPr>
            <w:tcW w:w="1058" w:type="pct"/>
            <w:shd w:val="clear" w:color="auto" w:fill="auto"/>
          </w:tcPr>
          <w:p w14:paraId="6AD814AB" w14:textId="77777777" w:rsidR="00C2757A" w:rsidRPr="0060514F" w:rsidRDefault="00C2757A" w:rsidP="00C2757A">
            <w:pPr>
              <w:pStyle w:val="TableText"/>
            </w:pPr>
          </w:p>
        </w:tc>
      </w:tr>
    </w:tbl>
    <w:p w14:paraId="073F3914" w14:textId="77777777" w:rsidR="0060514F" w:rsidRDefault="0060514F" w:rsidP="0060514F">
      <w:pPr>
        <w:pStyle w:val="BlockLine"/>
        <w:pBdr>
          <w:top w:val="single" w:sz="6" w:space="0" w:color="000000"/>
        </w:pBd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7380"/>
        <w:gridCol w:w="1980"/>
      </w:tblGrid>
      <w:tr w:rsidR="0060514F" w:rsidRPr="004221F2" w14:paraId="68A7012F" w14:textId="77777777" w:rsidTr="0060514F">
        <w:trPr>
          <w:trHeight w:val="330"/>
        </w:trPr>
        <w:tc>
          <w:tcPr>
            <w:tcW w:w="7380" w:type="dxa"/>
          </w:tcPr>
          <w:p w14:paraId="1F7D76BB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Reason(s) for Change</w:t>
            </w:r>
          </w:p>
        </w:tc>
        <w:tc>
          <w:tcPr>
            <w:tcW w:w="1980" w:type="dxa"/>
          </w:tcPr>
          <w:p w14:paraId="2B409BD5" w14:textId="77777777" w:rsidR="0060514F" w:rsidRPr="004221F2" w:rsidRDefault="0060514F" w:rsidP="002B755D">
            <w:pPr>
              <w:jc w:val="center"/>
              <w:rPr>
                <w:b/>
                <w:sz w:val="28"/>
                <w:szCs w:val="28"/>
              </w:rPr>
            </w:pPr>
            <w:r w:rsidRPr="004221F2">
              <w:rPr>
                <w:b/>
                <w:sz w:val="28"/>
                <w:szCs w:val="28"/>
              </w:rPr>
              <w:t>Citation</w:t>
            </w:r>
          </w:p>
        </w:tc>
      </w:tr>
      <w:tr w:rsidR="0060514F" w:rsidRPr="004221F2" w14:paraId="6DACCD30" w14:textId="77777777" w:rsidTr="00673296">
        <w:trPr>
          <w:trHeight w:val="187"/>
        </w:trPr>
        <w:tc>
          <w:tcPr>
            <w:tcW w:w="7380" w:type="dxa"/>
          </w:tcPr>
          <w:p w14:paraId="69E55ADD" w14:textId="77777777" w:rsidR="0060514F" w:rsidRPr="0060514F" w:rsidRDefault="0060514F" w:rsidP="00673296"/>
        </w:tc>
        <w:tc>
          <w:tcPr>
            <w:tcW w:w="1980" w:type="dxa"/>
          </w:tcPr>
          <w:p w14:paraId="1EDBB49E" w14:textId="77777777" w:rsidR="0060514F" w:rsidRPr="0060514F" w:rsidRDefault="0060514F" w:rsidP="00673296"/>
        </w:tc>
      </w:tr>
      <w:tr w:rsidR="0060514F" w:rsidRPr="004221F2" w14:paraId="2715BA5B" w14:textId="77777777" w:rsidTr="00673296">
        <w:trPr>
          <w:trHeight w:val="187"/>
        </w:trPr>
        <w:tc>
          <w:tcPr>
            <w:tcW w:w="7380" w:type="dxa"/>
          </w:tcPr>
          <w:p w14:paraId="1948A8B2" w14:textId="77777777" w:rsidR="0060514F" w:rsidRPr="0060514F" w:rsidRDefault="0060514F" w:rsidP="00673296"/>
        </w:tc>
        <w:tc>
          <w:tcPr>
            <w:tcW w:w="1980" w:type="dxa"/>
          </w:tcPr>
          <w:p w14:paraId="137C6AB1" w14:textId="77777777" w:rsidR="0060514F" w:rsidRPr="0060514F" w:rsidRDefault="0060514F" w:rsidP="00673296"/>
        </w:tc>
      </w:tr>
      <w:tr w:rsidR="0060514F" w:rsidRPr="004221F2" w14:paraId="6EA86AA2" w14:textId="77777777" w:rsidTr="00673296">
        <w:trPr>
          <w:trHeight w:val="187"/>
        </w:trPr>
        <w:tc>
          <w:tcPr>
            <w:tcW w:w="7380" w:type="dxa"/>
          </w:tcPr>
          <w:p w14:paraId="079AF56D" w14:textId="77777777" w:rsidR="0060514F" w:rsidRPr="0060514F" w:rsidRDefault="0060514F" w:rsidP="00673296"/>
        </w:tc>
        <w:tc>
          <w:tcPr>
            <w:tcW w:w="1980" w:type="dxa"/>
          </w:tcPr>
          <w:p w14:paraId="5EC60B32" w14:textId="77777777" w:rsidR="0060514F" w:rsidRPr="0060514F" w:rsidRDefault="0060514F" w:rsidP="00673296"/>
        </w:tc>
      </w:tr>
    </w:tbl>
    <w:p w14:paraId="4E0FB127" w14:textId="77777777" w:rsidR="00504F80" w:rsidRDefault="00504F80" w:rsidP="00504F80">
      <w:pPr>
        <w:pStyle w:val="BlockLine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74012830" w14:textId="77777777" w:rsidTr="00237C22">
        <w:tc>
          <w:tcPr>
            <w:tcW w:w="1728" w:type="dxa"/>
          </w:tcPr>
          <w:p w14:paraId="4B0BF903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255CCBBF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6B6FB66A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CC162F4" w14:textId="77777777" w:rsidTr="00237C22">
        <w:tc>
          <w:tcPr>
            <w:tcW w:w="1728" w:type="dxa"/>
          </w:tcPr>
          <w:p w14:paraId="37B5FFD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C23996A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01FE169E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BD0B40A" w14:textId="77777777" w:rsidTr="00237C22">
        <w:tc>
          <w:tcPr>
            <w:tcW w:w="1728" w:type="dxa"/>
          </w:tcPr>
          <w:p w14:paraId="0BB6551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6CE9F9FD" w14:textId="77777777" w:rsidR="00504F80" w:rsidRPr="00B4163A" w:rsidRDefault="00504F80" w:rsidP="00237C22">
            <w:pPr>
              <w:pStyle w:val="BlockText"/>
            </w:pPr>
          </w:p>
          <w:p w14:paraId="67285210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10E127C7" w14:textId="4020DDFF" w:rsidR="005C2AD9" w:rsidRDefault="009F6D7C" w:rsidP="005C2AD9">
            <w:r>
              <w:t>Timothy Sirhal</w:t>
            </w:r>
            <w:r w:rsidR="00BC4A0D">
              <w:t xml:space="preserve">, </w:t>
            </w:r>
            <w:r>
              <w:t xml:space="preserve">Acting </w:t>
            </w:r>
            <w:r w:rsidR="00BC4A0D">
              <w:t>Director</w:t>
            </w:r>
          </w:p>
          <w:p w14:paraId="28BFA95A" w14:textId="77777777" w:rsidR="00504F80" w:rsidRPr="00B4163A" w:rsidRDefault="00311F26" w:rsidP="00BC4A0D">
            <w:pPr>
              <w:pStyle w:val="BlockText"/>
            </w:pPr>
            <w:r>
              <w:t>Insurance</w:t>
            </w:r>
            <w:r w:rsidR="00504F80" w:rsidRPr="00B4163A">
              <w:t xml:space="preserve"> Service</w:t>
            </w:r>
          </w:p>
        </w:tc>
      </w:tr>
    </w:tbl>
    <w:p w14:paraId="7097D55F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08004785" w14:textId="77777777" w:rsidTr="00237C22">
        <w:tc>
          <w:tcPr>
            <w:tcW w:w="1728" w:type="dxa"/>
          </w:tcPr>
          <w:p w14:paraId="0BE19361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67DF9912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0DC47616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44F2E962" w14:textId="77777777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55453E">
        <w:fldChar w:fldCharType="begin">
          <w:fldData xml:space="preserve">RABvAGMAVABlAG0AcAAxAFYAYQByAFQAcgBhAGQAaQB0AGkAbwBuAGEAbAA=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55453E">
        <w:fldChar w:fldCharType="begin">
          <w:fldData xml:space="preserve">RgBvAG4AdABTAGUAdABpAG0AaQBzAHQAeQBsAGUAcwAuAHgAbQBsAA==
</w:fldData>
        </w:fldChar>
      </w:r>
      <w:r w:rsidR="0055453E">
        <w:instrText xml:space="preserve"> ADDIN  \* MERGEFORMAT </w:instrText>
      </w:r>
      <w:r w:rsidR="0055453E">
        <w:fldChar w:fldCharType="end"/>
      </w:r>
      <w:r w:rsidR="00E67135">
        <w:fldChar w:fldCharType="begin">
          <w:fldData xml:space="preserve">RABvAGMAVABlAG0AcAAxAFYAYQByAFQAcgBhAGQAaQB0AGkAbwBuAGEAbAA=
</w:fldData>
        </w:fldChar>
      </w:r>
      <w:r w:rsidR="00E67135">
        <w:instrText xml:space="preserve"> ADDIN  \* MERGEFORMAT </w:instrText>
      </w:r>
      <w:r w:rsidR="00E67135">
        <w:fldChar w:fldCharType="end"/>
      </w:r>
      <w:r w:rsidR="00E67135">
        <w:fldChar w:fldCharType="begin">
          <w:fldData xml:space="preserve">RgBvAG4AdABTAGUAdABpAG0AaQBzAHQAeQBsAGUAcwAuAHgAbQBsAA==
</w:fldData>
        </w:fldChar>
      </w:r>
      <w:r w:rsidR="00E67135">
        <w:instrText xml:space="preserve"> ADDIN  \* MERGEFORMAT </w:instrText>
      </w:r>
      <w:r w:rsidR="00E67135">
        <w:fldChar w:fldCharType="end"/>
      </w:r>
    </w:p>
    <w:sectPr w:rsidR="007D5B97" w:rsidSect="00237C22">
      <w:footerReference w:type="even" r:id="rId11"/>
      <w:footerReference w:type="default" r:id="rId12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500037" w14:textId="77777777" w:rsidR="00027910" w:rsidRDefault="00027910" w:rsidP="00C765C7">
      <w:r>
        <w:separator/>
      </w:r>
    </w:p>
  </w:endnote>
  <w:endnote w:type="continuationSeparator" w:id="0">
    <w:p w14:paraId="0FECCF7F" w14:textId="77777777" w:rsidR="00027910" w:rsidRDefault="00027910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DFB7DD" w14:textId="77777777" w:rsidR="00237C22" w:rsidRDefault="00237C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9D5108" w14:textId="77777777" w:rsidR="00237C22" w:rsidRDefault="00237C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C5CBF" w14:textId="77777777" w:rsidR="00237C22" w:rsidRPr="00BB7DE1" w:rsidRDefault="00237C22">
    <w:pPr>
      <w:pStyle w:val="Footer"/>
      <w:framePr w:wrap="around" w:vAnchor="text" w:hAnchor="margin" w:xAlign="center" w:y="1"/>
      <w:rPr>
        <w:rStyle w:val="PageNumber"/>
        <w:lang w:val="en-US"/>
      </w:rPr>
    </w:pPr>
  </w:p>
  <w:p w14:paraId="5DEEEEF7" w14:textId="77777777" w:rsidR="00237C22" w:rsidRDefault="00237C22" w:rsidP="00237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4E6981" w14:textId="77777777" w:rsidR="00027910" w:rsidRDefault="00027910" w:rsidP="00C765C7">
      <w:r>
        <w:separator/>
      </w:r>
    </w:p>
  </w:footnote>
  <w:footnote w:type="continuationSeparator" w:id="0">
    <w:p w14:paraId="3B581961" w14:textId="77777777" w:rsidR="00027910" w:rsidRDefault="00027910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2pt;height:12pt" o:bullet="t">
        <v:imagedata r:id="rId1" o:title="fspro_2columns"/>
      </v:shape>
    </w:pict>
  </w:numPicBullet>
  <w:numPicBullet w:numPicBulletId="1">
    <w:pict>
      <v:shape id="_x0000_i1031" type="#_x0000_t75" style="width:12pt;height:12pt" o:bullet="t">
        <v:imagedata r:id="rId2" o:title="advanced"/>
      </v:shape>
    </w:pict>
  </w:numPicBullet>
  <w:numPicBullet w:numPicBulletId="2">
    <w:pict>
      <v:shape id="_x0000_i1032" type="#_x0000_t75" style="width:12pt;height:12pt" o:bullet="t">
        <v:imagedata r:id="rId3" o:title="continue"/>
      </v:shape>
    </w:pict>
  </w:numPicBullet>
  <w:numPicBullet w:numPicBulletId="3">
    <w:pict>
      <v:shape id="_x0000_i1033" type="#_x0000_t75" style="width:12pt;height:12pt" o:bullet="t">
        <v:imagedata r:id="rId4" o:title="webpage"/>
      </v:shape>
    </w:pict>
  </w:numPicBullet>
  <w:abstractNum w:abstractNumId="0" w15:restartNumberingAfterBreak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27910"/>
    <w:rsid w:val="00093228"/>
    <w:rsid w:val="000A1A8A"/>
    <w:rsid w:val="000A7776"/>
    <w:rsid w:val="000D270D"/>
    <w:rsid w:val="000E1696"/>
    <w:rsid w:val="000E320F"/>
    <w:rsid w:val="00100433"/>
    <w:rsid w:val="0010215F"/>
    <w:rsid w:val="00106EEF"/>
    <w:rsid w:val="00120103"/>
    <w:rsid w:val="00123973"/>
    <w:rsid w:val="001253ED"/>
    <w:rsid w:val="0018073A"/>
    <w:rsid w:val="00186D46"/>
    <w:rsid w:val="001B3F58"/>
    <w:rsid w:val="001C3AE3"/>
    <w:rsid w:val="001C3EB5"/>
    <w:rsid w:val="002041BE"/>
    <w:rsid w:val="00205C50"/>
    <w:rsid w:val="002220F1"/>
    <w:rsid w:val="00237C22"/>
    <w:rsid w:val="00240624"/>
    <w:rsid w:val="00264204"/>
    <w:rsid w:val="00271962"/>
    <w:rsid w:val="0027298D"/>
    <w:rsid w:val="002A1D3E"/>
    <w:rsid w:val="002B7A7E"/>
    <w:rsid w:val="002C10DF"/>
    <w:rsid w:val="002F5B21"/>
    <w:rsid w:val="002F7397"/>
    <w:rsid w:val="00311F26"/>
    <w:rsid w:val="00332B80"/>
    <w:rsid w:val="00341981"/>
    <w:rsid w:val="00366D36"/>
    <w:rsid w:val="00386999"/>
    <w:rsid w:val="003B2927"/>
    <w:rsid w:val="003D47AF"/>
    <w:rsid w:val="003E2CA2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37647"/>
    <w:rsid w:val="00443062"/>
    <w:rsid w:val="00450FD6"/>
    <w:rsid w:val="00455EF7"/>
    <w:rsid w:val="004562CC"/>
    <w:rsid w:val="00471ECA"/>
    <w:rsid w:val="00482FA3"/>
    <w:rsid w:val="0048559D"/>
    <w:rsid w:val="00494175"/>
    <w:rsid w:val="004A0832"/>
    <w:rsid w:val="004E3AF3"/>
    <w:rsid w:val="004F375E"/>
    <w:rsid w:val="00504F80"/>
    <w:rsid w:val="00506485"/>
    <w:rsid w:val="00513DA7"/>
    <w:rsid w:val="00516C82"/>
    <w:rsid w:val="005238CB"/>
    <w:rsid w:val="00526F0E"/>
    <w:rsid w:val="0055453E"/>
    <w:rsid w:val="00594258"/>
    <w:rsid w:val="00596ACC"/>
    <w:rsid w:val="005A24DF"/>
    <w:rsid w:val="005C2AD9"/>
    <w:rsid w:val="005D3508"/>
    <w:rsid w:val="005E4363"/>
    <w:rsid w:val="00600DC7"/>
    <w:rsid w:val="0060514F"/>
    <w:rsid w:val="0062068D"/>
    <w:rsid w:val="006317AA"/>
    <w:rsid w:val="006473C3"/>
    <w:rsid w:val="006708D7"/>
    <w:rsid w:val="00670D76"/>
    <w:rsid w:val="00673296"/>
    <w:rsid w:val="006837E0"/>
    <w:rsid w:val="006B7262"/>
    <w:rsid w:val="006C3E5F"/>
    <w:rsid w:val="006C48FF"/>
    <w:rsid w:val="006D10E5"/>
    <w:rsid w:val="006D52FE"/>
    <w:rsid w:val="006E5CBA"/>
    <w:rsid w:val="006F6D37"/>
    <w:rsid w:val="007013F5"/>
    <w:rsid w:val="00724248"/>
    <w:rsid w:val="00732186"/>
    <w:rsid w:val="00737049"/>
    <w:rsid w:val="00787C51"/>
    <w:rsid w:val="00794D24"/>
    <w:rsid w:val="007A0C5F"/>
    <w:rsid w:val="007A7F6C"/>
    <w:rsid w:val="007D5B97"/>
    <w:rsid w:val="007E5515"/>
    <w:rsid w:val="0080590C"/>
    <w:rsid w:val="008144E7"/>
    <w:rsid w:val="00822A16"/>
    <w:rsid w:val="0086475B"/>
    <w:rsid w:val="00875AFA"/>
    <w:rsid w:val="0088609E"/>
    <w:rsid w:val="008B4CB5"/>
    <w:rsid w:val="008C723F"/>
    <w:rsid w:val="008D12C3"/>
    <w:rsid w:val="008D458B"/>
    <w:rsid w:val="008E22CF"/>
    <w:rsid w:val="008E5824"/>
    <w:rsid w:val="008E589A"/>
    <w:rsid w:val="008F14EA"/>
    <w:rsid w:val="008F1D5B"/>
    <w:rsid w:val="00916AE6"/>
    <w:rsid w:val="00933BDB"/>
    <w:rsid w:val="00945950"/>
    <w:rsid w:val="009769CD"/>
    <w:rsid w:val="009915D0"/>
    <w:rsid w:val="00993AD2"/>
    <w:rsid w:val="00997D98"/>
    <w:rsid w:val="009B3696"/>
    <w:rsid w:val="009C22C8"/>
    <w:rsid w:val="009C6B2E"/>
    <w:rsid w:val="009E5F2A"/>
    <w:rsid w:val="009E6E1A"/>
    <w:rsid w:val="009F6D7C"/>
    <w:rsid w:val="00A01AF7"/>
    <w:rsid w:val="00A2703B"/>
    <w:rsid w:val="00A315CB"/>
    <w:rsid w:val="00A3579D"/>
    <w:rsid w:val="00A55356"/>
    <w:rsid w:val="00A557BB"/>
    <w:rsid w:val="00A8520D"/>
    <w:rsid w:val="00AC2993"/>
    <w:rsid w:val="00AC43CF"/>
    <w:rsid w:val="00AD0EDC"/>
    <w:rsid w:val="00AE64CB"/>
    <w:rsid w:val="00AF2CD6"/>
    <w:rsid w:val="00B023CC"/>
    <w:rsid w:val="00B0548B"/>
    <w:rsid w:val="00B30D2F"/>
    <w:rsid w:val="00B50AD7"/>
    <w:rsid w:val="00B64F2F"/>
    <w:rsid w:val="00B71157"/>
    <w:rsid w:val="00B858F9"/>
    <w:rsid w:val="00B93A3C"/>
    <w:rsid w:val="00B96287"/>
    <w:rsid w:val="00B9756B"/>
    <w:rsid w:val="00BB3345"/>
    <w:rsid w:val="00BB7DE1"/>
    <w:rsid w:val="00BC4A0D"/>
    <w:rsid w:val="00BF7FE3"/>
    <w:rsid w:val="00C0404B"/>
    <w:rsid w:val="00C10125"/>
    <w:rsid w:val="00C24D50"/>
    <w:rsid w:val="00C273AD"/>
    <w:rsid w:val="00C2757A"/>
    <w:rsid w:val="00C72D10"/>
    <w:rsid w:val="00C765C7"/>
    <w:rsid w:val="00CD2D08"/>
    <w:rsid w:val="00D06739"/>
    <w:rsid w:val="00D33A6E"/>
    <w:rsid w:val="00D36508"/>
    <w:rsid w:val="00D57B91"/>
    <w:rsid w:val="00D61497"/>
    <w:rsid w:val="00D77146"/>
    <w:rsid w:val="00D823AF"/>
    <w:rsid w:val="00D87741"/>
    <w:rsid w:val="00D9207B"/>
    <w:rsid w:val="00DA11C2"/>
    <w:rsid w:val="00DB074F"/>
    <w:rsid w:val="00DB2104"/>
    <w:rsid w:val="00DB2902"/>
    <w:rsid w:val="00DB743E"/>
    <w:rsid w:val="00DD22A9"/>
    <w:rsid w:val="00DE0E35"/>
    <w:rsid w:val="00DF44AC"/>
    <w:rsid w:val="00E2529E"/>
    <w:rsid w:val="00E36906"/>
    <w:rsid w:val="00E648E9"/>
    <w:rsid w:val="00E67135"/>
    <w:rsid w:val="00E77596"/>
    <w:rsid w:val="00E964FD"/>
    <w:rsid w:val="00ED4D5E"/>
    <w:rsid w:val="00ED71C8"/>
    <w:rsid w:val="00F006B2"/>
    <w:rsid w:val="00F038EC"/>
    <w:rsid w:val="00F43DFA"/>
    <w:rsid w:val="00F50E20"/>
    <w:rsid w:val="00F87670"/>
    <w:rsid w:val="00F87F72"/>
    <w:rsid w:val="00F90609"/>
    <w:rsid w:val="00FB6AD1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852706"/>
  <w15:docId w15:val="{AEDF13B0-F370-47BD-8FCC-427C5609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0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uiPriority w:val="99"/>
    <w:qFormat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uiPriority w:val="99"/>
    <w:qFormat/>
    <w:rsid w:val="008F14EA"/>
    <w:rPr>
      <w:szCs w:val="20"/>
    </w:rPr>
  </w:style>
  <w:style w:type="paragraph" w:customStyle="1" w:styleId="TableHeaderText">
    <w:name w:val="Table Header Text"/>
    <w:basedOn w:val="Normal"/>
    <w:uiPriority w:val="99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FE48CB5B765743BA7A98E3D3FC7AD9" ma:contentTypeVersion="0" ma:contentTypeDescription="Create a new document." ma:contentTypeScope="" ma:versionID="12dac2f692321332116df27b05dd9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BB3262-7E72-4827-AF20-6F4868708A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95C8F6-39DD-428C-BF62-64E1083DF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2</TotalTime>
  <Pages>2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capktibb</dc:creator>
  <cp:lastModifiedBy>Dixson, Chiquita, VBAVACO</cp:lastModifiedBy>
  <cp:revision>2</cp:revision>
  <dcterms:created xsi:type="dcterms:W3CDTF">2020-03-19T14:42:00Z</dcterms:created>
  <dcterms:modified xsi:type="dcterms:W3CDTF">2020-03-19T14:42:00Z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0x0101005BFE48CB5B765743BA7A98E3D3FC7AD9</vt:lpwstr>
  </property>
</Properties>
</file>