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0B47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1B3F71">
        <w:rPr>
          <w:rFonts w:ascii="Times New Roman" w:hAnsi="Times New Roman"/>
          <w:sz w:val="20"/>
        </w:rPr>
        <w:t>Affairs</w:t>
      </w:r>
      <w:r w:rsidR="001B3F71">
        <w:rPr>
          <w:rFonts w:ascii="Times New Roman" w:hAnsi="Times New Roman"/>
          <w:sz w:val="20"/>
        </w:rPr>
        <w:tab/>
        <w:t>M29-1, Part 6, Chapter 2</w:t>
      </w:r>
    </w:p>
    <w:p w14:paraId="5DDD99A1" w14:textId="5BA31AF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</w:t>
      </w:r>
      <w:r w:rsidR="00E47DDC">
        <w:rPr>
          <w:b/>
          <w:bCs/>
          <w:sz w:val="20"/>
        </w:rPr>
        <w:t>March 13, 2020</w:t>
      </w:r>
      <w:r>
        <w:rPr>
          <w:b/>
          <w:bCs/>
          <w:sz w:val="20"/>
        </w:rPr>
        <w:tab/>
      </w:r>
    </w:p>
    <w:p w14:paraId="195B92A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914D57F" w14:textId="77777777" w:rsidR="00504F80" w:rsidRDefault="00504F80" w:rsidP="00504F80">
      <w:pPr>
        <w:rPr>
          <w:b/>
          <w:bCs/>
          <w:sz w:val="20"/>
        </w:rPr>
      </w:pPr>
    </w:p>
    <w:p w14:paraId="5F4F4D04" w14:textId="77777777" w:rsidR="00504F80" w:rsidRDefault="00AE64CB" w:rsidP="00504F80">
      <w:pPr>
        <w:pStyle w:val="Heading4"/>
      </w:pPr>
      <w:r>
        <w:t>Key Changes</w:t>
      </w:r>
    </w:p>
    <w:p w14:paraId="004A712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FA32E73" w14:textId="77777777" w:rsidTr="00C24D50">
        <w:tc>
          <w:tcPr>
            <w:tcW w:w="1728" w:type="dxa"/>
          </w:tcPr>
          <w:p w14:paraId="42E4228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50CD5A8" w14:textId="1B4F4F74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1B3F71">
              <w:t>1, Part 6, Chapter 2</w:t>
            </w:r>
            <w:r w:rsidR="00E47DDC">
              <w:t>.</w:t>
            </w:r>
          </w:p>
          <w:p w14:paraId="186D5CA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6877B1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689B25E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1B3F71">
              <w:rPr>
                <w:b/>
              </w:rPr>
              <w:t>, Part 6, Chapter 2</w:t>
            </w:r>
            <w:r w:rsidR="004A31BA">
              <w:rPr>
                <w:b/>
              </w:rPr>
              <w:t xml:space="preserve"> </w:t>
            </w:r>
            <w:r w:rsidR="00DD22A9" w:rsidRPr="00DD22A9">
              <w:t xml:space="preserve">has been rewritten in its entirety </w:t>
            </w:r>
            <w:r w:rsidR="00A9736D" w:rsidRPr="00DD22A9">
              <w:t>for</w:t>
            </w:r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6B8C7C8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792A369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1F93AE91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7F9CA5B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78E9B2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4E1EA45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4A31BA">
              <w:rPr>
                <w:b/>
              </w:rPr>
              <w:t>M29-1,</w:t>
            </w:r>
            <w:r w:rsidR="001B3F71">
              <w:rPr>
                <w:b/>
              </w:rPr>
              <w:t xml:space="preserve"> Part 6, Chapter 2</w:t>
            </w:r>
            <w:r w:rsidR="004A31BA">
              <w:t xml:space="preserve"> </w:t>
            </w:r>
            <w:r w:rsidRPr="009E5F2A">
              <w:t>so that it flows more logically</w:t>
            </w:r>
          </w:p>
          <w:p w14:paraId="19E55C7E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F1A1855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77241E16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7239C06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04E4A746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61178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90655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A267E7" w14:paraId="5BD5B381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1EB57" w14:textId="77777777" w:rsidR="00A267E7" w:rsidRPr="003F60BE" w:rsidRDefault="00A267E7" w:rsidP="00A267E7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Eliminates references to Section 724 waiver and two VA forms as obsolete and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E4A50" w14:textId="77777777" w:rsidR="00A267E7" w:rsidRPr="003F60BE" w:rsidRDefault="00A267E7" w:rsidP="00A267E7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Subchapter 2.02</w:t>
            </w:r>
          </w:p>
        </w:tc>
      </w:tr>
      <w:tr w:rsidR="00A267E7" w14:paraId="66BCC183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450E7" w14:textId="77777777" w:rsidR="00A267E7" w:rsidRPr="003F60BE" w:rsidRDefault="005A64B6" w:rsidP="00A267E7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Clarifies how deductions made after the insured’s death are processed for deductions from benefits (DFB), allotments, VAMATIC, and accounts in force due to Section 1912 or 1948 waiver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07D1E" w14:textId="77777777" w:rsidR="00A267E7" w:rsidRPr="003F60BE" w:rsidRDefault="005A64B6" w:rsidP="00A267E7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Subchapter 2.03</w:t>
            </w:r>
          </w:p>
        </w:tc>
      </w:tr>
      <w:tr w:rsidR="00A267E7" w14:paraId="501ABBD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258A1B8" w14:textId="77777777" w:rsidR="00A267E7" w:rsidRPr="003F60BE" w:rsidRDefault="00622510" w:rsidP="00A267E7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Eliminates reference to Section 724 waiver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4D40F599" w14:textId="77777777" w:rsidR="00A267E7" w:rsidRPr="003F60BE" w:rsidRDefault="00622510" w:rsidP="00A267E7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Subchapter 2.03</w:t>
            </w:r>
          </w:p>
        </w:tc>
      </w:tr>
      <w:tr w:rsidR="00A267E7" w14:paraId="6A36E3A4" w14:textId="77777777" w:rsidTr="003472DE">
        <w:trPr>
          <w:trHeight w:val="885"/>
        </w:trPr>
        <w:tc>
          <w:tcPr>
            <w:tcW w:w="3942" w:type="pct"/>
            <w:shd w:val="clear" w:color="auto" w:fill="auto"/>
          </w:tcPr>
          <w:p w14:paraId="2CA4BEA2" w14:textId="77777777" w:rsidR="00A267E7" w:rsidRPr="003F60BE" w:rsidRDefault="00A267E7" w:rsidP="00A267E7">
            <w:pPr>
              <w:pStyle w:val="TableText"/>
            </w:pPr>
            <w:r w:rsidRPr="003F60BE">
              <w:t xml:space="preserve">Eliminates </w:t>
            </w:r>
            <w:r w:rsidR="00227632" w:rsidRPr="003F60BE">
              <w:t xml:space="preserve">explanation of how to process </w:t>
            </w:r>
            <w:r w:rsidRPr="003F60BE">
              <w:t xml:space="preserve">USGLI (total and permanent disability) </w:t>
            </w:r>
            <w:r w:rsidR="00227632" w:rsidRPr="003F60BE">
              <w:t xml:space="preserve">death claims using </w:t>
            </w:r>
            <w:r w:rsidRPr="003F60BE">
              <w:t>Form 29-368d Form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4732280A" w14:textId="77777777" w:rsidR="00A267E7" w:rsidRPr="003F60BE" w:rsidRDefault="00227632" w:rsidP="00A267E7">
            <w:pPr>
              <w:pStyle w:val="TableText"/>
            </w:pPr>
            <w:r w:rsidRPr="003F60BE">
              <w:t xml:space="preserve">Prior </w:t>
            </w:r>
            <w:r w:rsidR="00A267E7" w:rsidRPr="003F60BE">
              <w:t>Subchapter 2.06</w:t>
            </w:r>
          </w:p>
        </w:tc>
      </w:tr>
      <w:tr w:rsidR="00A267E7" w14:paraId="2BC640D8" w14:textId="77777777" w:rsidTr="003472DE">
        <w:trPr>
          <w:trHeight w:val="885"/>
        </w:trPr>
        <w:tc>
          <w:tcPr>
            <w:tcW w:w="3942" w:type="pct"/>
            <w:shd w:val="clear" w:color="auto" w:fill="auto"/>
          </w:tcPr>
          <w:p w14:paraId="56C80CE1" w14:textId="77777777" w:rsidR="00A267E7" w:rsidRDefault="00A267E7" w:rsidP="00A267E7">
            <w:pPr>
              <w:pStyle w:val="TableText"/>
            </w:pPr>
            <w:r>
              <w:t xml:space="preserve">Eliminates references to </w:t>
            </w:r>
            <w:r w:rsidR="009F53EB" w:rsidRPr="001C08D9">
              <w:t>Section 713 and 724</w:t>
            </w:r>
            <w:r w:rsidR="009F53EB">
              <w:t xml:space="preserve"> waivers as well as </w:t>
            </w:r>
            <w:r>
              <w:t xml:space="preserve">outdated VA forms </w:t>
            </w:r>
            <w:r w:rsidR="00704848">
              <w:t xml:space="preserve">and input cards </w:t>
            </w:r>
            <w:r>
              <w:t xml:space="preserve">in the preparation of </w:t>
            </w:r>
            <w:r w:rsidR="009F53EB">
              <w:t xml:space="preserve">death aware </w:t>
            </w:r>
            <w:r>
              <w:t>input documents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53A2E8B5" w14:textId="77777777" w:rsidR="00A267E7" w:rsidRDefault="009F53EB" w:rsidP="00A267E7">
            <w:pPr>
              <w:pStyle w:val="TableText"/>
            </w:pPr>
            <w:r>
              <w:t xml:space="preserve">New </w:t>
            </w:r>
            <w:r w:rsidR="00A267E7">
              <w:t>Subchapter 2.0</w:t>
            </w:r>
            <w:r>
              <w:t>6</w:t>
            </w:r>
          </w:p>
        </w:tc>
      </w:tr>
    </w:tbl>
    <w:p w14:paraId="6FB2772E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1E4E79FA" w14:textId="77777777" w:rsidTr="0060514F">
        <w:trPr>
          <w:trHeight w:val="330"/>
        </w:trPr>
        <w:tc>
          <w:tcPr>
            <w:tcW w:w="7380" w:type="dxa"/>
          </w:tcPr>
          <w:p w14:paraId="2C932250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2398219E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5B758D03" w14:textId="77777777" w:rsidTr="00673296">
        <w:trPr>
          <w:trHeight w:val="187"/>
        </w:trPr>
        <w:tc>
          <w:tcPr>
            <w:tcW w:w="7380" w:type="dxa"/>
          </w:tcPr>
          <w:p w14:paraId="43AA1B8D" w14:textId="77777777" w:rsidR="0060514F" w:rsidRPr="003F60BE" w:rsidRDefault="00954A2A" w:rsidP="00673296">
            <w:r w:rsidRPr="003F60BE">
              <w:t xml:space="preserve">Eliminates reference to notification to St. Paul </w:t>
            </w:r>
            <w:r w:rsidR="002853A0" w:rsidRPr="003F60BE">
              <w:t xml:space="preserve">Insurance </w:t>
            </w:r>
            <w:r w:rsidRPr="003F60BE">
              <w:t>Office as no longer applicable to the insurance programs</w:t>
            </w:r>
          </w:p>
        </w:tc>
        <w:tc>
          <w:tcPr>
            <w:tcW w:w="1980" w:type="dxa"/>
          </w:tcPr>
          <w:p w14:paraId="6FEFBEBF" w14:textId="77777777" w:rsidR="0060514F" w:rsidRPr="003F60BE" w:rsidRDefault="00954A2A" w:rsidP="00673296">
            <w:r w:rsidRPr="003F60BE">
              <w:t>Subchapter 2.01</w:t>
            </w:r>
          </w:p>
        </w:tc>
      </w:tr>
      <w:tr w:rsidR="00A267E7" w:rsidRPr="004221F2" w14:paraId="4CCC16EF" w14:textId="77777777" w:rsidTr="00673296">
        <w:trPr>
          <w:trHeight w:val="187"/>
        </w:trPr>
        <w:tc>
          <w:tcPr>
            <w:tcW w:w="7380" w:type="dxa"/>
          </w:tcPr>
          <w:p w14:paraId="47AF8E05" w14:textId="77777777" w:rsidR="00A267E7" w:rsidRPr="003F60BE" w:rsidRDefault="00A267E7" w:rsidP="00673296">
            <w:r w:rsidRPr="003F60BE">
              <w:t>Clarifies that automated system processing of a death claim will not occur if the insured’s date of death occurred more than two year</w:t>
            </w:r>
            <w:r w:rsidR="00AB3497" w:rsidRPr="003F60BE">
              <w:t xml:space="preserve">s ago and there </w:t>
            </w:r>
            <w:r w:rsidR="00AB3497" w:rsidRPr="003F60BE">
              <w:lastRenderedPageBreak/>
              <w:t xml:space="preserve">is a dividend credit segment on the record, except for RH or H policies.  </w:t>
            </w:r>
          </w:p>
        </w:tc>
        <w:tc>
          <w:tcPr>
            <w:tcW w:w="1980" w:type="dxa"/>
          </w:tcPr>
          <w:p w14:paraId="34E83F2B" w14:textId="77777777" w:rsidR="00A267E7" w:rsidRPr="003F60BE" w:rsidRDefault="00A267E7" w:rsidP="00673296">
            <w:r w:rsidRPr="003F60BE">
              <w:lastRenderedPageBreak/>
              <w:t>Subchapter 2.02</w:t>
            </w:r>
          </w:p>
        </w:tc>
      </w:tr>
      <w:tr w:rsidR="00622510" w:rsidRPr="004221F2" w14:paraId="221DF43D" w14:textId="77777777" w:rsidTr="00673296">
        <w:trPr>
          <w:trHeight w:val="187"/>
        </w:trPr>
        <w:tc>
          <w:tcPr>
            <w:tcW w:w="7380" w:type="dxa"/>
          </w:tcPr>
          <w:p w14:paraId="4C989F26" w14:textId="77777777" w:rsidR="00622510" w:rsidRPr="003F60BE" w:rsidRDefault="00622510" w:rsidP="00622510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Clarifies the process for handling a premium overpayment postmarked af</w:t>
            </w:r>
            <w:r w:rsidR="00073CF8" w:rsidRPr="003F60BE">
              <w:rPr>
                <w:b w:val="0"/>
              </w:rPr>
              <w:t>ter the insured’s date of death</w:t>
            </w:r>
          </w:p>
        </w:tc>
        <w:tc>
          <w:tcPr>
            <w:tcW w:w="1980" w:type="dxa"/>
          </w:tcPr>
          <w:p w14:paraId="161E43DB" w14:textId="77777777" w:rsidR="00622510" w:rsidRPr="003F60BE" w:rsidRDefault="00622510" w:rsidP="00622510">
            <w:pPr>
              <w:pStyle w:val="TableHeaderText"/>
              <w:jc w:val="left"/>
              <w:rPr>
                <w:b w:val="0"/>
              </w:rPr>
            </w:pPr>
            <w:r w:rsidRPr="003F60BE">
              <w:rPr>
                <w:b w:val="0"/>
              </w:rPr>
              <w:t>Subchapter 2.03</w:t>
            </w:r>
          </w:p>
        </w:tc>
      </w:tr>
      <w:tr w:rsidR="00AB173A" w:rsidRPr="004221F2" w14:paraId="455DC145" w14:textId="77777777" w:rsidTr="00673296">
        <w:trPr>
          <w:trHeight w:val="187"/>
        </w:trPr>
        <w:tc>
          <w:tcPr>
            <w:tcW w:w="7380" w:type="dxa"/>
          </w:tcPr>
          <w:p w14:paraId="722F8D2B" w14:textId="77777777" w:rsidR="00AB173A" w:rsidRPr="0060514F" w:rsidRDefault="00AB173A" w:rsidP="00AB173A">
            <w:pPr>
              <w:pStyle w:val="TableText"/>
            </w:pPr>
            <w:r>
              <w:t xml:space="preserve">Clarifies the processing of Form 29-368d, </w:t>
            </w:r>
            <w:r w:rsidRPr="001C08D9">
              <w:t>removing outdated paper-based processes.</w:t>
            </w:r>
          </w:p>
        </w:tc>
        <w:tc>
          <w:tcPr>
            <w:tcW w:w="1980" w:type="dxa"/>
          </w:tcPr>
          <w:p w14:paraId="25478FA0" w14:textId="77777777" w:rsidR="00AB173A" w:rsidRPr="0060514F" w:rsidRDefault="00AB173A" w:rsidP="00AB173A">
            <w:pPr>
              <w:pStyle w:val="TableText"/>
            </w:pPr>
            <w:r>
              <w:t>Subchapter 2.04</w:t>
            </w:r>
          </w:p>
        </w:tc>
      </w:tr>
      <w:tr w:rsidR="00AB173A" w:rsidRPr="004221F2" w14:paraId="0B604705" w14:textId="77777777" w:rsidTr="00673296">
        <w:trPr>
          <w:trHeight w:val="187"/>
        </w:trPr>
        <w:tc>
          <w:tcPr>
            <w:tcW w:w="7380" w:type="dxa"/>
          </w:tcPr>
          <w:p w14:paraId="38CC4D3B" w14:textId="77777777" w:rsidR="00AB173A" w:rsidRPr="0060514F" w:rsidRDefault="00AB173A" w:rsidP="00AB173A">
            <w:pPr>
              <w:pStyle w:val="TableText"/>
            </w:pPr>
            <w:r w:rsidRPr="001C08D9">
              <w:t>Clarifies the definition and content of key fields that must be completed Form 29-368d,</w:t>
            </w:r>
            <w:r>
              <w:t xml:space="preserve"> if manual processing is required, including what type of information should be included in the Notes section of the form</w:t>
            </w:r>
            <w:r w:rsidR="00073CF8">
              <w:t xml:space="preserve">.  </w:t>
            </w:r>
          </w:p>
        </w:tc>
        <w:tc>
          <w:tcPr>
            <w:tcW w:w="1980" w:type="dxa"/>
          </w:tcPr>
          <w:p w14:paraId="10BBB01F" w14:textId="77777777" w:rsidR="00AB173A" w:rsidRPr="0060514F" w:rsidRDefault="00AB173A" w:rsidP="00AB173A">
            <w:pPr>
              <w:pStyle w:val="TableText"/>
            </w:pPr>
            <w:r>
              <w:t>Subchapter 2.05</w:t>
            </w:r>
          </w:p>
        </w:tc>
      </w:tr>
      <w:tr w:rsidR="00073CF8" w:rsidRPr="004221F2" w14:paraId="4BCE1AA1" w14:textId="77777777" w:rsidTr="00673296">
        <w:trPr>
          <w:trHeight w:val="187"/>
        </w:trPr>
        <w:tc>
          <w:tcPr>
            <w:tcW w:w="7380" w:type="dxa"/>
          </w:tcPr>
          <w:p w14:paraId="07912F4F" w14:textId="77777777" w:rsidR="00073CF8" w:rsidRPr="00073CF8" w:rsidRDefault="00073CF8" w:rsidP="00AB173A">
            <w:pPr>
              <w:rPr>
                <w:highlight w:val="yellow"/>
              </w:rPr>
            </w:pPr>
            <w:r w:rsidRPr="001C08D9">
              <w:t xml:space="preserve">Removes </w:t>
            </w:r>
            <w:r w:rsidR="00944C81" w:rsidRPr="001C08D9">
              <w:t xml:space="preserve">fields which are no longer part of Form 29-368d and </w:t>
            </w:r>
            <w:r w:rsidRPr="001C08D9">
              <w:t>references to off-tape liens and Section 713 waiver which are no longer applicable to the insurance program.</w:t>
            </w:r>
          </w:p>
        </w:tc>
        <w:tc>
          <w:tcPr>
            <w:tcW w:w="1980" w:type="dxa"/>
          </w:tcPr>
          <w:p w14:paraId="67D0AEC8" w14:textId="77777777" w:rsidR="00073CF8" w:rsidRDefault="00073CF8" w:rsidP="00AB173A">
            <w:r>
              <w:t>Subchapter 2.05</w:t>
            </w:r>
          </w:p>
        </w:tc>
      </w:tr>
      <w:tr w:rsidR="00AB173A" w:rsidRPr="004221F2" w14:paraId="5AA76F26" w14:textId="77777777" w:rsidTr="00673296">
        <w:trPr>
          <w:trHeight w:val="187"/>
        </w:trPr>
        <w:tc>
          <w:tcPr>
            <w:tcW w:w="7380" w:type="dxa"/>
          </w:tcPr>
          <w:p w14:paraId="3CE06283" w14:textId="77777777" w:rsidR="00AB173A" w:rsidRPr="003F60BE" w:rsidRDefault="00704848" w:rsidP="00AB173A">
            <w:r w:rsidRPr="003F60BE">
              <w:t>Updates the</w:t>
            </w:r>
            <w:r w:rsidR="00AB173A" w:rsidRPr="003F60BE">
              <w:t xml:space="preserve"> steps that should be taken </w:t>
            </w:r>
            <w:r w:rsidRPr="003F60BE">
              <w:t>on a death award after completion of the Form 29-368d, eliminating paper-based process references</w:t>
            </w:r>
          </w:p>
        </w:tc>
        <w:tc>
          <w:tcPr>
            <w:tcW w:w="1980" w:type="dxa"/>
          </w:tcPr>
          <w:p w14:paraId="07301522" w14:textId="77777777" w:rsidR="00AB173A" w:rsidRPr="003F60BE" w:rsidRDefault="003F60BE" w:rsidP="00AB173A">
            <w:r w:rsidRPr="003F60BE">
              <w:t>New Subchapter 2.07</w:t>
            </w:r>
          </w:p>
        </w:tc>
      </w:tr>
      <w:tr w:rsidR="00AB173A" w:rsidRPr="004221F2" w14:paraId="7171B206" w14:textId="77777777" w:rsidTr="00673296">
        <w:trPr>
          <w:trHeight w:val="187"/>
        </w:trPr>
        <w:tc>
          <w:tcPr>
            <w:tcW w:w="7380" w:type="dxa"/>
          </w:tcPr>
          <w:p w14:paraId="645FEEAD" w14:textId="77777777" w:rsidR="00AB173A" w:rsidRPr="001C08D9" w:rsidRDefault="003F60BE" w:rsidP="00AB173A">
            <w:r w:rsidRPr="001C08D9">
              <w:t xml:space="preserve">Updates the process for handling supplemental and amended Forms 29-368d, eliminating paper-based process references. </w:t>
            </w:r>
          </w:p>
        </w:tc>
        <w:tc>
          <w:tcPr>
            <w:tcW w:w="1980" w:type="dxa"/>
          </w:tcPr>
          <w:p w14:paraId="4F5455F0" w14:textId="77777777" w:rsidR="00AB173A" w:rsidRPr="001C08D9" w:rsidRDefault="003F60BE" w:rsidP="00AB173A">
            <w:r w:rsidRPr="001C08D9">
              <w:t>New Subchapter 2.08</w:t>
            </w:r>
          </w:p>
        </w:tc>
      </w:tr>
    </w:tbl>
    <w:p w14:paraId="31C7883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5B44B32" w14:textId="77777777" w:rsidTr="00237C22">
        <w:tc>
          <w:tcPr>
            <w:tcW w:w="1728" w:type="dxa"/>
          </w:tcPr>
          <w:p w14:paraId="4EC17F8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045ED7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0B589F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A67356" w14:textId="77777777" w:rsidTr="00237C22">
        <w:tc>
          <w:tcPr>
            <w:tcW w:w="1728" w:type="dxa"/>
          </w:tcPr>
          <w:p w14:paraId="3F7AA9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FC6E0A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BA39B4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7918A8" w14:textId="77777777" w:rsidTr="00237C22">
        <w:tc>
          <w:tcPr>
            <w:tcW w:w="1728" w:type="dxa"/>
          </w:tcPr>
          <w:p w14:paraId="7E8A034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FACDC6B" w14:textId="77777777" w:rsidR="00504F80" w:rsidRPr="00B4163A" w:rsidRDefault="00504F80" w:rsidP="00237C22">
            <w:pPr>
              <w:pStyle w:val="BlockText"/>
            </w:pPr>
          </w:p>
          <w:p w14:paraId="7590A0B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871FD32" w14:textId="6F6193B4" w:rsidR="005C2AD9" w:rsidRDefault="0035441F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580B3EE7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3AB3BEB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8028D8D" w14:textId="77777777" w:rsidTr="00237C22">
        <w:tc>
          <w:tcPr>
            <w:tcW w:w="1728" w:type="dxa"/>
          </w:tcPr>
          <w:p w14:paraId="1CA882F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7B439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4FD2D0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FB4E7A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6900" w14:textId="77777777" w:rsidR="000E5EFD" w:rsidRDefault="000E5EFD" w:rsidP="00C765C7">
      <w:r>
        <w:separator/>
      </w:r>
    </w:p>
  </w:endnote>
  <w:endnote w:type="continuationSeparator" w:id="0">
    <w:p w14:paraId="533C1F18" w14:textId="77777777" w:rsidR="000E5EFD" w:rsidRDefault="000E5EF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C6C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377B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428F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03A6324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6E87" w14:textId="77777777" w:rsidR="000E5EFD" w:rsidRDefault="000E5EFD" w:rsidP="00C765C7">
      <w:r>
        <w:separator/>
      </w:r>
    </w:p>
  </w:footnote>
  <w:footnote w:type="continuationSeparator" w:id="0">
    <w:p w14:paraId="3BFD7A4B" w14:textId="77777777" w:rsidR="000E5EFD" w:rsidRDefault="000E5EF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73CF8"/>
    <w:rsid w:val="00093228"/>
    <w:rsid w:val="000A1A8A"/>
    <w:rsid w:val="000A7776"/>
    <w:rsid w:val="000E1696"/>
    <w:rsid w:val="000E320F"/>
    <w:rsid w:val="000E5EFD"/>
    <w:rsid w:val="000F60CD"/>
    <w:rsid w:val="00100433"/>
    <w:rsid w:val="0010215F"/>
    <w:rsid w:val="00106EEF"/>
    <w:rsid w:val="00120103"/>
    <w:rsid w:val="00123973"/>
    <w:rsid w:val="001253ED"/>
    <w:rsid w:val="00186D46"/>
    <w:rsid w:val="001B3F58"/>
    <w:rsid w:val="001B3F71"/>
    <w:rsid w:val="001C08D9"/>
    <w:rsid w:val="001C3AE3"/>
    <w:rsid w:val="001C3EB5"/>
    <w:rsid w:val="002041BE"/>
    <w:rsid w:val="00205C50"/>
    <w:rsid w:val="002220F1"/>
    <w:rsid w:val="00227632"/>
    <w:rsid w:val="00237C22"/>
    <w:rsid w:val="00240624"/>
    <w:rsid w:val="00264204"/>
    <w:rsid w:val="00271962"/>
    <w:rsid w:val="0027298D"/>
    <w:rsid w:val="0027799E"/>
    <w:rsid w:val="002853A0"/>
    <w:rsid w:val="002A1D3E"/>
    <w:rsid w:val="002B7A7E"/>
    <w:rsid w:val="002F5B21"/>
    <w:rsid w:val="002F7397"/>
    <w:rsid w:val="00311F26"/>
    <w:rsid w:val="00332B80"/>
    <w:rsid w:val="00337CDC"/>
    <w:rsid w:val="00341981"/>
    <w:rsid w:val="00345057"/>
    <w:rsid w:val="003472DE"/>
    <w:rsid w:val="0035441F"/>
    <w:rsid w:val="00366D36"/>
    <w:rsid w:val="00386999"/>
    <w:rsid w:val="003B2927"/>
    <w:rsid w:val="003D47AF"/>
    <w:rsid w:val="003E2CA2"/>
    <w:rsid w:val="003E556F"/>
    <w:rsid w:val="003F3021"/>
    <w:rsid w:val="003F6048"/>
    <w:rsid w:val="003F60BE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1E40"/>
    <w:rsid w:val="00482FA3"/>
    <w:rsid w:val="0048559D"/>
    <w:rsid w:val="00494175"/>
    <w:rsid w:val="004A0832"/>
    <w:rsid w:val="004A31BA"/>
    <w:rsid w:val="004E3AF3"/>
    <w:rsid w:val="004F375E"/>
    <w:rsid w:val="00504F80"/>
    <w:rsid w:val="00506485"/>
    <w:rsid w:val="00513DA7"/>
    <w:rsid w:val="00516C82"/>
    <w:rsid w:val="005238CB"/>
    <w:rsid w:val="00526F0E"/>
    <w:rsid w:val="0053423E"/>
    <w:rsid w:val="0055453E"/>
    <w:rsid w:val="0056377D"/>
    <w:rsid w:val="00594258"/>
    <w:rsid w:val="005A24DF"/>
    <w:rsid w:val="005A64B6"/>
    <w:rsid w:val="005C2AD9"/>
    <w:rsid w:val="005D3508"/>
    <w:rsid w:val="005E4363"/>
    <w:rsid w:val="00600DC7"/>
    <w:rsid w:val="0060514F"/>
    <w:rsid w:val="0062068D"/>
    <w:rsid w:val="00622510"/>
    <w:rsid w:val="006317AA"/>
    <w:rsid w:val="006473C3"/>
    <w:rsid w:val="006708D7"/>
    <w:rsid w:val="00673296"/>
    <w:rsid w:val="006837E0"/>
    <w:rsid w:val="006A75E6"/>
    <w:rsid w:val="006B7262"/>
    <w:rsid w:val="006C3E5F"/>
    <w:rsid w:val="006C48FF"/>
    <w:rsid w:val="006D0503"/>
    <w:rsid w:val="006D10E5"/>
    <w:rsid w:val="006D52FE"/>
    <w:rsid w:val="006E5CBA"/>
    <w:rsid w:val="006F6D37"/>
    <w:rsid w:val="00704848"/>
    <w:rsid w:val="007204DC"/>
    <w:rsid w:val="00724248"/>
    <w:rsid w:val="00732186"/>
    <w:rsid w:val="00737049"/>
    <w:rsid w:val="00737A1E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4C81"/>
    <w:rsid w:val="00945950"/>
    <w:rsid w:val="00954A2A"/>
    <w:rsid w:val="009769CD"/>
    <w:rsid w:val="009915D0"/>
    <w:rsid w:val="00997D98"/>
    <w:rsid w:val="009C22C8"/>
    <w:rsid w:val="009C528C"/>
    <w:rsid w:val="009C6B2E"/>
    <w:rsid w:val="009E5F2A"/>
    <w:rsid w:val="009E6E1A"/>
    <w:rsid w:val="009F53EB"/>
    <w:rsid w:val="00A01AF7"/>
    <w:rsid w:val="00A267E7"/>
    <w:rsid w:val="00A2703B"/>
    <w:rsid w:val="00A315CB"/>
    <w:rsid w:val="00A3579D"/>
    <w:rsid w:val="00A55356"/>
    <w:rsid w:val="00A557BB"/>
    <w:rsid w:val="00A8520D"/>
    <w:rsid w:val="00A9736D"/>
    <w:rsid w:val="00AB173A"/>
    <w:rsid w:val="00AB3497"/>
    <w:rsid w:val="00AC2993"/>
    <w:rsid w:val="00AC43CF"/>
    <w:rsid w:val="00AD0EDC"/>
    <w:rsid w:val="00AE64CB"/>
    <w:rsid w:val="00AF2CD6"/>
    <w:rsid w:val="00B023CC"/>
    <w:rsid w:val="00B0548B"/>
    <w:rsid w:val="00B30D2F"/>
    <w:rsid w:val="00B40A4C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E2CFC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092"/>
    <w:rsid w:val="00DF44AC"/>
    <w:rsid w:val="00E20CDA"/>
    <w:rsid w:val="00E2529E"/>
    <w:rsid w:val="00E36906"/>
    <w:rsid w:val="00E47DDC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253B"/>
  <w15:docId w15:val="{B3AA881F-E45D-4F86-AAC7-100AD91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2020-03-18T13:00:00Z</dcterms:created>
  <dcterms:modified xsi:type="dcterms:W3CDTF">2020-03-18T13:00:00Z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