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4C9A6" w14:textId="571ADB6A"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of Veterans Affairs</w:t>
      </w:r>
      <w:r w:rsidR="00311F26">
        <w:rPr>
          <w:rFonts w:ascii="Times New Roman" w:hAnsi="Times New Roman"/>
          <w:sz w:val="20"/>
        </w:rPr>
        <w:tab/>
        <w:t xml:space="preserve">M29-1, Part </w:t>
      </w:r>
      <w:r w:rsidR="00A11A3C">
        <w:rPr>
          <w:rFonts w:ascii="Times New Roman" w:hAnsi="Times New Roman"/>
          <w:sz w:val="20"/>
        </w:rPr>
        <w:t>6,</w:t>
      </w:r>
      <w:r w:rsidR="00311F26">
        <w:rPr>
          <w:rFonts w:ascii="Times New Roman" w:hAnsi="Times New Roman"/>
          <w:sz w:val="20"/>
        </w:rPr>
        <w:t xml:space="preserve"> Chapter </w:t>
      </w:r>
      <w:r w:rsidR="00A11A3C">
        <w:rPr>
          <w:rFonts w:ascii="Times New Roman" w:hAnsi="Times New Roman"/>
          <w:sz w:val="20"/>
        </w:rPr>
        <w:t>25</w:t>
      </w:r>
    </w:p>
    <w:p w14:paraId="30289B2E" w14:textId="6394B37F"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F403DD">
        <w:rPr>
          <w:b/>
          <w:bCs/>
          <w:sz w:val="20"/>
        </w:rPr>
        <w:t>March 20, 2020</w:t>
      </w:r>
      <w:r>
        <w:rPr>
          <w:b/>
          <w:bCs/>
          <w:sz w:val="20"/>
        </w:rPr>
        <w:tab/>
      </w:r>
    </w:p>
    <w:p w14:paraId="20D609B2" w14:textId="77777777" w:rsidR="00504F80" w:rsidRDefault="00504F80" w:rsidP="00504F80">
      <w:pPr>
        <w:rPr>
          <w:b/>
          <w:bCs/>
          <w:sz w:val="20"/>
        </w:rPr>
      </w:pPr>
      <w:r>
        <w:rPr>
          <w:b/>
          <w:bCs/>
          <w:sz w:val="20"/>
        </w:rPr>
        <w:t>Washington, DC  20420</w:t>
      </w:r>
    </w:p>
    <w:p w14:paraId="4E3EA28E" w14:textId="77777777" w:rsidR="00504F80" w:rsidRDefault="00504F80" w:rsidP="00504F80">
      <w:pPr>
        <w:rPr>
          <w:b/>
          <w:bCs/>
          <w:sz w:val="20"/>
        </w:rPr>
      </w:pPr>
    </w:p>
    <w:p w14:paraId="53EEFC36" w14:textId="77777777" w:rsidR="00504F80" w:rsidRDefault="00AE64CB" w:rsidP="00504F80">
      <w:pPr>
        <w:pStyle w:val="Heading4"/>
      </w:pPr>
      <w:r>
        <w:t>Key Changes</w:t>
      </w:r>
    </w:p>
    <w:p w14:paraId="124E84E1"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0FE03F5" w14:textId="77777777" w:rsidTr="00C24D50">
        <w:tc>
          <w:tcPr>
            <w:tcW w:w="1728" w:type="dxa"/>
          </w:tcPr>
          <w:p w14:paraId="694C565F" w14:textId="77777777" w:rsidR="00504F80" w:rsidRDefault="00504F80" w:rsidP="00237C22">
            <w:pPr>
              <w:pStyle w:val="Heading5"/>
            </w:pPr>
            <w:r>
              <w:t>Changes Included in This Revision</w:t>
            </w:r>
          </w:p>
        </w:tc>
        <w:tc>
          <w:tcPr>
            <w:tcW w:w="7740" w:type="dxa"/>
          </w:tcPr>
          <w:p w14:paraId="309A61EA" w14:textId="0612916F" w:rsidR="00504F80" w:rsidRDefault="00504F80" w:rsidP="00237C22">
            <w:pPr>
              <w:pStyle w:val="BlockText"/>
            </w:pPr>
            <w:r>
              <w:t>The table below describes the changes included in this revision of Veter</w:t>
            </w:r>
            <w:r w:rsidR="00311F26">
              <w:t>ans Benefits Insurance Manual M29-</w:t>
            </w:r>
            <w:r w:rsidR="00794D24">
              <w:t xml:space="preserve">1, Part </w:t>
            </w:r>
            <w:r w:rsidR="00A11A3C">
              <w:t>6</w:t>
            </w:r>
            <w:r w:rsidR="00794D24">
              <w:t xml:space="preserve">, Chapter </w:t>
            </w:r>
            <w:r w:rsidR="00A11A3C">
              <w:t>25</w:t>
            </w:r>
            <w:r w:rsidR="006D7765">
              <w:t>.</w:t>
            </w:r>
          </w:p>
          <w:p w14:paraId="2DAB1AF6" w14:textId="77777777" w:rsidR="00504F80" w:rsidRPr="00450FD6" w:rsidRDefault="00504F80" w:rsidP="00237C22">
            <w:pPr>
              <w:pStyle w:val="BulletText1"/>
              <w:numPr>
                <w:ilvl w:val="0"/>
                <w:numId w:val="0"/>
              </w:numPr>
            </w:pPr>
          </w:p>
          <w:p w14:paraId="183617C0" w14:textId="77777777" w:rsidR="00504F80" w:rsidRDefault="00504F80" w:rsidP="00237C22">
            <w:pPr>
              <w:pStyle w:val="BulletText1"/>
              <w:numPr>
                <w:ilvl w:val="0"/>
                <w:numId w:val="0"/>
              </w:numPr>
            </w:pPr>
            <w:r>
              <w:rPr>
                <w:b/>
                <w:i/>
              </w:rPr>
              <w:t>Notes</w:t>
            </w:r>
            <w:r>
              <w:t xml:space="preserve">:  </w:t>
            </w:r>
          </w:p>
          <w:p w14:paraId="6E39E60E" w14:textId="06953E4D" w:rsidR="0027298D" w:rsidRDefault="00311F26" w:rsidP="00311F26">
            <w:pPr>
              <w:pStyle w:val="BulletText1"/>
            </w:pPr>
            <w:r>
              <w:rPr>
                <w:b/>
              </w:rPr>
              <w:t xml:space="preserve">M29-1, Part </w:t>
            </w:r>
            <w:r w:rsidR="00A11A3C">
              <w:rPr>
                <w:b/>
              </w:rPr>
              <w:t>6</w:t>
            </w:r>
            <w:r>
              <w:rPr>
                <w:b/>
              </w:rPr>
              <w:t xml:space="preserve">, Chapter </w:t>
            </w:r>
            <w:r w:rsidR="00A11A3C">
              <w:rPr>
                <w:b/>
              </w:rPr>
              <w:t>25</w:t>
            </w:r>
            <w:r w:rsidR="00F403DD">
              <w:rPr>
                <w:b/>
              </w:rPr>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14:paraId="3E3BA7F7" w14:textId="77777777" w:rsidR="00504F80" w:rsidRDefault="00504F80" w:rsidP="00C24D50">
            <w:pPr>
              <w:pStyle w:val="BulletText1"/>
            </w:pPr>
            <w:r>
              <w:t xml:space="preserve">Minor editorial changes have also been made to </w:t>
            </w:r>
          </w:p>
          <w:p w14:paraId="11A77265" w14:textId="77777777" w:rsidR="00DD22A9" w:rsidRDefault="00DD22A9" w:rsidP="00237C22">
            <w:pPr>
              <w:pStyle w:val="BulletText2"/>
              <w:tabs>
                <w:tab w:val="num" w:pos="547"/>
              </w:tabs>
            </w:pPr>
            <w:r>
              <w:t>improve clarity and readability</w:t>
            </w:r>
          </w:p>
          <w:p w14:paraId="5FDC40FD" w14:textId="77777777" w:rsidR="00B858F9" w:rsidRDefault="00B858F9" w:rsidP="00B858F9">
            <w:pPr>
              <w:pStyle w:val="BulletText2"/>
              <w:tabs>
                <w:tab w:val="num" w:pos="547"/>
              </w:tabs>
            </w:pPr>
            <w:r>
              <w:t>add references</w:t>
            </w:r>
          </w:p>
          <w:p w14:paraId="1FB621DF" w14:textId="77777777" w:rsidR="00504F80" w:rsidRDefault="00504F80" w:rsidP="00237C22">
            <w:pPr>
              <w:pStyle w:val="BulletText2"/>
              <w:tabs>
                <w:tab w:val="num" w:pos="547"/>
              </w:tabs>
            </w:pPr>
            <w:r>
              <w:t>update incorrect or obsolete references</w:t>
            </w:r>
          </w:p>
          <w:p w14:paraId="293E3A6F" w14:textId="77777777" w:rsidR="00504F80" w:rsidRDefault="00504F80" w:rsidP="00237C22">
            <w:pPr>
              <w:pStyle w:val="BulletText2"/>
              <w:tabs>
                <w:tab w:val="num" w:pos="547"/>
              </w:tabs>
            </w:pPr>
            <w:r>
              <w:t>update obsolete terminology, where appropriate</w:t>
            </w:r>
          </w:p>
          <w:p w14:paraId="535486AB" w14:textId="512ECCAC" w:rsidR="00311F26" w:rsidRDefault="009E5F2A" w:rsidP="00311F26">
            <w:pPr>
              <w:pStyle w:val="BulletText2"/>
              <w:tabs>
                <w:tab w:val="num" w:pos="547"/>
              </w:tabs>
            </w:pPr>
            <w:r w:rsidRPr="009E5F2A">
              <w:t xml:space="preserve">reorganize/relocate content within </w:t>
            </w:r>
            <w:r w:rsidR="00311F26">
              <w:rPr>
                <w:b/>
              </w:rPr>
              <w:t>M29</w:t>
            </w:r>
            <w:r w:rsidR="006D7765">
              <w:rPr>
                <w:b/>
              </w:rPr>
              <w:t xml:space="preserve">-1, </w:t>
            </w:r>
            <w:r w:rsidR="00311F26">
              <w:rPr>
                <w:b/>
              </w:rPr>
              <w:t xml:space="preserve">Part </w:t>
            </w:r>
            <w:r w:rsidR="00A11A3C">
              <w:rPr>
                <w:b/>
              </w:rPr>
              <w:t>6</w:t>
            </w:r>
            <w:r w:rsidR="00311F26">
              <w:rPr>
                <w:b/>
              </w:rPr>
              <w:t>, Chapter</w:t>
            </w:r>
            <w:r w:rsidR="00A11A3C">
              <w:rPr>
                <w:b/>
              </w:rPr>
              <w:t xml:space="preserve"> 25</w:t>
            </w:r>
            <w:r w:rsidRPr="009E5F2A">
              <w:t xml:space="preserve"> so that it flows more logically</w:t>
            </w:r>
          </w:p>
          <w:p w14:paraId="6CBF3FDC"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0001D0CA" w14:textId="77777777"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14:paraId="60B37E38" w14:textId="77777777" w:rsidR="00504F80" w:rsidRPr="00EA3A57" w:rsidRDefault="00504F80" w:rsidP="00120103">
            <w:pPr>
              <w:pStyle w:val="BulletText2"/>
            </w:pPr>
            <w:r>
              <w:t>bring the document into conformance with M2</w:t>
            </w:r>
            <w:r w:rsidR="00311F26">
              <w:t>9</w:t>
            </w:r>
            <w:r>
              <w:t>-1 standards.</w:t>
            </w:r>
          </w:p>
        </w:tc>
      </w:tr>
    </w:tbl>
    <w:p w14:paraId="0BEABF00"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14:paraId="57081179"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47AE132E" w14:textId="77777777"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7C229DAE" w14:textId="77777777" w:rsidR="0060514F" w:rsidRPr="0060514F" w:rsidRDefault="0060514F" w:rsidP="002B755D">
            <w:pPr>
              <w:pStyle w:val="TableHeaderText"/>
              <w:rPr>
                <w:sz w:val="28"/>
                <w:szCs w:val="28"/>
              </w:rPr>
            </w:pPr>
            <w:r w:rsidRPr="0060514F">
              <w:rPr>
                <w:sz w:val="28"/>
                <w:szCs w:val="28"/>
              </w:rPr>
              <w:t>Citation</w:t>
            </w:r>
          </w:p>
        </w:tc>
      </w:tr>
      <w:tr w:rsidR="0060514F" w:rsidRPr="00636320" w14:paraId="4FA745F5"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6B933322" w14:textId="6FBA5256" w:rsidR="0060514F" w:rsidRPr="00636320" w:rsidRDefault="00DD3AB3" w:rsidP="00673296">
            <w:pPr>
              <w:pStyle w:val="TableHeaderText"/>
              <w:jc w:val="left"/>
              <w:rPr>
                <w:b w:val="0"/>
              </w:rPr>
            </w:pPr>
            <w:r w:rsidRPr="00636320">
              <w:rPr>
                <w:b w:val="0"/>
              </w:rPr>
              <w:t>Explains that a claim for disability benefits will be approved without additional development if the evidence of record is sufficiently supportive, and if not, then the claim will be developed by the Insurance staff and a VA Form 29-357 will be forwarded to the applicant</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091D99F0" w14:textId="68DC163F" w:rsidR="0060514F" w:rsidRPr="00636320" w:rsidRDefault="00DD3AB3" w:rsidP="00673296">
            <w:pPr>
              <w:pStyle w:val="TableHeaderText"/>
              <w:jc w:val="left"/>
              <w:rPr>
                <w:b w:val="0"/>
              </w:rPr>
            </w:pPr>
            <w:r w:rsidRPr="00636320">
              <w:rPr>
                <w:b w:val="0"/>
              </w:rPr>
              <w:t>Subchapter 25.01</w:t>
            </w:r>
          </w:p>
        </w:tc>
      </w:tr>
      <w:tr w:rsidR="002A1D3E" w:rsidRPr="00636320" w14:paraId="14569AF5" w14:textId="77777777" w:rsidTr="002220F1">
        <w:trPr>
          <w:trHeight w:val="180"/>
        </w:trPr>
        <w:tc>
          <w:tcPr>
            <w:tcW w:w="3942" w:type="pct"/>
            <w:shd w:val="clear" w:color="auto" w:fill="auto"/>
          </w:tcPr>
          <w:p w14:paraId="5F33A391" w14:textId="4F172E52" w:rsidR="002A1D3E" w:rsidRPr="00636320" w:rsidRDefault="006D7765" w:rsidP="00673296">
            <w:pPr>
              <w:pStyle w:val="TableHeaderText"/>
              <w:jc w:val="left"/>
              <w:rPr>
                <w:b w:val="0"/>
              </w:rPr>
            </w:pPr>
            <w:r w:rsidRPr="00636320">
              <w:rPr>
                <w:b w:val="0"/>
              </w:rPr>
              <w:t>Eliminates duplicative Subchapter as language already in M29-1, Part 1, Chapter 31</w:t>
            </w:r>
          </w:p>
        </w:tc>
        <w:tc>
          <w:tcPr>
            <w:tcW w:w="1058" w:type="pct"/>
            <w:shd w:val="clear" w:color="auto" w:fill="auto"/>
          </w:tcPr>
          <w:p w14:paraId="5B16CA2A" w14:textId="6B2CDCC2" w:rsidR="002A1D3E" w:rsidRPr="00636320" w:rsidRDefault="006D7765" w:rsidP="00673296">
            <w:pPr>
              <w:pStyle w:val="TableHeaderText"/>
              <w:jc w:val="left"/>
              <w:rPr>
                <w:b w:val="0"/>
              </w:rPr>
            </w:pPr>
            <w:r w:rsidRPr="00636320">
              <w:rPr>
                <w:b w:val="0"/>
              </w:rPr>
              <w:t xml:space="preserve">Prior </w:t>
            </w:r>
            <w:r w:rsidR="00E50207" w:rsidRPr="00636320">
              <w:rPr>
                <w:b w:val="0"/>
              </w:rPr>
              <w:t>Subchapter 25.02</w:t>
            </w:r>
          </w:p>
        </w:tc>
      </w:tr>
      <w:tr w:rsidR="002A1D3E" w:rsidRPr="00636320" w14:paraId="45036CD2" w14:textId="77777777" w:rsidTr="002220F1">
        <w:trPr>
          <w:trHeight w:val="180"/>
        </w:trPr>
        <w:tc>
          <w:tcPr>
            <w:tcW w:w="3942" w:type="pct"/>
            <w:shd w:val="clear" w:color="auto" w:fill="auto"/>
          </w:tcPr>
          <w:p w14:paraId="5983597B" w14:textId="2E5289FB" w:rsidR="002A1D3E" w:rsidRPr="00636320" w:rsidRDefault="006D7765" w:rsidP="00673296">
            <w:pPr>
              <w:pStyle w:val="TableText"/>
            </w:pPr>
            <w:r w:rsidRPr="00636320">
              <w:t>Eliminates three medical situations where a claim for waiver of premiums after death of the insured should not be invited as already explained in other subchapters of the section.</w:t>
            </w:r>
          </w:p>
        </w:tc>
        <w:tc>
          <w:tcPr>
            <w:tcW w:w="1058" w:type="pct"/>
            <w:shd w:val="clear" w:color="auto" w:fill="auto"/>
          </w:tcPr>
          <w:p w14:paraId="1F0CB188" w14:textId="34B301EF" w:rsidR="002A1D3E" w:rsidRPr="00636320" w:rsidRDefault="006D7765" w:rsidP="00673296">
            <w:pPr>
              <w:pStyle w:val="TableText"/>
            </w:pPr>
            <w:r w:rsidRPr="00636320">
              <w:t>Prior Subchapter 25.03/New Subchapter 25.02</w:t>
            </w:r>
          </w:p>
        </w:tc>
      </w:tr>
      <w:tr w:rsidR="002A1D3E" w:rsidRPr="00636320" w14:paraId="7A82729D" w14:textId="77777777" w:rsidTr="002220F1">
        <w:trPr>
          <w:trHeight w:val="180"/>
        </w:trPr>
        <w:tc>
          <w:tcPr>
            <w:tcW w:w="3942" w:type="pct"/>
            <w:shd w:val="clear" w:color="auto" w:fill="auto"/>
          </w:tcPr>
          <w:p w14:paraId="2F7299E5" w14:textId="5A08112D" w:rsidR="002A1D3E" w:rsidRPr="00636320" w:rsidRDefault="006D7765" w:rsidP="00673296">
            <w:pPr>
              <w:pStyle w:val="TableText"/>
            </w:pPr>
            <w:r w:rsidRPr="00636320">
              <w:t>Eliminates detailed listing of common chronic conditions that may have resulted in total disability prior to death as outdated and not all inclusive with changing medical science</w:t>
            </w:r>
          </w:p>
        </w:tc>
        <w:tc>
          <w:tcPr>
            <w:tcW w:w="1058" w:type="pct"/>
            <w:shd w:val="clear" w:color="auto" w:fill="auto"/>
          </w:tcPr>
          <w:p w14:paraId="5A86A55B" w14:textId="47EC5731" w:rsidR="002A1D3E" w:rsidRPr="00636320" w:rsidRDefault="006D7765" w:rsidP="00673296">
            <w:pPr>
              <w:pStyle w:val="TableText"/>
            </w:pPr>
            <w:r w:rsidRPr="00636320">
              <w:t>Subchapter 25.06</w:t>
            </w:r>
          </w:p>
        </w:tc>
      </w:tr>
      <w:tr w:rsidR="002A1D3E" w14:paraId="4CF1ADD0" w14:textId="77777777" w:rsidTr="002220F1">
        <w:trPr>
          <w:trHeight w:val="180"/>
        </w:trPr>
        <w:tc>
          <w:tcPr>
            <w:tcW w:w="3942" w:type="pct"/>
            <w:shd w:val="clear" w:color="auto" w:fill="auto"/>
          </w:tcPr>
          <w:p w14:paraId="7973FA13" w14:textId="77777777" w:rsidR="002A1D3E" w:rsidRPr="0060514F" w:rsidRDefault="002A1D3E" w:rsidP="00673296">
            <w:pPr>
              <w:pStyle w:val="TableText"/>
            </w:pPr>
          </w:p>
        </w:tc>
        <w:tc>
          <w:tcPr>
            <w:tcW w:w="1058" w:type="pct"/>
            <w:shd w:val="clear" w:color="auto" w:fill="auto"/>
          </w:tcPr>
          <w:p w14:paraId="714DB3A5" w14:textId="77777777" w:rsidR="002A1D3E" w:rsidRPr="0060514F" w:rsidRDefault="002A1D3E" w:rsidP="00673296">
            <w:pPr>
              <w:pStyle w:val="TableText"/>
            </w:pPr>
          </w:p>
        </w:tc>
      </w:tr>
    </w:tbl>
    <w:p w14:paraId="6EA5DB8D" w14:textId="77777777"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14:paraId="3ABC23FB" w14:textId="77777777" w:rsidTr="0060514F">
        <w:trPr>
          <w:trHeight w:val="330"/>
        </w:trPr>
        <w:tc>
          <w:tcPr>
            <w:tcW w:w="7380" w:type="dxa"/>
          </w:tcPr>
          <w:p w14:paraId="6BE4AC00" w14:textId="77777777" w:rsidR="0060514F" w:rsidRPr="004221F2" w:rsidRDefault="0060514F" w:rsidP="002B755D">
            <w:pPr>
              <w:jc w:val="center"/>
              <w:rPr>
                <w:b/>
                <w:sz w:val="28"/>
                <w:szCs w:val="28"/>
              </w:rPr>
            </w:pPr>
            <w:r>
              <w:rPr>
                <w:b/>
                <w:sz w:val="28"/>
                <w:szCs w:val="28"/>
              </w:rPr>
              <w:t>Reason(s) for Change</w:t>
            </w:r>
          </w:p>
        </w:tc>
        <w:tc>
          <w:tcPr>
            <w:tcW w:w="1980" w:type="dxa"/>
          </w:tcPr>
          <w:p w14:paraId="3EA77EE6" w14:textId="77777777" w:rsidR="0060514F" w:rsidRPr="004221F2" w:rsidRDefault="0060514F" w:rsidP="002B755D">
            <w:pPr>
              <w:jc w:val="center"/>
              <w:rPr>
                <w:b/>
                <w:sz w:val="28"/>
                <w:szCs w:val="28"/>
              </w:rPr>
            </w:pPr>
            <w:r w:rsidRPr="004221F2">
              <w:rPr>
                <w:b/>
                <w:sz w:val="28"/>
                <w:szCs w:val="28"/>
              </w:rPr>
              <w:t>Citation</w:t>
            </w:r>
          </w:p>
        </w:tc>
      </w:tr>
      <w:tr w:rsidR="0060514F" w:rsidRPr="004221F2" w14:paraId="1C743AA4" w14:textId="77777777" w:rsidTr="00673296">
        <w:trPr>
          <w:trHeight w:val="187"/>
        </w:trPr>
        <w:tc>
          <w:tcPr>
            <w:tcW w:w="7380" w:type="dxa"/>
          </w:tcPr>
          <w:p w14:paraId="5EBD39A3" w14:textId="77777777" w:rsidR="0060514F" w:rsidRPr="0060514F" w:rsidRDefault="0060514F" w:rsidP="00673296"/>
        </w:tc>
        <w:tc>
          <w:tcPr>
            <w:tcW w:w="1980" w:type="dxa"/>
          </w:tcPr>
          <w:p w14:paraId="1C58F9CF" w14:textId="77777777" w:rsidR="0060514F" w:rsidRPr="0060514F" w:rsidRDefault="0060514F" w:rsidP="00673296"/>
        </w:tc>
      </w:tr>
      <w:tr w:rsidR="0060514F" w:rsidRPr="004221F2" w14:paraId="244A7B0F" w14:textId="77777777" w:rsidTr="00673296">
        <w:trPr>
          <w:trHeight w:val="187"/>
        </w:trPr>
        <w:tc>
          <w:tcPr>
            <w:tcW w:w="7380" w:type="dxa"/>
          </w:tcPr>
          <w:p w14:paraId="31FA6126" w14:textId="77777777" w:rsidR="0060514F" w:rsidRPr="0060514F" w:rsidRDefault="0060514F" w:rsidP="00673296"/>
        </w:tc>
        <w:tc>
          <w:tcPr>
            <w:tcW w:w="1980" w:type="dxa"/>
          </w:tcPr>
          <w:p w14:paraId="6D6DB1CA" w14:textId="77777777" w:rsidR="0060514F" w:rsidRPr="0060514F" w:rsidRDefault="0060514F" w:rsidP="00673296"/>
        </w:tc>
      </w:tr>
      <w:tr w:rsidR="0060514F" w:rsidRPr="004221F2" w14:paraId="0A7552C1" w14:textId="77777777" w:rsidTr="00673296">
        <w:trPr>
          <w:trHeight w:val="187"/>
        </w:trPr>
        <w:tc>
          <w:tcPr>
            <w:tcW w:w="7380" w:type="dxa"/>
          </w:tcPr>
          <w:p w14:paraId="585FBED9" w14:textId="77777777" w:rsidR="0060514F" w:rsidRPr="0060514F" w:rsidRDefault="0060514F" w:rsidP="00673296"/>
        </w:tc>
        <w:tc>
          <w:tcPr>
            <w:tcW w:w="1980" w:type="dxa"/>
          </w:tcPr>
          <w:p w14:paraId="6C2960D9" w14:textId="77777777" w:rsidR="0060514F" w:rsidRPr="0060514F" w:rsidRDefault="0060514F" w:rsidP="00673296"/>
        </w:tc>
      </w:tr>
    </w:tbl>
    <w:p w14:paraId="51F47B92"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15717437" w14:textId="77777777" w:rsidTr="00237C22">
        <w:tc>
          <w:tcPr>
            <w:tcW w:w="1728" w:type="dxa"/>
          </w:tcPr>
          <w:p w14:paraId="2B35787E" w14:textId="77777777" w:rsidR="00504F80" w:rsidRPr="00B4163A" w:rsidRDefault="00504F80" w:rsidP="00237C22">
            <w:pPr>
              <w:pStyle w:val="Heading5"/>
              <w:rPr>
                <w:sz w:val="24"/>
              </w:rPr>
            </w:pPr>
            <w:r w:rsidRPr="00B4163A">
              <w:rPr>
                <w:sz w:val="24"/>
              </w:rPr>
              <w:t>Rescissions</w:t>
            </w:r>
          </w:p>
        </w:tc>
        <w:tc>
          <w:tcPr>
            <w:tcW w:w="7740" w:type="dxa"/>
          </w:tcPr>
          <w:p w14:paraId="3D5C3531" w14:textId="77777777" w:rsidR="00504F80" w:rsidRPr="00B4163A" w:rsidRDefault="00504F80" w:rsidP="00237C22">
            <w:pPr>
              <w:pStyle w:val="BlockText"/>
            </w:pPr>
            <w:r w:rsidRPr="00B4163A">
              <w:t>None</w:t>
            </w:r>
          </w:p>
        </w:tc>
      </w:tr>
    </w:tbl>
    <w:p w14:paraId="3C842C89"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8C48D56" w14:textId="77777777" w:rsidTr="00237C22">
        <w:tc>
          <w:tcPr>
            <w:tcW w:w="1728" w:type="dxa"/>
          </w:tcPr>
          <w:p w14:paraId="35AD5358" w14:textId="77777777" w:rsidR="00504F80" w:rsidRPr="00B4163A" w:rsidRDefault="00504F80" w:rsidP="00237C22">
            <w:pPr>
              <w:pStyle w:val="Heading5"/>
              <w:rPr>
                <w:sz w:val="24"/>
              </w:rPr>
            </w:pPr>
            <w:r w:rsidRPr="00B4163A">
              <w:rPr>
                <w:sz w:val="24"/>
              </w:rPr>
              <w:t>Authority</w:t>
            </w:r>
          </w:p>
        </w:tc>
        <w:tc>
          <w:tcPr>
            <w:tcW w:w="7740" w:type="dxa"/>
          </w:tcPr>
          <w:p w14:paraId="55632D0F" w14:textId="77777777" w:rsidR="00504F80" w:rsidRPr="00B4163A" w:rsidRDefault="00504F80" w:rsidP="00237C22">
            <w:pPr>
              <w:pStyle w:val="BlockText"/>
            </w:pPr>
            <w:r w:rsidRPr="00B4163A">
              <w:t>By Direction of the Under Secretary for Benefits</w:t>
            </w:r>
          </w:p>
        </w:tc>
      </w:tr>
    </w:tbl>
    <w:p w14:paraId="076F03DF"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96D3CB8" w14:textId="77777777" w:rsidTr="00237C22">
        <w:tc>
          <w:tcPr>
            <w:tcW w:w="1728" w:type="dxa"/>
          </w:tcPr>
          <w:p w14:paraId="48F43D81" w14:textId="77777777" w:rsidR="00504F80" w:rsidRPr="00B4163A" w:rsidRDefault="00504F80" w:rsidP="00237C22">
            <w:pPr>
              <w:pStyle w:val="Heading5"/>
              <w:rPr>
                <w:sz w:val="24"/>
              </w:rPr>
            </w:pPr>
            <w:r w:rsidRPr="00B4163A">
              <w:rPr>
                <w:sz w:val="24"/>
              </w:rPr>
              <w:t>Signature</w:t>
            </w:r>
          </w:p>
        </w:tc>
        <w:tc>
          <w:tcPr>
            <w:tcW w:w="7740" w:type="dxa"/>
          </w:tcPr>
          <w:p w14:paraId="5CE8603E" w14:textId="77777777" w:rsidR="00504F80" w:rsidRPr="00B4163A" w:rsidRDefault="00504F80" w:rsidP="00237C22">
            <w:pPr>
              <w:pStyle w:val="BlockText"/>
            </w:pPr>
          </w:p>
          <w:p w14:paraId="59C11751" w14:textId="77777777" w:rsidR="00504F80" w:rsidRPr="00B4163A" w:rsidRDefault="00504F80" w:rsidP="00237C22">
            <w:pPr>
              <w:pStyle w:val="MemoLine"/>
              <w:ind w:left="-18" w:right="612"/>
            </w:pPr>
          </w:p>
          <w:p w14:paraId="5FA874BC" w14:textId="22678B04" w:rsidR="005C2AD9" w:rsidRDefault="00F403DD" w:rsidP="005C2AD9">
            <w:r>
              <w:t>Timothy Sirhal</w:t>
            </w:r>
            <w:r w:rsidR="00BC4A0D">
              <w:t xml:space="preserve">, </w:t>
            </w:r>
            <w:r>
              <w:t xml:space="preserve">Acting </w:t>
            </w:r>
            <w:r w:rsidR="00BC4A0D">
              <w:t>Director</w:t>
            </w:r>
          </w:p>
          <w:p w14:paraId="5C93493B" w14:textId="77777777" w:rsidR="00504F80" w:rsidRPr="00B4163A" w:rsidRDefault="00311F26" w:rsidP="00BC4A0D">
            <w:pPr>
              <w:pStyle w:val="BlockText"/>
            </w:pPr>
            <w:r>
              <w:t>Insurance</w:t>
            </w:r>
            <w:r w:rsidR="00504F80" w:rsidRPr="00B4163A">
              <w:t xml:space="preserve"> Service</w:t>
            </w:r>
          </w:p>
        </w:tc>
      </w:tr>
    </w:tbl>
    <w:p w14:paraId="0EBF21FC"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091C2195" w14:textId="77777777" w:rsidTr="00237C22">
        <w:tc>
          <w:tcPr>
            <w:tcW w:w="1728" w:type="dxa"/>
          </w:tcPr>
          <w:p w14:paraId="55876A6E" w14:textId="77777777" w:rsidR="00504F80" w:rsidRPr="00B4163A" w:rsidRDefault="00504F80" w:rsidP="00237C22">
            <w:pPr>
              <w:pStyle w:val="Heading5"/>
              <w:rPr>
                <w:sz w:val="24"/>
              </w:rPr>
            </w:pPr>
            <w:r w:rsidRPr="00B4163A">
              <w:rPr>
                <w:sz w:val="24"/>
              </w:rPr>
              <w:t>Distribution</w:t>
            </w:r>
          </w:p>
        </w:tc>
        <w:tc>
          <w:tcPr>
            <w:tcW w:w="7740" w:type="dxa"/>
          </w:tcPr>
          <w:p w14:paraId="470AEC68" w14:textId="77777777" w:rsidR="00504F80" w:rsidRDefault="00504F80" w:rsidP="00237C22">
            <w:pPr>
              <w:pStyle w:val="BlockText"/>
              <w:jc w:val="center"/>
            </w:pPr>
            <w:r w:rsidRPr="00B4163A">
              <w:t>LOCAL REPRODUCTION AUTHORIZED</w:t>
            </w:r>
          </w:p>
        </w:tc>
      </w:tr>
    </w:tbl>
    <w:p w14:paraId="174115C4"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6ECC25E"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3C1A" w14:textId="77777777" w:rsidR="00B123EE" w:rsidRDefault="00B123EE" w:rsidP="00C765C7">
      <w:r>
        <w:separator/>
      </w:r>
    </w:p>
  </w:endnote>
  <w:endnote w:type="continuationSeparator" w:id="0">
    <w:p w14:paraId="04442836" w14:textId="77777777" w:rsidR="00B123EE" w:rsidRDefault="00B123EE"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EDD1"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74C69" w14:textId="77777777"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6F9D" w14:textId="77777777" w:rsidR="00237C22" w:rsidRPr="00BB7DE1" w:rsidRDefault="00237C22">
    <w:pPr>
      <w:pStyle w:val="Footer"/>
      <w:framePr w:wrap="around" w:vAnchor="text" w:hAnchor="margin" w:xAlign="center" w:y="1"/>
      <w:rPr>
        <w:rStyle w:val="PageNumber"/>
        <w:lang w:val="en-US"/>
      </w:rPr>
    </w:pPr>
  </w:p>
  <w:p w14:paraId="745EA81C" w14:textId="77777777"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9918" w14:textId="77777777" w:rsidR="00B123EE" w:rsidRDefault="00B123EE" w:rsidP="00C765C7">
      <w:r>
        <w:separator/>
      </w:r>
    </w:p>
  </w:footnote>
  <w:footnote w:type="continuationSeparator" w:id="0">
    <w:p w14:paraId="2AC27054" w14:textId="77777777" w:rsidR="00B123EE" w:rsidRDefault="00B123EE"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fspro_2columns"/>
      </v:shape>
    </w:pict>
  </w:numPicBullet>
  <w:numPicBullet w:numPicBulletId="1">
    <w:pict>
      <v:shape id="_x0000_i1031" type="#_x0000_t75" style="width:12.75pt;height:12.75pt" o:bullet="t">
        <v:imagedata r:id="rId2" o:title="advanced"/>
      </v:shape>
    </w:pict>
  </w:numPicBullet>
  <w:numPicBullet w:numPicBulletId="2">
    <w:pict>
      <v:shape id="_x0000_i1032" type="#_x0000_t75" style="width:12.75pt;height:12.75pt" o:bullet="t">
        <v:imagedata r:id="rId3" o:title="continue"/>
      </v:shape>
    </w:pict>
  </w:numPicBullet>
  <w:numPicBullet w:numPicBulletId="3">
    <w:pict>
      <v:shape id="_x0000_i1033" type="#_x0000_t75" style="width:12.75pt;height:12.75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169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11F26"/>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2988"/>
    <w:rsid w:val="00594258"/>
    <w:rsid w:val="005A24DF"/>
    <w:rsid w:val="005A60DC"/>
    <w:rsid w:val="005C2AD9"/>
    <w:rsid w:val="005D3508"/>
    <w:rsid w:val="005E4363"/>
    <w:rsid w:val="00600DC7"/>
    <w:rsid w:val="0060514F"/>
    <w:rsid w:val="0062068D"/>
    <w:rsid w:val="006317AA"/>
    <w:rsid w:val="00636320"/>
    <w:rsid w:val="006473C3"/>
    <w:rsid w:val="006708D7"/>
    <w:rsid w:val="00673296"/>
    <w:rsid w:val="006837E0"/>
    <w:rsid w:val="006B7262"/>
    <w:rsid w:val="006C3E5F"/>
    <w:rsid w:val="006C48FF"/>
    <w:rsid w:val="006C7D59"/>
    <w:rsid w:val="006D10E5"/>
    <w:rsid w:val="006D52FE"/>
    <w:rsid w:val="006D7765"/>
    <w:rsid w:val="006E5CBA"/>
    <w:rsid w:val="006F6D37"/>
    <w:rsid w:val="00724248"/>
    <w:rsid w:val="00732186"/>
    <w:rsid w:val="00737049"/>
    <w:rsid w:val="00794D24"/>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15D0"/>
    <w:rsid w:val="00997D98"/>
    <w:rsid w:val="009C22C8"/>
    <w:rsid w:val="009C6B2E"/>
    <w:rsid w:val="009E5F2A"/>
    <w:rsid w:val="009E6E1A"/>
    <w:rsid w:val="00A01AF7"/>
    <w:rsid w:val="00A11A3C"/>
    <w:rsid w:val="00A2703B"/>
    <w:rsid w:val="00A315CB"/>
    <w:rsid w:val="00A3579D"/>
    <w:rsid w:val="00A55356"/>
    <w:rsid w:val="00A557BB"/>
    <w:rsid w:val="00A8520D"/>
    <w:rsid w:val="00AC2993"/>
    <w:rsid w:val="00AC43CF"/>
    <w:rsid w:val="00AD0EDC"/>
    <w:rsid w:val="00AE64CB"/>
    <w:rsid w:val="00AF2CD6"/>
    <w:rsid w:val="00B023CC"/>
    <w:rsid w:val="00B0548B"/>
    <w:rsid w:val="00B123EE"/>
    <w:rsid w:val="00B30D2F"/>
    <w:rsid w:val="00B50AD7"/>
    <w:rsid w:val="00B64F2F"/>
    <w:rsid w:val="00B858F9"/>
    <w:rsid w:val="00B93A3C"/>
    <w:rsid w:val="00B96287"/>
    <w:rsid w:val="00B9756B"/>
    <w:rsid w:val="00BB3345"/>
    <w:rsid w:val="00BB7DE1"/>
    <w:rsid w:val="00BC4A0D"/>
    <w:rsid w:val="00BE328B"/>
    <w:rsid w:val="00BF7FE3"/>
    <w:rsid w:val="00C0404B"/>
    <w:rsid w:val="00C24D50"/>
    <w:rsid w:val="00C273AD"/>
    <w:rsid w:val="00C72D10"/>
    <w:rsid w:val="00C765C7"/>
    <w:rsid w:val="00CD2D08"/>
    <w:rsid w:val="00D16E39"/>
    <w:rsid w:val="00D33A6E"/>
    <w:rsid w:val="00D36508"/>
    <w:rsid w:val="00D57B91"/>
    <w:rsid w:val="00D61497"/>
    <w:rsid w:val="00D77146"/>
    <w:rsid w:val="00D823AF"/>
    <w:rsid w:val="00D87741"/>
    <w:rsid w:val="00D9207B"/>
    <w:rsid w:val="00DA11C2"/>
    <w:rsid w:val="00DB074F"/>
    <w:rsid w:val="00DB2902"/>
    <w:rsid w:val="00DB743E"/>
    <w:rsid w:val="00DD22A9"/>
    <w:rsid w:val="00DD3AB3"/>
    <w:rsid w:val="00DE0E35"/>
    <w:rsid w:val="00DF44AC"/>
    <w:rsid w:val="00E2529E"/>
    <w:rsid w:val="00E36906"/>
    <w:rsid w:val="00E50207"/>
    <w:rsid w:val="00E648E9"/>
    <w:rsid w:val="00E67135"/>
    <w:rsid w:val="00E77596"/>
    <w:rsid w:val="00E964FD"/>
    <w:rsid w:val="00ED4D5E"/>
    <w:rsid w:val="00ED71C8"/>
    <w:rsid w:val="00F006B2"/>
    <w:rsid w:val="00F403DD"/>
    <w:rsid w:val="00F43DFA"/>
    <w:rsid w:val="00F7296E"/>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97D68"/>
  <w15:docId w15:val="{2EA91B02-731B-4EA4-88C8-CCE04CA0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B3262-7E72-4827-AF20-6F4868708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27B0E5C3-A606-4E28-86F8-925CC17CA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Transmittal Sheet</Template>
  <TotalTime>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2020-03-27T16:58:00Z</dcterms:created>
  <dcterms:modified xsi:type="dcterms:W3CDTF">2020-03-27T16:58:00Z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