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46089" w14:textId="77777777" w:rsidR="00504F80" w:rsidRDefault="00504F80" w:rsidP="00504F80">
      <w:pPr>
        <w:pStyle w:val="Heading4"/>
        <w:tabs>
          <w:tab w:val="left" w:pos="6840"/>
        </w:tabs>
        <w:spacing w:after="0"/>
        <w:ind w:right="-720"/>
        <w:rPr>
          <w:rFonts w:ascii="Times New Roman" w:hAnsi="Times New Roman"/>
          <w:sz w:val="20"/>
        </w:rPr>
      </w:pPr>
      <w:bookmarkStart w:id="0" w:name="_GoBack"/>
      <w:bookmarkEnd w:id="0"/>
      <w:r>
        <w:rPr>
          <w:rFonts w:ascii="Times New Roman" w:hAnsi="Times New Roman"/>
          <w:sz w:val="20"/>
        </w:rPr>
        <w:t xml:space="preserve">Department </w:t>
      </w:r>
      <w:r w:rsidR="00311F26">
        <w:rPr>
          <w:rFonts w:ascii="Times New Roman" w:hAnsi="Times New Roman"/>
          <w:sz w:val="20"/>
        </w:rPr>
        <w:t>of Veterans Affairs</w:t>
      </w:r>
      <w:r w:rsidR="00311F26">
        <w:rPr>
          <w:rFonts w:ascii="Times New Roman" w:hAnsi="Times New Roman"/>
          <w:sz w:val="20"/>
        </w:rPr>
        <w:tab/>
        <w:t xml:space="preserve">M29-1, Part </w:t>
      </w:r>
      <w:r w:rsidR="00465E2D">
        <w:rPr>
          <w:rFonts w:ascii="Times New Roman" w:hAnsi="Times New Roman"/>
          <w:sz w:val="20"/>
        </w:rPr>
        <w:t>6</w:t>
      </w:r>
      <w:r w:rsidR="00311F26">
        <w:rPr>
          <w:rFonts w:ascii="Times New Roman" w:hAnsi="Times New Roman"/>
          <w:sz w:val="20"/>
        </w:rPr>
        <w:t xml:space="preserve">, Chapter </w:t>
      </w:r>
      <w:r w:rsidR="00465E2D">
        <w:rPr>
          <w:rFonts w:ascii="Times New Roman" w:hAnsi="Times New Roman"/>
          <w:sz w:val="20"/>
        </w:rPr>
        <w:t>23</w:t>
      </w:r>
    </w:p>
    <w:p w14:paraId="19E84116" w14:textId="2BDDD6BC" w:rsidR="00504F80" w:rsidRDefault="00504F80"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r>
      <w:r w:rsidR="00A142C3">
        <w:rPr>
          <w:b/>
          <w:bCs/>
          <w:sz w:val="20"/>
        </w:rPr>
        <w:tab/>
        <w:t xml:space="preserve">           March 20, 2020</w:t>
      </w:r>
      <w:r>
        <w:rPr>
          <w:b/>
          <w:bCs/>
          <w:sz w:val="20"/>
        </w:rPr>
        <w:tab/>
      </w:r>
    </w:p>
    <w:p w14:paraId="7E15B03F" w14:textId="77777777" w:rsidR="00504F80" w:rsidRDefault="00504F80" w:rsidP="00504F80">
      <w:pPr>
        <w:rPr>
          <w:b/>
          <w:bCs/>
          <w:sz w:val="20"/>
        </w:rPr>
      </w:pPr>
      <w:r>
        <w:rPr>
          <w:b/>
          <w:bCs/>
          <w:sz w:val="20"/>
        </w:rPr>
        <w:t>Washington, DC  20420</w:t>
      </w:r>
    </w:p>
    <w:p w14:paraId="21175720" w14:textId="77777777" w:rsidR="00504F80" w:rsidRDefault="00504F80" w:rsidP="00504F80">
      <w:pPr>
        <w:rPr>
          <w:b/>
          <w:bCs/>
          <w:sz w:val="20"/>
        </w:rPr>
      </w:pPr>
    </w:p>
    <w:p w14:paraId="17763261" w14:textId="77777777" w:rsidR="00504F80" w:rsidRDefault="00AE64CB" w:rsidP="00504F80">
      <w:pPr>
        <w:pStyle w:val="Heading4"/>
      </w:pPr>
      <w:r>
        <w:t>Key Changes</w:t>
      </w:r>
    </w:p>
    <w:p w14:paraId="2C777F38" w14:textId="77777777" w:rsidR="00504F80" w:rsidRDefault="00504F80" w:rsidP="00504F80">
      <w:pPr>
        <w:pStyle w:val="BlockLine"/>
      </w:pPr>
      <w:r>
        <w:t xml:space="preserve"> </w:t>
      </w:r>
    </w:p>
    <w:tbl>
      <w:tblPr>
        <w:tblW w:w="9468" w:type="dxa"/>
        <w:tblLayout w:type="fixed"/>
        <w:tblLook w:val="0000" w:firstRow="0" w:lastRow="0" w:firstColumn="0" w:lastColumn="0" w:noHBand="0" w:noVBand="0"/>
      </w:tblPr>
      <w:tblGrid>
        <w:gridCol w:w="1728"/>
        <w:gridCol w:w="7740"/>
      </w:tblGrid>
      <w:tr w:rsidR="00504F80" w:rsidRPr="00C24D50" w14:paraId="07577A24" w14:textId="77777777" w:rsidTr="00C24D50">
        <w:tc>
          <w:tcPr>
            <w:tcW w:w="1728" w:type="dxa"/>
          </w:tcPr>
          <w:p w14:paraId="7F5841DC" w14:textId="77777777" w:rsidR="00504F80" w:rsidRDefault="00504F80" w:rsidP="00237C22">
            <w:pPr>
              <w:pStyle w:val="Heading5"/>
            </w:pPr>
            <w:r>
              <w:t>Changes Included in This Revision</w:t>
            </w:r>
          </w:p>
        </w:tc>
        <w:tc>
          <w:tcPr>
            <w:tcW w:w="7740" w:type="dxa"/>
          </w:tcPr>
          <w:p w14:paraId="77E38FCD" w14:textId="77777777" w:rsidR="00504F80" w:rsidRDefault="00504F80" w:rsidP="00237C22">
            <w:pPr>
              <w:pStyle w:val="BlockText"/>
            </w:pPr>
            <w:r>
              <w:t>The table below describes the changes included in this revision of Veter</w:t>
            </w:r>
            <w:r w:rsidR="00311F26">
              <w:t>ans Benefits Insurance Manual M29-</w:t>
            </w:r>
            <w:r w:rsidR="00794D24">
              <w:t xml:space="preserve">1, Part </w:t>
            </w:r>
            <w:r w:rsidR="00465E2D">
              <w:t>6</w:t>
            </w:r>
            <w:r w:rsidR="00794D24">
              <w:t xml:space="preserve">, Chapter </w:t>
            </w:r>
            <w:r w:rsidR="00465E2D">
              <w:t>23</w:t>
            </w:r>
            <w:r w:rsidR="00F3408B">
              <w:t>.</w:t>
            </w:r>
          </w:p>
          <w:p w14:paraId="7010A77A" w14:textId="77777777" w:rsidR="00504F80" w:rsidRPr="00450FD6" w:rsidRDefault="00504F80" w:rsidP="00237C22">
            <w:pPr>
              <w:pStyle w:val="BulletText1"/>
              <w:numPr>
                <w:ilvl w:val="0"/>
                <w:numId w:val="0"/>
              </w:numPr>
            </w:pPr>
          </w:p>
          <w:p w14:paraId="49F5E4D6" w14:textId="77777777" w:rsidR="00504F80" w:rsidRDefault="00504F80" w:rsidP="00237C22">
            <w:pPr>
              <w:pStyle w:val="BulletText1"/>
              <w:numPr>
                <w:ilvl w:val="0"/>
                <w:numId w:val="0"/>
              </w:numPr>
            </w:pPr>
            <w:r>
              <w:rPr>
                <w:b/>
                <w:i/>
              </w:rPr>
              <w:t>Notes</w:t>
            </w:r>
            <w:r>
              <w:t xml:space="preserve">:  </w:t>
            </w:r>
          </w:p>
          <w:p w14:paraId="7958C6C5" w14:textId="77777777" w:rsidR="0027298D" w:rsidRDefault="00311F26" w:rsidP="00311F26">
            <w:pPr>
              <w:pStyle w:val="BulletText1"/>
            </w:pPr>
            <w:r>
              <w:rPr>
                <w:b/>
              </w:rPr>
              <w:t xml:space="preserve">M29-1, Part </w:t>
            </w:r>
            <w:r w:rsidR="00465E2D">
              <w:rPr>
                <w:b/>
              </w:rPr>
              <w:t>6</w:t>
            </w:r>
            <w:r>
              <w:rPr>
                <w:b/>
              </w:rPr>
              <w:t xml:space="preserve">, Chapter </w:t>
            </w:r>
            <w:r w:rsidR="00465E2D">
              <w:rPr>
                <w:b/>
              </w:rPr>
              <w:t>23</w:t>
            </w:r>
            <w:r w:rsidR="00DD22A9">
              <w:t xml:space="preserve"> </w:t>
            </w:r>
            <w:r w:rsidR="00DD22A9" w:rsidRPr="00DD22A9">
              <w:t>has been rewritten in its entirety for the purpose of improving clarity and readability</w:t>
            </w:r>
            <w:r w:rsidR="00DD22A9">
              <w:t xml:space="preserve">.  </w:t>
            </w:r>
            <w:r w:rsidR="00DD22A9" w:rsidRPr="00DD22A9">
              <w:t>Any substantive changes are itemized in the table below.</w:t>
            </w:r>
          </w:p>
          <w:p w14:paraId="5DCE7C62" w14:textId="77777777" w:rsidR="00504F80" w:rsidRDefault="00504F80" w:rsidP="00C24D50">
            <w:pPr>
              <w:pStyle w:val="BulletText1"/>
            </w:pPr>
            <w:r>
              <w:t xml:space="preserve">Minor editorial changes have also been made to </w:t>
            </w:r>
          </w:p>
          <w:p w14:paraId="5586AF84" w14:textId="77777777" w:rsidR="00DD22A9" w:rsidRDefault="00DD22A9" w:rsidP="00237C22">
            <w:pPr>
              <w:pStyle w:val="BulletText2"/>
              <w:tabs>
                <w:tab w:val="num" w:pos="547"/>
              </w:tabs>
            </w:pPr>
            <w:r>
              <w:t>improve clarity and readability</w:t>
            </w:r>
          </w:p>
          <w:p w14:paraId="2B0834B8" w14:textId="77777777" w:rsidR="00B858F9" w:rsidRDefault="00B858F9" w:rsidP="00B858F9">
            <w:pPr>
              <w:pStyle w:val="BulletText2"/>
              <w:tabs>
                <w:tab w:val="num" w:pos="547"/>
              </w:tabs>
            </w:pPr>
            <w:r>
              <w:t>add references</w:t>
            </w:r>
          </w:p>
          <w:p w14:paraId="74DB418B" w14:textId="77777777" w:rsidR="00504F80" w:rsidRDefault="00504F80" w:rsidP="00237C22">
            <w:pPr>
              <w:pStyle w:val="BulletText2"/>
              <w:tabs>
                <w:tab w:val="num" w:pos="547"/>
              </w:tabs>
            </w:pPr>
            <w:r>
              <w:t>update incorrect or obsolete references</w:t>
            </w:r>
          </w:p>
          <w:p w14:paraId="1A6E755F" w14:textId="77777777" w:rsidR="00504F80" w:rsidRDefault="00504F80" w:rsidP="00237C22">
            <w:pPr>
              <w:pStyle w:val="BulletText2"/>
              <w:tabs>
                <w:tab w:val="num" w:pos="547"/>
              </w:tabs>
            </w:pPr>
            <w:r>
              <w:t>update obsolete terminology, where appropriate</w:t>
            </w:r>
          </w:p>
          <w:p w14:paraId="1A998B5D" w14:textId="77777777" w:rsidR="00311F26" w:rsidRDefault="009E5F2A" w:rsidP="00311F26">
            <w:pPr>
              <w:pStyle w:val="BulletText2"/>
              <w:tabs>
                <w:tab w:val="num" w:pos="547"/>
              </w:tabs>
            </w:pPr>
            <w:r w:rsidRPr="009E5F2A">
              <w:t xml:space="preserve">reorganize/relocate content within </w:t>
            </w:r>
            <w:r w:rsidR="00311F26">
              <w:rPr>
                <w:b/>
              </w:rPr>
              <w:t>M29</w:t>
            </w:r>
            <w:r w:rsidR="00F3408B">
              <w:rPr>
                <w:b/>
              </w:rPr>
              <w:t>-1,</w:t>
            </w:r>
            <w:r w:rsidR="00311F26">
              <w:rPr>
                <w:b/>
              </w:rPr>
              <w:t xml:space="preserve"> Part </w:t>
            </w:r>
            <w:r w:rsidR="00465E2D">
              <w:rPr>
                <w:b/>
              </w:rPr>
              <w:t>6</w:t>
            </w:r>
            <w:r w:rsidR="00311F26">
              <w:rPr>
                <w:b/>
              </w:rPr>
              <w:t xml:space="preserve">, Chapter </w:t>
            </w:r>
            <w:r w:rsidR="00465E2D">
              <w:rPr>
                <w:b/>
              </w:rPr>
              <w:t>23</w:t>
            </w:r>
            <w:r w:rsidRPr="009E5F2A">
              <w:t xml:space="preserve"> so that it flows more logically</w:t>
            </w:r>
          </w:p>
          <w:p w14:paraId="0F843E10" w14:textId="77777777" w:rsidR="003E2CA2" w:rsidRDefault="003E2CA2" w:rsidP="00237C22">
            <w:pPr>
              <w:pStyle w:val="BulletText2"/>
              <w:tabs>
                <w:tab w:val="num" w:pos="547"/>
              </w:tabs>
            </w:pPr>
            <w:r>
              <w:t>reassign alphabetical designations to individual blocks, where necessary, to account for new and/or deleted blocks within a topic</w:t>
            </w:r>
          </w:p>
          <w:p w14:paraId="5F4DA608" w14:textId="77777777" w:rsidR="00504F80" w:rsidRDefault="00A557BB" w:rsidP="00DD22A9">
            <w:pPr>
              <w:pStyle w:val="BulletText2"/>
              <w:tabs>
                <w:tab w:val="num" w:pos="547"/>
              </w:tabs>
            </w:pPr>
            <w:r>
              <w:t xml:space="preserve">update </w:t>
            </w:r>
            <w:r w:rsidR="00DD22A9">
              <w:t xml:space="preserve">the labels of individual blocks and the titles of </w:t>
            </w:r>
            <w:r>
              <w:t>section</w:t>
            </w:r>
            <w:r w:rsidR="00DD22A9">
              <w:t>s</w:t>
            </w:r>
            <w:r>
              <w:t xml:space="preserve"> and topic</w:t>
            </w:r>
            <w:r w:rsidR="00DD22A9">
              <w:t>s</w:t>
            </w:r>
            <w:r>
              <w:t xml:space="preserve"> to more accurately reflect their content</w:t>
            </w:r>
            <w:r w:rsidR="00504F80">
              <w:t xml:space="preserve">, and </w:t>
            </w:r>
          </w:p>
          <w:p w14:paraId="40E75FEA" w14:textId="77777777" w:rsidR="00504F80" w:rsidRPr="00EA3A57" w:rsidRDefault="00504F80" w:rsidP="00120103">
            <w:pPr>
              <w:pStyle w:val="BulletText2"/>
            </w:pPr>
            <w:r>
              <w:t>bring the document into conformance with M2</w:t>
            </w:r>
            <w:r w:rsidR="00311F26">
              <w:t>9</w:t>
            </w:r>
            <w:r>
              <w:t>-1 standards.</w:t>
            </w:r>
          </w:p>
        </w:tc>
      </w:tr>
    </w:tbl>
    <w:p w14:paraId="41F55A4B" w14:textId="77777777" w:rsidR="00C24D50" w:rsidRDefault="00C24D50" w:rsidP="00C24D50"/>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79"/>
        <w:gridCol w:w="1981"/>
      </w:tblGrid>
      <w:tr w:rsidR="0060514F" w:rsidRPr="004221F2" w14:paraId="0A914460" w14:textId="77777777" w:rsidTr="0060514F">
        <w:trPr>
          <w:trHeight w:val="180"/>
        </w:trPr>
        <w:tc>
          <w:tcPr>
            <w:tcW w:w="3942" w:type="pct"/>
            <w:tcBorders>
              <w:top w:val="single" w:sz="6" w:space="0" w:color="auto"/>
              <w:left w:val="single" w:sz="6" w:space="0" w:color="auto"/>
              <w:bottom w:val="single" w:sz="6" w:space="0" w:color="auto"/>
              <w:right w:val="single" w:sz="6" w:space="0" w:color="auto"/>
            </w:tcBorders>
            <w:shd w:val="clear" w:color="auto" w:fill="auto"/>
          </w:tcPr>
          <w:p w14:paraId="7C95D751" w14:textId="77777777" w:rsidR="0060514F" w:rsidRPr="0060514F" w:rsidRDefault="0060514F" w:rsidP="002B755D">
            <w:pPr>
              <w:pStyle w:val="TableHeaderText"/>
              <w:rPr>
                <w:sz w:val="28"/>
                <w:szCs w:val="28"/>
              </w:rPr>
            </w:pPr>
            <w:r w:rsidRPr="0060514F">
              <w:rPr>
                <w:sz w:val="28"/>
                <w:szCs w:val="28"/>
              </w:rPr>
              <w:t>Reason(s) for Notable Change</w:t>
            </w:r>
          </w:p>
        </w:tc>
        <w:tc>
          <w:tcPr>
            <w:tcW w:w="1058" w:type="pct"/>
            <w:tcBorders>
              <w:top w:val="single" w:sz="6" w:space="0" w:color="auto"/>
              <w:left w:val="single" w:sz="6" w:space="0" w:color="auto"/>
              <w:bottom w:val="single" w:sz="6" w:space="0" w:color="auto"/>
              <w:right w:val="single" w:sz="6" w:space="0" w:color="auto"/>
            </w:tcBorders>
            <w:shd w:val="clear" w:color="auto" w:fill="auto"/>
          </w:tcPr>
          <w:p w14:paraId="1B724A18" w14:textId="77777777" w:rsidR="0060514F" w:rsidRPr="0060514F" w:rsidRDefault="0060514F" w:rsidP="002B755D">
            <w:pPr>
              <w:pStyle w:val="TableHeaderText"/>
              <w:rPr>
                <w:sz w:val="28"/>
                <w:szCs w:val="28"/>
              </w:rPr>
            </w:pPr>
            <w:r w:rsidRPr="0060514F">
              <w:rPr>
                <w:sz w:val="28"/>
                <w:szCs w:val="28"/>
              </w:rPr>
              <w:t>Citation</w:t>
            </w:r>
          </w:p>
        </w:tc>
      </w:tr>
      <w:tr w:rsidR="0060514F" w14:paraId="328CEE99" w14:textId="77777777" w:rsidTr="0060514F">
        <w:trPr>
          <w:trHeight w:val="180"/>
        </w:trPr>
        <w:tc>
          <w:tcPr>
            <w:tcW w:w="3942" w:type="pct"/>
            <w:tcBorders>
              <w:top w:val="single" w:sz="6" w:space="0" w:color="auto"/>
              <w:left w:val="single" w:sz="6" w:space="0" w:color="auto"/>
              <w:bottom w:val="single" w:sz="6" w:space="0" w:color="auto"/>
              <w:right w:val="single" w:sz="6" w:space="0" w:color="auto"/>
            </w:tcBorders>
            <w:shd w:val="clear" w:color="auto" w:fill="auto"/>
          </w:tcPr>
          <w:p w14:paraId="01F8DF8F" w14:textId="77777777" w:rsidR="0060514F" w:rsidRPr="0060514F" w:rsidRDefault="003A6EF3" w:rsidP="00673296">
            <w:pPr>
              <w:pStyle w:val="TableHeaderText"/>
              <w:jc w:val="left"/>
              <w:rPr>
                <w:b w:val="0"/>
              </w:rPr>
            </w:pPr>
            <w:r>
              <w:rPr>
                <w:b w:val="0"/>
              </w:rPr>
              <w:t xml:space="preserve">Clarifies that the </w:t>
            </w:r>
            <w:r w:rsidR="00F23FE2">
              <w:rPr>
                <w:b w:val="0"/>
              </w:rPr>
              <w:t>Rating Activity of jurisdiction</w:t>
            </w:r>
            <w:r>
              <w:rPr>
                <w:b w:val="0"/>
              </w:rPr>
              <w:t xml:space="preserve"> determines competency of the insured prior to death, and the </w:t>
            </w:r>
            <w:r w:rsidR="00F23FE2">
              <w:rPr>
                <w:b w:val="0"/>
              </w:rPr>
              <w:t>Philadelphia Rating Activity</w:t>
            </w:r>
            <w:r>
              <w:rPr>
                <w:b w:val="0"/>
              </w:rPr>
              <w:t xml:space="preserve"> determines competency of the insured after death</w:t>
            </w:r>
            <w:r w:rsidR="00AF07D6">
              <w:rPr>
                <w:b w:val="0"/>
              </w:rPr>
              <w:t xml:space="preserve">; explains that the Insurance Live Claims staff retains final authority to determine insurability for ARH program purposes </w:t>
            </w:r>
          </w:p>
        </w:tc>
        <w:tc>
          <w:tcPr>
            <w:tcW w:w="1058" w:type="pct"/>
            <w:tcBorders>
              <w:top w:val="single" w:sz="6" w:space="0" w:color="auto"/>
              <w:left w:val="single" w:sz="6" w:space="0" w:color="auto"/>
              <w:bottom w:val="single" w:sz="6" w:space="0" w:color="auto"/>
              <w:right w:val="single" w:sz="6" w:space="0" w:color="auto"/>
            </w:tcBorders>
            <w:shd w:val="clear" w:color="auto" w:fill="auto"/>
          </w:tcPr>
          <w:p w14:paraId="43A52BC5" w14:textId="77777777" w:rsidR="0060514F" w:rsidRPr="0060514F" w:rsidRDefault="003A6EF3" w:rsidP="00673296">
            <w:pPr>
              <w:pStyle w:val="TableHeaderText"/>
              <w:jc w:val="left"/>
              <w:rPr>
                <w:b w:val="0"/>
              </w:rPr>
            </w:pPr>
            <w:r>
              <w:rPr>
                <w:b w:val="0"/>
              </w:rPr>
              <w:t>Subchapter 23.01</w:t>
            </w:r>
          </w:p>
        </w:tc>
      </w:tr>
      <w:tr w:rsidR="002A1D3E" w14:paraId="0FF25549" w14:textId="77777777" w:rsidTr="002220F1">
        <w:trPr>
          <w:trHeight w:val="180"/>
        </w:trPr>
        <w:tc>
          <w:tcPr>
            <w:tcW w:w="3942" w:type="pct"/>
            <w:shd w:val="clear" w:color="auto" w:fill="auto"/>
          </w:tcPr>
          <w:p w14:paraId="63AA3FBE" w14:textId="77777777" w:rsidR="002A1D3E" w:rsidRPr="0060514F" w:rsidRDefault="00C01C00" w:rsidP="00673296">
            <w:pPr>
              <w:pStyle w:val="TableHeaderText"/>
              <w:jc w:val="left"/>
              <w:rPr>
                <w:b w:val="0"/>
              </w:rPr>
            </w:pPr>
            <w:r>
              <w:rPr>
                <w:b w:val="0"/>
              </w:rPr>
              <w:t xml:space="preserve">Explains that the Live Claims staff must first determine if the insured met basic ARH program eligibility requirements before the case is referred to the </w:t>
            </w:r>
            <w:r w:rsidR="00CC2F46">
              <w:rPr>
                <w:b w:val="0"/>
              </w:rPr>
              <w:t xml:space="preserve">Rating Activity </w:t>
            </w:r>
            <w:r>
              <w:rPr>
                <w:b w:val="0"/>
              </w:rPr>
              <w:t xml:space="preserve">for a competency determination; </w:t>
            </w:r>
          </w:p>
        </w:tc>
        <w:tc>
          <w:tcPr>
            <w:tcW w:w="1058" w:type="pct"/>
            <w:shd w:val="clear" w:color="auto" w:fill="auto"/>
          </w:tcPr>
          <w:p w14:paraId="155C45E6" w14:textId="77777777" w:rsidR="002A1D3E" w:rsidRPr="0060514F" w:rsidRDefault="00C01C00" w:rsidP="00673296">
            <w:pPr>
              <w:pStyle w:val="TableHeaderText"/>
              <w:jc w:val="left"/>
              <w:rPr>
                <w:b w:val="0"/>
              </w:rPr>
            </w:pPr>
            <w:r>
              <w:rPr>
                <w:b w:val="0"/>
              </w:rPr>
              <w:t>Subchapter 23.02</w:t>
            </w:r>
          </w:p>
        </w:tc>
      </w:tr>
      <w:tr w:rsidR="00CC2F46" w14:paraId="16DC3C17" w14:textId="77777777" w:rsidTr="002220F1">
        <w:trPr>
          <w:trHeight w:val="180"/>
        </w:trPr>
        <w:tc>
          <w:tcPr>
            <w:tcW w:w="3942" w:type="pct"/>
            <w:shd w:val="clear" w:color="auto" w:fill="auto"/>
          </w:tcPr>
          <w:p w14:paraId="5EBE84FE" w14:textId="77777777" w:rsidR="00CC2F46" w:rsidRDefault="00CC2F46" w:rsidP="00673296">
            <w:pPr>
              <w:pStyle w:val="TableText"/>
            </w:pPr>
            <w:r>
              <w:t>Clarifies that a guardian must have been appointed no more than 2 years prior to the insured’s death in order to apply for the benefit on the insured’s behalf</w:t>
            </w:r>
          </w:p>
        </w:tc>
        <w:tc>
          <w:tcPr>
            <w:tcW w:w="1058" w:type="pct"/>
            <w:shd w:val="clear" w:color="auto" w:fill="auto"/>
          </w:tcPr>
          <w:p w14:paraId="4E00FC4F" w14:textId="77777777" w:rsidR="00CC2F46" w:rsidRDefault="00CC2F46" w:rsidP="00673296">
            <w:pPr>
              <w:pStyle w:val="TableText"/>
            </w:pPr>
            <w:r>
              <w:t>Subchapter 23.02</w:t>
            </w:r>
          </w:p>
        </w:tc>
      </w:tr>
      <w:tr w:rsidR="00EC1471" w14:paraId="21BA5915" w14:textId="77777777" w:rsidTr="002220F1">
        <w:trPr>
          <w:trHeight w:val="180"/>
        </w:trPr>
        <w:tc>
          <w:tcPr>
            <w:tcW w:w="3942" w:type="pct"/>
            <w:shd w:val="clear" w:color="auto" w:fill="auto"/>
          </w:tcPr>
          <w:p w14:paraId="19FA0C95" w14:textId="77777777" w:rsidR="00EC1471" w:rsidRDefault="00EC1471" w:rsidP="00673296">
            <w:pPr>
              <w:pStyle w:val="TableText"/>
            </w:pPr>
            <w:r>
              <w:t>Explains the eligibility requirements needed to qualify for the ARH benefit and explains that a grant of ARH insurance bars the claimant from receipt of Supplemental Service-Disabled Veterans’ Insurance</w:t>
            </w:r>
          </w:p>
        </w:tc>
        <w:tc>
          <w:tcPr>
            <w:tcW w:w="1058" w:type="pct"/>
            <w:shd w:val="clear" w:color="auto" w:fill="auto"/>
          </w:tcPr>
          <w:p w14:paraId="28C17BE2" w14:textId="77777777" w:rsidR="00EC1471" w:rsidRDefault="00EC1471" w:rsidP="00673296">
            <w:pPr>
              <w:pStyle w:val="TableText"/>
            </w:pPr>
            <w:r>
              <w:t>Subchapter 23.02</w:t>
            </w:r>
          </w:p>
        </w:tc>
      </w:tr>
      <w:tr w:rsidR="002A1D3E" w14:paraId="61BA90CB" w14:textId="77777777" w:rsidTr="002220F1">
        <w:trPr>
          <w:trHeight w:val="180"/>
        </w:trPr>
        <w:tc>
          <w:tcPr>
            <w:tcW w:w="3942" w:type="pct"/>
            <w:shd w:val="clear" w:color="auto" w:fill="auto"/>
          </w:tcPr>
          <w:p w14:paraId="04F83527" w14:textId="77777777" w:rsidR="002A1D3E" w:rsidRPr="0060514F" w:rsidRDefault="003A5220" w:rsidP="00673296">
            <w:pPr>
              <w:pStyle w:val="TableText"/>
            </w:pPr>
            <w:r>
              <w:t xml:space="preserve">Explains that a widow or widower entitled to payment of the ARH benefit is not excluded from receipt of the benefit, unless they have remarried </w:t>
            </w:r>
          </w:p>
        </w:tc>
        <w:tc>
          <w:tcPr>
            <w:tcW w:w="1058" w:type="pct"/>
            <w:shd w:val="clear" w:color="auto" w:fill="auto"/>
          </w:tcPr>
          <w:p w14:paraId="411BC753" w14:textId="77777777" w:rsidR="002A1D3E" w:rsidRPr="0060514F" w:rsidRDefault="001F3776" w:rsidP="00673296">
            <w:pPr>
              <w:pStyle w:val="TableText"/>
            </w:pPr>
            <w:r>
              <w:t>Subc</w:t>
            </w:r>
            <w:r w:rsidR="003A5220">
              <w:t>hapter 23.03</w:t>
            </w:r>
          </w:p>
        </w:tc>
      </w:tr>
      <w:tr w:rsidR="00E51D80" w14:paraId="7FE10934" w14:textId="77777777" w:rsidTr="002220F1">
        <w:trPr>
          <w:trHeight w:val="180"/>
        </w:trPr>
        <w:tc>
          <w:tcPr>
            <w:tcW w:w="3942" w:type="pct"/>
            <w:shd w:val="clear" w:color="auto" w:fill="auto"/>
          </w:tcPr>
          <w:p w14:paraId="4D51AD30" w14:textId="77777777" w:rsidR="00E51D80" w:rsidRDefault="00E51D80" w:rsidP="00673296">
            <w:pPr>
              <w:pStyle w:val="TableText"/>
            </w:pPr>
            <w:r>
              <w:t xml:space="preserve">Explains that for </w:t>
            </w:r>
            <w:r w:rsidR="0067258D">
              <w:t xml:space="preserve">the </w:t>
            </w:r>
            <w:r>
              <w:t xml:space="preserve">purpose of determining the order of precedence for </w:t>
            </w:r>
            <w:r w:rsidR="0067258D">
              <w:t xml:space="preserve">ARH </w:t>
            </w:r>
            <w:r>
              <w:t xml:space="preserve">payment, evidence is required of the insured’s death and if applicable, proof of any alleged remarriage of the widow or widower; for purposes of determining the nature of the relationship of the beneficiary to </w:t>
            </w:r>
            <w:r>
              <w:lastRenderedPageBreak/>
              <w:t>the insured, evidence should be based on legal requirements from 38 CFR 3.0 and 38 CFR 8.2</w:t>
            </w:r>
          </w:p>
        </w:tc>
        <w:tc>
          <w:tcPr>
            <w:tcW w:w="1058" w:type="pct"/>
            <w:shd w:val="clear" w:color="auto" w:fill="auto"/>
          </w:tcPr>
          <w:p w14:paraId="516DE46D" w14:textId="77777777" w:rsidR="00E51D80" w:rsidRDefault="00E51D80" w:rsidP="00673296">
            <w:pPr>
              <w:pStyle w:val="TableText"/>
            </w:pPr>
            <w:r>
              <w:lastRenderedPageBreak/>
              <w:t>Subchapter 23.03</w:t>
            </w:r>
          </w:p>
        </w:tc>
      </w:tr>
      <w:tr w:rsidR="002A1D3E" w14:paraId="3388CC59" w14:textId="77777777" w:rsidTr="002220F1">
        <w:trPr>
          <w:trHeight w:val="180"/>
        </w:trPr>
        <w:tc>
          <w:tcPr>
            <w:tcW w:w="3942" w:type="pct"/>
            <w:shd w:val="clear" w:color="auto" w:fill="auto"/>
          </w:tcPr>
          <w:p w14:paraId="772B0766" w14:textId="77777777" w:rsidR="002A1D3E" w:rsidRPr="0060514F" w:rsidRDefault="00907CF3" w:rsidP="00673296">
            <w:pPr>
              <w:pStyle w:val="TableText"/>
            </w:pPr>
            <w:r>
              <w:t xml:space="preserve">Eliminates language </w:t>
            </w:r>
            <w:r w:rsidR="0086553E">
              <w:t>that refers</w:t>
            </w:r>
            <w:r>
              <w:t xml:space="preserve"> to filing a claim </w:t>
            </w:r>
            <w:r w:rsidR="00D560DE">
              <w:t xml:space="preserve">prior to January 1, 1961, as no longer applicable to the insurance programs </w:t>
            </w:r>
          </w:p>
        </w:tc>
        <w:tc>
          <w:tcPr>
            <w:tcW w:w="1058" w:type="pct"/>
            <w:shd w:val="clear" w:color="auto" w:fill="auto"/>
          </w:tcPr>
          <w:p w14:paraId="48C7C978" w14:textId="77777777" w:rsidR="002A1D3E" w:rsidRPr="0060514F" w:rsidRDefault="00D560DE" w:rsidP="00673296">
            <w:pPr>
              <w:pStyle w:val="TableText"/>
            </w:pPr>
            <w:r>
              <w:t>Subchapter 23.04</w:t>
            </w:r>
          </w:p>
        </w:tc>
      </w:tr>
      <w:tr w:rsidR="002A1D3E" w14:paraId="13F251A7" w14:textId="77777777" w:rsidTr="002220F1">
        <w:trPr>
          <w:trHeight w:val="180"/>
        </w:trPr>
        <w:tc>
          <w:tcPr>
            <w:tcW w:w="3942" w:type="pct"/>
            <w:shd w:val="clear" w:color="auto" w:fill="auto"/>
          </w:tcPr>
          <w:p w14:paraId="22143E50" w14:textId="77777777" w:rsidR="002A1D3E" w:rsidRPr="0060514F" w:rsidRDefault="001C739F" w:rsidP="00673296">
            <w:pPr>
              <w:pStyle w:val="TableText"/>
            </w:pPr>
            <w:r>
              <w:t>Clarifies that under federal law</w:t>
            </w:r>
            <w:r w:rsidR="00B42B9E">
              <w:t xml:space="preserve"> </w:t>
            </w:r>
            <w:r>
              <w:t xml:space="preserve">payment of the ARH benefit will be made as one sum payment only </w:t>
            </w:r>
          </w:p>
        </w:tc>
        <w:tc>
          <w:tcPr>
            <w:tcW w:w="1058" w:type="pct"/>
            <w:shd w:val="clear" w:color="auto" w:fill="auto"/>
          </w:tcPr>
          <w:p w14:paraId="7DA73D94" w14:textId="77777777" w:rsidR="002A1D3E" w:rsidRPr="0060514F" w:rsidRDefault="001C739F" w:rsidP="00673296">
            <w:pPr>
              <w:pStyle w:val="TableText"/>
            </w:pPr>
            <w:r>
              <w:t>Subchapter 23.05</w:t>
            </w:r>
          </w:p>
        </w:tc>
      </w:tr>
      <w:tr w:rsidR="00AB59F0" w14:paraId="7218700B" w14:textId="77777777" w:rsidTr="002220F1">
        <w:trPr>
          <w:trHeight w:val="180"/>
        </w:trPr>
        <w:tc>
          <w:tcPr>
            <w:tcW w:w="3942" w:type="pct"/>
            <w:shd w:val="clear" w:color="auto" w:fill="auto"/>
          </w:tcPr>
          <w:p w14:paraId="523322F2" w14:textId="77777777" w:rsidR="00AB59F0" w:rsidRDefault="00786AF4" w:rsidP="00673296">
            <w:pPr>
              <w:pStyle w:val="TableText"/>
            </w:pPr>
            <w:r>
              <w:t>Clarifies that</w:t>
            </w:r>
            <w:r w:rsidR="00B42B9E">
              <w:t xml:space="preserve"> ARH </w:t>
            </w:r>
            <w:r>
              <w:t xml:space="preserve">claims </w:t>
            </w:r>
            <w:r w:rsidR="00B42B9E">
              <w:t xml:space="preserve">processing </w:t>
            </w:r>
            <w:r>
              <w:t xml:space="preserve">will follow the procedures outlined in </w:t>
            </w:r>
            <w:r w:rsidR="00B0698F">
              <w:t xml:space="preserve">M29-1, Part 1, Chapter 15.06 of </w:t>
            </w:r>
            <w:r w:rsidR="00B42B9E">
              <w:t>the Insurance Manual</w:t>
            </w:r>
          </w:p>
        </w:tc>
        <w:tc>
          <w:tcPr>
            <w:tcW w:w="1058" w:type="pct"/>
            <w:shd w:val="clear" w:color="auto" w:fill="auto"/>
          </w:tcPr>
          <w:p w14:paraId="0ED08F5C" w14:textId="77777777" w:rsidR="00AB59F0" w:rsidRDefault="00B0698F" w:rsidP="00673296">
            <w:pPr>
              <w:pStyle w:val="TableText"/>
            </w:pPr>
            <w:r>
              <w:t>Subchapter 2</w:t>
            </w:r>
            <w:r w:rsidR="00DE31A0">
              <w:t>3</w:t>
            </w:r>
            <w:r>
              <w:t>.0</w:t>
            </w:r>
            <w:r w:rsidR="00DE31A0">
              <w:t>6</w:t>
            </w:r>
          </w:p>
        </w:tc>
      </w:tr>
      <w:tr w:rsidR="00B0698F" w14:paraId="313DBB80" w14:textId="77777777" w:rsidTr="002220F1">
        <w:trPr>
          <w:trHeight w:val="180"/>
        </w:trPr>
        <w:tc>
          <w:tcPr>
            <w:tcW w:w="3942" w:type="pct"/>
            <w:shd w:val="clear" w:color="auto" w:fill="auto"/>
          </w:tcPr>
          <w:p w14:paraId="2E8F5BF8" w14:textId="77777777" w:rsidR="00B0698F" w:rsidRDefault="000B7018" w:rsidP="00673296">
            <w:pPr>
              <w:pStyle w:val="TableText"/>
            </w:pPr>
            <w:r>
              <w:t>Eliminate</w:t>
            </w:r>
            <w:r w:rsidR="00B42B9E">
              <w:t>s</w:t>
            </w:r>
            <w:r>
              <w:t xml:space="preserve"> Subchapters 23.07 and 23.08 as </w:t>
            </w:r>
            <w:r w:rsidR="00B42B9E">
              <w:t>the procedures are</w:t>
            </w:r>
            <w:r>
              <w:t xml:space="preserve"> no longer applicable to the insurance programs</w:t>
            </w:r>
          </w:p>
        </w:tc>
        <w:tc>
          <w:tcPr>
            <w:tcW w:w="1058" w:type="pct"/>
            <w:shd w:val="clear" w:color="auto" w:fill="auto"/>
          </w:tcPr>
          <w:p w14:paraId="4CC80A3E" w14:textId="77777777" w:rsidR="00B0698F" w:rsidRDefault="000B7018" w:rsidP="00673296">
            <w:pPr>
              <w:pStyle w:val="TableText"/>
            </w:pPr>
            <w:r>
              <w:t>Subchapters 23.07and 23.08</w:t>
            </w:r>
          </w:p>
        </w:tc>
      </w:tr>
      <w:tr w:rsidR="000B7018" w14:paraId="0BC85605" w14:textId="77777777" w:rsidTr="002220F1">
        <w:trPr>
          <w:trHeight w:val="180"/>
        </w:trPr>
        <w:tc>
          <w:tcPr>
            <w:tcW w:w="3942" w:type="pct"/>
            <w:shd w:val="clear" w:color="auto" w:fill="auto"/>
          </w:tcPr>
          <w:p w14:paraId="284EE236" w14:textId="77777777" w:rsidR="000B7018" w:rsidRDefault="0082443C" w:rsidP="00673296">
            <w:pPr>
              <w:pStyle w:val="TableText"/>
            </w:pPr>
            <w:r>
              <w:t xml:space="preserve">Explains that a letter denying the claimant the ARH benefit will include information on </w:t>
            </w:r>
            <w:r w:rsidR="00352178">
              <w:t xml:space="preserve">appeal rights; clarifies that a decision denying the claimant’s mental incompetency is made by the Rating Activity, but that any appeal of the decision must be submitted to the Regional Office of jurisdiction over the case </w:t>
            </w:r>
          </w:p>
        </w:tc>
        <w:tc>
          <w:tcPr>
            <w:tcW w:w="1058" w:type="pct"/>
            <w:shd w:val="clear" w:color="auto" w:fill="auto"/>
          </w:tcPr>
          <w:p w14:paraId="7548FABF" w14:textId="77777777" w:rsidR="000B7018" w:rsidRDefault="000B7018" w:rsidP="00673296">
            <w:pPr>
              <w:pStyle w:val="TableText"/>
            </w:pPr>
            <w:r>
              <w:t>New Subchapter 23.07/Prior Subchapter 23.09</w:t>
            </w:r>
          </w:p>
        </w:tc>
      </w:tr>
    </w:tbl>
    <w:p w14:paraId="1F98AF32" w14:textId="77777777" w:rsidR="0060514F" w:rsidRDefault="0060514F" w:rsidP="0060514F">
      <w:pPr>
        <w:pStyle w:val="BlockLine"/>
        <w:pBdr>
          <w:top w:val="single" w:sz="6" w:space="0" w:color="000000"/>
        </w:pBdr>
      </w:pPr>
    </w:p>
    <w:tbl>
      <w:tblPr>
        <w:tblStyle w:val="TableGrid"/>
        <w:tblW w:w="9360" w:type="dxa"/>
        <w:tblInd w:w="108" w:type="dxa"/>
        <w:tblLook w:val="04A0" w:firstRow="1" w:lastRow="0" w:firstColumn="1" w:lastColumn="0" w:noHBand="0" w:noVBand="1"/>
      </w:tblPr>
      <w:tblGrid>
        <w:gridCol w:w="7380"/>
        <w:gridCol w:w="1980"/>
      </w:tblGrid>
      <w:tr w:rsidR="0060514F" w:rsidRPr="004221F2" w14:paraId="07238464" w14:textId="77777777" w:rsidTr="0060514F">
        <w:trPr>
          <w:trHeight w:val="330"/>
        </w:trPr>
        <w:tc>
          <w:tcPr>
            <w:tcW w:w="7380" w:type="dxa"/>
          </w:tcPr>
          <w:p w14:paraId="3F85DF8A" w14:textId="77777777" w:rsidR="0060514F" w:rsidRPr="004221F2" w:rsidRDefault="0060514F" w:rsidP="002B755D">
            <w:pPr>
              <w:jc w:val="center"/>
              <w:rPr>
                <w:b/>
                <w:sz w:val="28"/>
                <w:szCs w:val="28"/>
              </w:rPr>
            </w:pPr>
            <w:r>
              <w:rPr>
                <w:b/>
                <w:sz w:val="28"/>
                <w:szCs w:val="28"/>
              </w:rPr>
              <w:t>Reason(s) for Change</w:t>
            </w:r>
          </w:p>
        </w:tc>
        <w:tc>
          <w:tcPr>
            <w:tcW w:w="1980" w:type="dxa"/>
          </w:tcPr>
          <w:p w14:paraId="0DDD8AD3" w14:textId="77777777" w:rsidR="0060514F" w:rsidRPr="004221F2" w:rsidRDefault="0060514F" w:rsidP="002B755D">
            <w:pPr>
              <w:jc w:val="center"/>
              <w:rPr>
                <w:b/>
                <w:sz w:val="28"/>
                <w:szCs w:val="28"/>
              </w:rPr>
            </w:pPr>
            <w:r w:rsidRPr="004221F2">
              <w:rPr>
                <w:b/>
                <w:sz w:val="28"/>
                <w:szCs w:val="28"/>
              </w:rPr>
              <w:t>Citation</w:t>
            </w:r>
          </w:p>
        </w:tc>
      </w:tr>
      <w:tr w:rsidR="0060514F" w:rsidRPr="004221F2" w14:paraId="3B7B4465" w14:textId="77777777" w:rsidTr="00673296">
        <w:trPr>
          <w:trHeight w:val="187"/>
        </w:trPr>
        <w:tc>
          <w:tcPr>
            <w:tcW w:w="7380" w:type="dxa"/>
          </w:tcPr>
          <w:p w14:paraId="789AAB98" w14:textId="77777777" w:rsidR="0060514F" w:rsidRPr="0060514F" w:rsidRDefault="0060514F" w:rsidP="00673296"/>
        </w:tc>
        <w:tc>
          <w:tcPr>
            <w:tcW w:w="1980" w:type="dxa"/>
          </w:tcPr>
          <w:p w14:paraId="60B5DA0E" w14:textId="77777777" w:rsidR="0060514F" w:rsidRPr="0060514F" w:rsidRDefault="0060514F" w:rsidP="00673296"/>
        </w:tc>
      </w:tr>
      <w:tr w:rsidR="0060514F" w:rsidRPr="004221F2" w14:paraId="28F8B165" w14:textId="77777777" w:rsidTr="00673296">
        <w:trPr>
          <w:trHeight w:val="187"/>
        </w:trPr>
        <w:tc>
          <w:tcPr>
            <w:tcW w:w="7380" w:type="dxa"/>
          </w:tcPr>
          <w:p w14:paraId="02FBB375" w14:textId="77777777" w:rsidR="0060514F" w:rsidRPr="0060514F" w:rsidRDefault="0060514F" w:rsidP="00673296"/>
        </w:tc>
        <w:tc>
          <w:tcPr>
            <w:tcW w:w="1980" w:type="dxa"/>
          </w:tcPr>
          <w:p w14:paraId="0D203E0A" w14:textId="77777777" w:rsidR="0060514F" w:rsidRPr="0060514F" w:rsidRDefault="0060514F" w:rsidP="00673296"/>
        </w:tc>
      </w:tr>
      <w:tr w:rsidR="0060514F" w:rsidRPr="004221F2" w14:paraId="32AEFF68" w14:textId="77777777" w:rsidTr="00673296">
        <w:trPr>
          <w:trHeight w:val="187"/>
        </w:trPr>
        <w:tc>
          <w:tcPr>
            <w:tcW w:w="7380" w:type="dxa"/>
          </w:tcPr>
          <w:p w14:paraId="67BA3D28" w14:textId="77777777" w:rsidR="0060514F" w:rsidRPr="0060514F" w:rsidRDefault="0060514F" w:rsidP="00673296"/>
        </w:tc>
        <w:tc>
          <w:tcPr>
            <w:tcW w:w="1980" w:type="dxa"/>
          </w:tcPr>
          <w:p w14:paraId="6EC91171" w14:textId="77777777" w:rsidR="0060514F" w:rsidRPr="0060514F" w:rsidRDefault="0060514F" w:rsidP="00673296"/>
        </w:tc>
      </w:tr>
    </w:tbl>
    <w:p w14:paraId="7E890D39" w14:textId="77777777" w:rsidR="00504F80" w:rsidRDefault="00504F80" w:rsidP="00504F80">
      <w:pPr>
        <w:pStyle w:val="BlockLine"/>
      </w:pPr>
    </w:p>
    <w:tbl>
      <w:tblPr>
        <w:tblW w:w="0" w:type="auto"/>
        <w:tblLayout w:type="fixed"/>
        <w:tblLook w:val="0000" w:firstRow="0" w:lastRow="0" w:firstColumn="0" w:lastColumn="0" w:noHBand="0" w:noVBand="0"/>
      </w:tblPr>
      <w:tblGrid>
        <w:gridCol w:w="1728"/>
        <w:gridCol w:w="7740"/>
      </w:tblGrid>
      <w:tr w:rsidR="00504F80" w:rsidRPr="00B4163A" w14:paraId="450301EC" w14:textId="77777777" w:rsidTr="00237C22">
        <w:tc>
          <w:tcPr>
            <w:tcW w:w="1728" w:type="dxa"/>
          </w:tcPr>
          <w:p w14:paraId="6ACD38BE" w14:textId="77777777" w:rsidR="00504F80" w:rsidRPr="00B4163A" w:rsidRDefault="00504F80" w:rsidP="00237C22">
            <w:pPr>
              <w:pStyle w:val="Heading5"/>
              <w:rPr>
                <w:sz w:val="24"/>
              </w:rPr>
            </w:pPr>
            <w:r w:rsidRPr="00B4163A">
              <w:rPr>
                <w:sz w:val="24"/>
              </w:rPr>
              <w:t>Rescissions</w:t>
            </w:r>
          </w:p>
        </w:tc>
        <w:tc>
          <w:tcPr>
            <w:tcW w:w="7740" w:type="dxa"/>
          </w:tcPr>
          <w:p w14:paraId="5E06C6BC" w14:textId="77777777" w:rsidR="00504F80" w:rsidRPr="00B4163A" w:rsidRDefault="00504F80" w:rsidP="00237C22">
            <w:pPr>
              <w:pStyle w:val="BlockText"/>
            </w:pPr>
            <w:r w:rsidRPr="00B4163A">
              <w:t>None</w:t>
            </w:r>
          </w:p>
        </w:tc>
      </w:tr>
    </w:tbl>
    <w:p w14:paraId="1F6D9C98"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4972802B" w14:textId="77777777" w:rsidTr="00237C22">
        <w:tc>
          <w:tcPr>
            <w:tcW w:w="1728" w:type="dxa"/>
          </w:tcPr>
          <w:p w14:paraId="4B1D2F3C" w14:textId="77777777" w:rsidR="00504F80" w:rsidRPr="00B4163A" w:rsidRDefault="00504F80" w:rsidP="00237C22">
            <w:pPr>
              <w:pStyle w:val="Heading5"/>
              <w:rPr>
                <w:sz w:val="24"/>
              </w:rPr>
            </w:pPr>
            <w:r w:rsidRPr="00B4163A">
              <w:rPr>
                <w:sz w:val="24"/>
              </w:rPr>
              <w:t>Authority</w:t>
            </w:r>
          </w:p>
        </w:tc>
        <w:tc>
          <w:tcPr>
            <w:tcW w:w="7740" w:type="dxa"/>
          </w:tcPr>
          <w:p w14:paraId="39A9FD98" w14:textId="77777777" w:rsidR="00504F80" w:rsidRPr="00B4163A" w:rsidRDefault="00504F80" w:rsidP="00237C22">
            <w:pPr>
              <w:pStyle w:val="BlockText"/>
            </w:pPr>
            <w:r w:rsidRPr="00B4163A">
              <w:t>By Direction of the Under Secretary for Benefits</w:t>
            </w:r>
          </w:p>
        </w:tc>
      </w:tr>
    </w:tbl>
    <w:p w14:paraId="48ABC431" w14:textId="77777777" w:rsidR="00504F80" w:rsidRPr="00B4163A" w:rsidRDefault="00504F80" w:rsidP="00504F80">
      <w:pPr>
        <w:pStyle w:val="ContinuedOnNextPa"/>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1294E5F1" w14:textId="77777777" w:rsidTr="00237C22">
        <w:tc>
          <w:tcPr>
            <w:tcW w:w="1728" w:type="dxa"/>
          </w:tcPr>
          <w:p w14:paraId="00926C16" w14:textId="77777777" w:rsidR="00504F80" w:rsidRPr="00B4163A" w:rsidRDefault="00504F80" w:rsidP="00237C22">
            <w:pPr>
              <w:pStyle w:val="Heading5"/>
              <w:rPr>
                <w:sz w:val="24"/>
              </w:rPr>
            </w:pPr>
            <w:r w:rsidRPr="00B4163A">
              <w:rPr>
                <w:sz w:val="24"/>
              </w:rPr>
              <w:t>Signature</w:t>
            </w:r>
          </w:p>
        </w:tc>
        <w:tc>
          <w:tcPr>
            <w:tcW w:w="7740" w:type="dxa"/>
          </w:tcPr>
          <w:p w14:paraId="0C494B22" w14:textId="77777777" w:rsidR="00504F80" w:rsidRPr="00B4163A" w:rsidRDefault="00504F80" w:rsidP="00237C22">
            <w:pPr>
              <w:pStyle w:val="BlockText"/>
            </w:pPr>
          </w:p>
          <w:p w14:paraId="72D4013C" w14:textId="77777777" w:rsidR="00504F80" w:rsidRPr="00B4163A" w:rsidRDefault="00504F80" w:rsidP="00237C22">
            <w:pPr>
              <w:pStyle w:val="MemoLine"/>
              <w:ind w:left="-18" w:right="612"/>
            </w:pPr>
          </w:p>
          <w:p w14:paraId="4A4054BE" w14:textId="1CE679F2" w:rsidR="005C2AD9" w:rsidRDefault="00A142C3" w:rsidP="005C2AD9">
            <w:r>
              <w:t>Timothy Sirhal</w:t>
            </w:r>
            <w:r w:rsidR="00BC4A0D">
              <w:t xml:space="preserve">, </w:t>
            </w:r>
            <w:r>
              <w:t xml:space="preserve">Acting </w:t>
            </w:r>
            <w:r w:rsidR="00BC4A0D">
              <w:t>Director</w:t>
            </w:r>
          </w:p>
          <w:p w14:paraId="20FFDB83" w14:textId="77777777" w:rsidR="00504F80" w:rsidRPr="00B4163A" w:rsidRDefault="00311F26" w:rsidP="00BC4A0D">
            <w:pPr>
              <w:pStyle w:val="BlockText"/>
            </w:pPr>
            <w:r>
              <w:t>Insurance</w:t>
            </w:r>
            <w:r w:rsidR="00504F80" w:rsidRPr="00B4163A">
              <w:t xml:space="preserve"> Service</w:t>
            </w:r>
          </w:p>
        </w:tc>
      </w:tr>
    </w:tbl>
    <w:p w14:paraId="75460E9D"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14:paraId="7C001F8A" w14:textId="77777777" w:rsidTr="00237C22">
        <w:tc>
          <w:tcPr>
            <w:tcW w:w="1728" w:type="dxa"/>
          </w:tcPr>
          <w:p w14:paraId="1BAB827E" w14:textId="77777777" w:rsidR="00504F80" w:rsidRPr="00B4163A" w:rsidRDefault="00504F80" w:rsidP="00237C22">
            <w:pPr>
              <w:pStyle w:val="Heading5"/>
              <w:rPr>
                <w:sz w:val="24"/>
              </w:rPr>
            </w:pPr>
            <w:r w:rsidRPr="00B4163A">
              <w:rPr>
                <w:sz w:val="24"/>
              </w:rPr>
              <w:t>Distribution</w:t>
            </w:r>
          </w:p>
        </w:tc>
        <w:tc>
          <w:tcPr>
            <w:tcW w:w="7740" w:type="dxa"/>
          </w:tcPr>
          <w:p w14:paraId="1DB9CD27" w14:textId="77777777" w:rsidR="00504F80" w:rsidRDefault="00504F80" w:rsidP="00237C22">
            <w:pPr>
              <w:pStyle w:val="BlockText"/>
              <w:jc w:val="center"/>
            </w:pPr>
            <w:r w:rsidRPr="00B4163A">
              <w:t>LOCAL REPRODUCTION AUTHORIZED</w:t>
            </w:r>
          </w:p>
        </w:tc>
      </w:tr>
    </w:tbl>
    <w:p w14:paraId="2BC6F130" w14:textId="77777777" w:rsidR="00504F80" w:rsidRDefault="00504F80" w:rsidP="00504F80">
      <w:pPr>
        <w:pStyle w:val="BlockLine"/>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RgBvAG4AdABTAGUAdABGAG8AbgB0AFMAZQB0AEYAbwBuAHQAUwBlAHQAaQBtAGkAcwB0AHkAbABl
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instrText xml:space="preserve"> ADDIN  \* MERGEFORMAT </w:instrText>
      </w:r>
      <w:r>
        <w:fldChar w:fldCharType="end"/>
      </w:r>
    </w:p>
    <w:p w14:paraId="0A1F8240" w14:textId="77777777" w:rsidR="007D5B97" w:rsidRDefault="00C24D50">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rsidR="006D52FE">
        <w:fldChar w:fldCharType="begin">
          <w:fldData xml:space="preserve">RABvAGMAVABlAG0AcAAxAFYAYQByAFQAcgBhAGQAaQB0AGkAbwBuAGEAbAA=
</w:fldData>
        </w:fldChar>
      </w:r>
      <w:r w:rsidR="006D52FE">
        <w:instrText xml:space="preserve"> ADDIN  \* MERGEFORMAT </w:instrText>
      </w:r>
      <w:r w:rsidR="006D52FE">
        <w:fldChar w:fldCharType="end"/>
      </w:r>
      <w:r w:rsidR="006D52FE">
        <w:fldChar w:fldCharType="begin">
          <w:fldData xml:space="preserve">RgBvAG4AdABTAGUAdABGAG8AbgB0AFMAZQB0AGkAbQBpAHMAdAB5AGwAZQBzAC4AeABtAGwA
</w:fldData>
        </w:fldChar>
      </w:r>
      <w:r w:rsidR="006D52FE">
        <w:instrText xml:space="preserve"> ADDIN  \* MERGEFORMAT </w:instrText>
      </w:r>
      <w:r w:rsidR="006D52FE">
        <w:fldChar w:fldCharType="end"/>
      </w:r>
      <w:r w:rsidR="006D10E5">
        <w:fldChar w:fldCharType="begin">
          <w:fldData xml:space="preserve">RABvAGMAVABlAG0AcAAxAFYAYQByAFQAcgBhAGQAaQB0AGkAbwBuAGEAbAA=
</w:fldData>
        </w:fldChar>
      </w:r>
      <w:r w:rsidR="006D10E5">
        <w:instrText xml:space="preserve"> ADDIN  \* MERGEFORMAT </w:instrText>
      </w:r>
      <w:r w:rsidR="006D10E5">
        <w:fldChar w:fldCharType="end"/>
      </w:r>
      <w:r w:rsidR="006D10E5">
        <w:fldChar w:fldCharType="begin">
          <w:fldData xml:space="preserve">RgBvAG4AdABTAGUAdABGAG8AbgB0AFMAZQB0AEYAbwBuAHQAUwBlAHQAaQBtAGkAcwB0AHkAbABl
AHMALgB4AG0AbAA=
</w:fldData>
        </w:fldChar>
      </w:r>
      <w:r w:rsidR="006D10E5">
        <w:instrText xml:space="preserve"> ADDIN  \* MERGEFORMAT </w:instrText>
      </w:r>
      <w:r w:rsidR="006D10E5">
        <w:fldChar w:fldCharType="end"/>
      </w:r>
      <w:r w:rsidR="00600DC7">
        <w:fldChar w:fldCharType="begin">
          <w:fldData xml:space="preserve">RABvAGMAVABlAG0AcAAxAFYAYQByAFQAcgBhAGQAaQB0AGkAbwBuAGEAbAA=
</w:fldData>
        </w:fldChar>
      </w:r>
      <w:r w:rsidR="00600DC7">
        <w:instrText xml:space="preserve"> ADDIN  \* MERGEFORMAT </w:instrText>
      </w:r>
      <w:r w:rsidR="00600DC7">
        <w:fldChar w:fldCharType="end"/>
      </w:r>
      <w:r w:rsidR="00600DC7">
        <w:fldChar w:fldCharType="begin">
          <w:fldData xml:space="preserve">RgBvAG4AdABTAGUAdABGAG8AbgB0AFMAZQB0AEYAbwBuAHQAUwBlAHQARgBvAG4AdABTAGUAdABp
AG0AaQBzAHQAeQBsAGUAcwAuAHgAbQBsAA==
</w:fldData>
        </w:fldChar>
      </w:r>
      <w:r w:rsidR="00600DC7">
        <w:instrText xml:space="preserve"> ADDIN  \* MERGEFORMAT </w:instrText>
      </w:r>
      <w:r w:rsidR="00600DC7">
        <w:fldChar w:fldCharType="end"/>
      </w:r>
      <w:r w:rsidR="003F3021">
        <w:fldChar w:fldCharType="begin">
          <w:fldData xml:space="preserve">RABvAGMAVABlAG0AcAAxAFYAYQByAFQAcgBhAGQAaQB0AGkAbwBuAGEAbAA=
</w:fldData>
        </w:fldChar>
      </w:r>
      <w:r w:rsidR="003F3021">
        <w:instrText xml:space="preserve"> ADDIN  \* MERGEFORMAT </w:instrText>
      </w:r>
      <w:r w:rsidR="003F3021">
        <w:fldChar w:fldCharType="end"/>
      </w:r>
      <w:r w:rsidR="003F3021">
        <w:fldChar w:fldCharType="begin">
          <w:fldData xml:space="preserve">RgBvAG4AdABTAGUAdABpAG0AaQBzAHQAeQBsAGUAcwAuAHgAbQBsAA==
</w:fldData>
        </w:fldChar>
      </w:r>
      <w:r w:rsidR="003F3021">
        <w:instrText xml:space="preserve"> ADDIN  \* MERGEFORMAT </w:instrText>
      </w:r>
      <w:r w:rsidR="003F3021">
        <w:fldChar w:fldCharType="end"/>
      </w:r>
      <w:r w:rsidR="00D33A6E">
        <w:fldChar w:fldCharType="begin">
          <w:fldData xml:space="preserve">RABvAGMAVABlAG0AcAAxAFYAYQByAFQAcgBhAGQAaQB0AGkAbwBuAGEAbAA=
</w:fldData>
        </w:fldChar>
      </w:r>
      <w:r w:rsidR="00D33A6E">
        <w:instrText xml:space="preserve"> ADDIN  \* MERGEFORMAT </w:instrText>
      </w:r>
      <w:r w:rsidR="00D33A6E">
        <w:fldChar w:fldCharType="end"/>
      </w:r>
      <w:r w:rsidR="00D33A6E">
        <w:fldChar w:fldCharType="begin">
          <w:fldData xml:space="preserve">RgBvAG4AdABTAGUAdABpAG0AaQBzAHQAeQBsAGUAcwAuAHgAbQBsAA==
</w:fldData>
        </w:fldChar>
      </w:r>
      <w:r w:rsidR="00D33A6E">
        <w:instrText xml:space="preserve"> ADDIN  \* MERGEFORMAT </w:instrText>
      </w:r>
      <w:r w:rsidR="00D33A6E">
        <w:fldChar w:fldCharType="end"/>
      </w:r>
      <w:r w:rsidR="0055453E">
        <w:fldChar w:fldCharType="begin">
          <w:fldData xml:space="preserve">RABvAGMAVABlAG0AcAAxAFYAYQByAFQAcgBhAGQAaQB0AGkAbwBuAGEAbAA=
</w:fldData>
        </w:fldChar>
      </w:r>
      <w:r w:rsidR="0055453E">
        <w:instrText xml:space="preserve"> ADDIN  \* MERGEFORMAT </w:instrText>
      </w:r>
      <w:r w:rsidR="0055453E">
        <w:fldChar w:fldCharType="end"/>
      </w:r>
      <w:r w:rsidR="0055453E">
        <w:fldChar w:fldCharType="begin">
          <w:fldData xml:space="preserve">RgBvAG4AdABTAGUAdABpAG0AaQBzAHQAeQBsAGUAcwAuAHgAbQBsAA==
</w:fldData>
        </w:fldChar>
      </w:r>
      <w:r w:rsidR="0055453E">
        <w:instrText xml:space="preserve"> ADDIN  \* MERGEFORMAT </w:instrText>
      </w:r>
      <w:r w:rsidR="0055453E">
        <w:fldChar w:fldCharType="end"/>
      </w:r>
      <w:r w:rsidR="00E67135">
        <w:fldChar w:fldCharType="begin">
          <w:fldData xml:space="preserve">RABvAGMAVABlAG0AcAAxAFYAYQByAFQAcgBhAGQAaQB0AGkAbwBuAGEAbAA=
</w:fldData>
        </w:fldChar>
      </w:r>
      <w:r w:rsidR="00E67135">
        <w:instrText xml:space="preserve"> ADDIN  \* MERGEFORMAT </w:instrText>
      </w:r>
      <w:r w:rsidR="00E67135">
        <w:fldChar w:fldCharType="end"/>
      </w:r>
      <w:r w:rsidR="00E67135">
        <w:fldChar w:fldCharType="begin">
          <w:fldData xml:space="preserve">RgBvAG4AdABTAGUAdABpAG0AaQBzAHQAeQBsAGUAcwAuAHgAbQBsAA==
</w:fldData>
        </w:fldChar>
      </w:r>
      <w:r w:rsidR="00E67135">
        <w:instrText xml:space="preserve"> ADDIN  \* MERGEFORMAT </w:instrText>
      </w:r>
      <w:r w:rsidR="00E67135">
        <w:fldChar w:fldCharType="end"/>
      </w:r>
    </w:p>
    <w:sectPr w:rsidR="007D5B97" w:rsidSect="00237C22">
      <w:footerReference w:type="even" r:id="rId11"/>
      <w:footerReference w:type="default" r:id="rId12"/>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FB735" w14:textId="77777777" w:rsidR="003B1153" w:rsidRDefault="003B1153" w:rsidP="00C765C7">
      <w:r>
        <w:separator/>
      </w:r>
    </w:p>
  </w:endnote>
  <w:endnote w:type="continuationSeparator" w:id="0">
    <w:p w14:paraId="17F1CDFE" w14:textId="77777777" w:rsidR="003B1153" w:rsidRDefault="003B1153"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106A3"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785A3A" w14:textId="77777777" w:rsidR="00237C22" w:rsidRDefault="00237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DB603" w14:textId="77777777" w:rsidR="00237C22" w:rsidRPr="00BB7DE1" w:rsidRDefault="00237C22">
    <w:pPr>
      <w:pStyle w:val="Footer"/>
      <w:framePr w:wrap="around" w:vAnchor="text" w:hAnchor="margin" w:xAlign="center" w:y="1"/>
      <w:rPr>
        <w:rStyle w:val="PageNumber"/>
        <w:lang w:val="en-US"/>
      </w:rPr>
    </w:pPr>
  </w:p>
  <w:p w14:paraId="1ACC4C49" w14:textId="77777777" w:rsidR="00237C22" w:rsidRDefault="00237C22" w:rsidP="00237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F40BC" w14:textId="77777777" w:rsidR="003B1153" w:rsidRDefault="003B1153" w:rsidP="00C765C7">
      <w:r>
        <w:separator/>
      </w:r>
    </w:p>
  </w:footnote>
  <w:footnote w:type="continuationSeparator" w:id="0">
    <w:p w14:paraId="3C94BCA2" w14:textId="77777777" w:rsidR="003B1153" w:rsidRDefault="003B1153" w:rsidP="00C76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bullet="t">
        <v:imagedata r:id="rId1" o:title="fspro_2columns"/>
      </v:shape>
    </w:pict>
  </w:numPicBullet>
  <w:numPicBullet w:numPicBulletId="1">
    <w:pict>
      <v:shape id="_x0000_i1031" type="#_x0000_t75" style="width:12pt;height:12pt" o:bullet="t">
        <v:imagedata r:id="rId2" o:title="advanced"/>
      </v:shape>
    </w:pict>
  </w:numPicBullet>
  <w:numPicBullet w:numPicBulletId="2">
    <w:pict>
      <v:shape id="_x0000_i1032" type="#_x0000_t75" style="width:12pt;height:12pt" o:bullet="t">
        <v:imagedata r:id="rId3" o:title="continue"/>
      </v:shape>
    </w:pict>
  </w:numPicBullet>
  <w:numPicBullet w:numPicBulletId="3">
    <w:pict>
      <v:shape id="_x0000_i1033" type="#_x0000_t75" style="width:12pt;height:12pt" o:bullet="t">
        <v:imagedata r:id="rId4" o:title="webpage"/>
      </v:shape>
    </w:pict>
  </w:numPicBullet>
  <w:abstractNum w:abstractNumId="0" w15:restartNumberingAfterBreak="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6B4C78"/>
    <w:multiLevelType w:val="singleLevel"/>
    <w:tmpl w:val="B4525DB6"/>
    <w:lvl w:ilvl="0">
      <w:start w:val="1"/>
      <w:numFmt w:val="bullet"/>
      <w:lvlText w:val=""/>
      <w:lvlJc w:val="left"/>
      <w:pPr>
        <w:tabs>
          <w:tab w:val="num" w:pos="533"/>
        </w:tabs>
        <w:ind w:left="533" w:hanging="360"/>
      </w:pPr>
      <w:rPr>
        <w:rFonts w:ascii="Symbol" w:hAnsi="Symbol" w:hint="default"/>
        <w:color w:val="auto"/>
      </w:rPr>
    </w:lvl>
  </w:abstractNum>
  <w:abstractNum w:abstractNumId="7" w15:restartNumberingAfterBreak="0">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5"/>
  </w:num>
  <w:num w:numId="3">
    <w:abstractNumId w:val="0"/>
  </w:num>
  <w:num w:numId="4">
    <w:abstractNumId w:val="7"/>
  </w:num>
  <w:num w:numId="5">
    <w:abstractNumId w:val="4"/>
  </w:num>
  <w:num w:numId="6">
    <w:abstractNumId w:val="3"/>
  </w:num>
  <w:num w:numId="7">
    <w:abstractNumId w:val="8"/>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Temp1Var" w:val="Traditional"/>
    <w:docVar w:name="FontSet" w:val="imistyles.xml"/>
  </w:docVars>
  <w:rsids>
    <w:rsidRoot w:val="00FF26A6"/>
    <w:rsid w:val="00002A1E"/>
    <w:rsid w:val="00014A89"/>
    <w:rsid w:val="000252C6"/>
    <w:rsid w:val="000256FB"/>
    <w:rsid w:val="00093228"/>
    <w:rsid w:val="000A1A8A"/>
    <w:rsid w:val="000A7776"/>
    <w:rsid w:val="000B7018"/>
    <w:rsid w:val="000E1696"/>
    <w:rsid w:val="000E320F"/>
    <w:rsid w:val="00100433"/>
    <w:rsid w:val="0010215F"/>
    <w:rsid w:val="00106EEF"/>
    <w:rsid w:val="00120103"/>
    <w:rsid w:val="00123973"/>
    <w:rsid w:val="001253ED"/>
    <w:rsid w:val="00186D46"/>
    <w:rsid w:val="001B3F58"/>
    <w:rsid w:val="001C3AE3"/>
    <w:rsid w:val="001C3EB5"/>
    <w:rsid w:val="001C739F"/>
    <w:rsid w:val="001F3776"/>
    <w:rsid w:val="002041BE"/>
    <w:rsid w:val="00205C50"/>
    <w:rsid w:val="002220F1"/>
    <w:rsid w:val="00237C22"/>
    <w:rsid w:val="00240624"/>
    <w:rsid w:val="00264204"/>
    <w:rsid w:val="00271962"/>
    <w:rsid w:val="0027298D"/>
    <w:rsid w:val="002A1D3E"/>
    <w:rsid w:val="002B7A7E"/>
    <w:rsid w:val="002F5B21"/>
    <w:rsid w:val="002F7397"/>
    <w:rsid w:val="00303764"/>
    <w:rsid w:val="00311F26"/>
    <w:rsid w:val="00332B80"/>
    <w:rsid w:val="00341981"/>
    <w:rsid w:val="00352178"/>
    <w:rsid w:val="00366D36"/>
    <w:rsid w:val="00386999"/>
    <w:rsid w:val="003A5220"/>
    <w:rsid w:val="003A6EF3"/>
    <w:rsid w:val="003B1153"/>
    <w:rsid w:val="003B2927"/>
    <w:rsid w:val="003B765E"/>
    <w:rsid w:val="003D47AF"/>
    <w:rsid w:val="003E2CA2"/>
    <w:rsid w:val="003F3021"/>
    <w:rsid w:val="003F6048"/>
    <w:rsid w:val="003F672A"/>
    <w:rsid w:val="00401EAD"/>
    <w:rsid w:val="0040351B"/>
    <w:rsid w:val="0041026E"/>
    <w:rsid w:val="00421403"/>
    <w:rsid w:val="00422836"/>
    <w:rsid w:val="00435BA5"/>
    <w:rsid w:val="00437647"/>
    <w:rsid w:val="00450FD6"/>
    <w:rsid w:val="00455EF7"/>
    <w:rsid w:val="004562CC"/>
    <w:rsid w:val="00464898"/>
    <w:rsid w:val="00465E2D"/>
    <w:rsid w:val="00471ECA"/>
    <w:rsid w:val="00482FA3"/>
    <w:rsid w:val="0048559D"/>
    <w:rsid w:val="00494175"/>
    <w:rsid w:val="004A0832"/>
    <w:rsid w:val="004B0E66"/>
    <w:rsid w:val="004C24FC"/>
    <w:rsid w:val="004E3AF3"/>
    <w:rsid w:val="004F375E"/>
    <w:rsid w:val="00504F80"/>
    <w:rsid w:val="00506485"/>
    <w:rsid w:val="00513DA7"/>
    <w:rsid w:val="00516C82"/>
    <w:rsid w:val="005238CB"/>
    <w:rsid w:val="00526F0E"/>
    <w:rsid w:val="0055453E"/>
    <w:rsid w:val="00594258"/>
    <w:rsid w:val="005A24DF"/>
    <w:rsid w:val="005C2AD9"/>
    <w:rsid w:val="005D3508"/>
    <w:rsid w:val="005E4363"/>
    <w:rsid w:val="00600DC7"/>
    <w:rsid w:val="0060514F"/>
    <w:rsid w:val="0062068D"/>
    <w:rsid w:val="006317AA"/>
    <w:rsid w:val="006473C3"/>
    <w:rsid w:val="006708D7"/>
    <w:rsid w:val="0067258D"/>
    <w:rsid w:val="00673296"/>
    <w:rsid w:val="006837E0"/>
    <w:rsid w:val="006B7262"/>
    <w:rsid w:val="006C08B8"/>
    <w:rsid w:val="006C3E5F"/>
    <w:rsid w:val="006C48FF"/>
    <w:rsid w:val="006D10E5"/>
    <w:rsid w:val="006D52FE"/>
    <w:rsid w:val="006E5CBA"/>
    <w:rsid w:val="006F6D37"/>
    <w:rsid w:val="00724248"/>
    <w:rsid w:val="00732186"/>
    <w:rsid w:val="00737049"/>
    <w:rsid w:val="00786AF4"/>
    <w:rsid w:val="00794D24"/>
    <w:rsid w:val="007A0C5F"/>
    <w:rsid w:val="007D5B97"/>
    <w:rsid w:val="007E5515"/>
    <w:rsid w:val="0080590C"/>
    <w:rsid w:val="008144E7"/>
    <w:rsid w:val="00822A16"/>
    <w:rsid w:val="0082443C"/>
    <w:rsid w:val="0086475B"/>
    <w:rsid w:val="0086553E"/>
    <w:rsid w:val="00875AFA"/>
    <w:rsid w:val="0088609E"/>
    <w:rsid w:val="008B4CB5"/>
    <w:rsid w:val="008C723F"/>
    <w:rsid w:val="008D12C3"/>
    <w:rsid w:val="008D458B"/>
    <w:rsid w:val="008E22CF"/>
    <w:rsid w:val="008E5824"/>
    <w:rsid w:val="008E589A"/>
    <w:rsid w:val="008F14EA"/>
    <w:rsid w:val="008F1D5B"/>
    <w:rsid w:val="00907CF3"/>
    <w:rsid w:val="00916AE6"/>
    <w:rsid w:val="00916D58"/>
    <w:rsid w:val="00933BDB"/>
    <w:rsid w:val="00934BB9"/>
    <w:rsid w:val="00945950"/>
    <w:rsid w:val="009769CD"/>
    <w:rsid w:val="009915D0"/>
    <w:rsid w:val="00997D98"/>
    <w:rsid w:val="009C22C8"/>
    <w:rsid w:val="009C6B2E"/>
    <w:rsid w:val="009E5F2A"/>
    <w:rsid w:val="009E6E1A"/>
    <w:rsid w:val="00A01AF7"/>
    <w:rsid w:val="00A142C3"/>
    <w:rsid w:val="00A2703B"/>
    <w:rsid w:val="00A315CB"/>
    <w:rsid w:val="00A3579D"/>
    <w:rsid w:val="00A55356"/>
    <w:rsid w:val="00A557BB"/>
    <w:rsid w:val="00A8520D"/>
    <w:rsid w:val="00AB59F0"/>
    <w:rsid w:val="00AC2993"/>
    <w:rsid w:val="00AC43CF"/>
    <w:rsid w:val="00AD0EDC"/>
    <w:rsid w:val="00AE64CB"/>
    <w:rsid w:val="00AF07D6"/>
    <w:rsid w:val="00AF2CD6"/>
    <w:rsid w:val="00B023CC"/>
    <w:rsid w:val="00B0548B"/>
    <w:rsid w:val="00B0698F"/>
    <w:rsid w:val="00B30D2F"/>
    <w:rsid w:val="00B42B9E"/>
    <w:rsid w:val="00B50AD7"/>
    <w:rsid w:val="00B64F2F"/>
    <w:rsid w:val="00B858F9"/>
    <w:rsid w:val="00B87E0B"/>
    <w:rsid w:val="00B93A3C"/>
    <w:rsid w:val="00B96287"/>
    <w:rsid w:val="00B9756B"/>
    <w:rsid w:val="00BB3345"/>
    <w:rsid w:val="00BB7DE1"/>
    <w:rsid w:val="00BC4A0D"/>
    <w:rsid w:val="00BE4539"/>
    <w:rsid w:val="00BF7FE3"/>
    <w:rsid w:val="00C01C00"/>
    <w:rsid w:val="00C0404B"/>
    <w:rsid w:val="00C24D50"/>
    <w:rsid w:val="00C273AD"/>
    <w:rsid w:val="00C72D10"/>
    <w:rsid w:val="00C765C7"/>
    <w:rsid w:val="00CC2F46"/>
    <w:rsid w:val="00CD2D08"/>
    <w:rsid w:val="00D33A6E"/>
    <w:rsid w:val="00D36508"/>
    <w:rsid w:val="00D560DE"/>
    <w:rsid w:val="00D57B91"/>
    <w:rsid w:val="00D61497"/>
    <w:rsid w:val="00D77146"/>
    <w:rsid w:val="00D823AF"/>
    <w:rsid w:val="00D87741"/>
    <w:rsid w:val="00D9207B"/>
    <w:rsid w:val="00DA11C2"/>
    <w:rsid w:val="00DB074F"/>
    <w:rsid w:val="00DB2902"/>
    <w:rsid w:val="00DB743E"/>
    <w:rsid w:val="00DD22A9"/>
    <w:rsid w:val="00DE0E35"/>
    <w:rsid w:val="00DE31A0"/>
    <w:rsid w:val="00DF44AC"/>
    <w:rsid w:val="00E2529E"/>
    <w:rsid w:val="00E36906"/>
    <w:rsid w:val="00E51D80"/>
    <w:rsid w:val="00E648E9"/>
    <w:rsid w:val="00E67135"/>
    <w:rsid w:val="00E77596"/>
    <w:rsid w:val="00E83C4D"/>
    <w:rsid w:val="00E964FD"/>
    <w:rsid w:val="00EC1471"/>
    <w:rsid w:val="00ED4D5E"/>
    <w:rsid w:val="00ED71C8"/>
    <w:rsid w:val="00F006B2"/>
    <w:rsid w:val="00F23FE2"/>
    <w:rsid w:val="00F3408B"/>
    <w:rsid w:val="00F43DFA"/>
    <w:rsid w:val="00F87670"/>
    <w:rsid w:val="00F87F72"/>
    <w:rsid w:val="00F90609"/>
    <w:rsid w:val="00FB6AD1"/>
    <w:rsid w:val="00FC7381"/>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54715"/>
  <w15:docId w15:val="{5F0A1CE0-81DA-489F-835E-792885D8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uiPriority w:val="99"/>
    <w:qFormat/>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uiPriority w:val="99"/>
    <w:qFormat/>
    <w:rsid w:val="008F14EA"/>
    <w:rPr>
      <w:szCs w:val="20"/>
    </w:rPr>
  </w:style>
  <w:style w:type="paragraph" w:customStyle="1" w:styleId="TableHeaderText">
    <w:name w:val="Table Header Text"/>
    <w:basedOn w:val="Normal"/>
    <w:uiPriority w:val="99"/>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97809">
      <w:bodyDiv w:val="1"/>
      <w:marLeft w:val="0"/>
      <w:marRight w:val="0"/>
      <w:marTop w:val="0"/>
      <w:marBottom w:val="0"/>
      <w:divBdr>
        <w:top w:val="none" w:sz="0" w:space="0" w:color="auto"/>
        <w:left w:val="none" w:sz="0" w:space="0" w:color="auto"/>
        <w:bottom w:val="none" w:sz="0" w:space="0" w:color="auto"/>
        <w:right w:val="none" w:sz="0" w:space="0" w:color="auto"/>
      </w:divBdr>
    </w:div>
    <w:div w:id="159883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ktibb\AppData\Roaming\Microsoft\Templates\Transmittal%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FE48CB5B765743BA7A98E3D3FC7AD9" ma:contentTypeVersion="0" ma:contentTypeDescription="Create a new document." ma:contentTypeScope="" ma:versionID="12dac2f692321332116df27b05dd9c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F55FE2-175B-4D19-B4BB-51FFB039E27D}">
  <ds:schemaRefs>
    <ds:schemaRef ds:uri="http://schemas.microsoft.com/office/2006/metadata/longProperties"/>
  </ds:schemaRefs>
</ds:datastoreItem>
</file>

<file path=customXml/itemProps2.xml><?xml version="1.0" encoding="utf-8"?>
<ds:datastoreItem xmlns:ds="http://schemas.openxmlformats.org/officeDocument/2006/customXml" ds:itemID="{1095C8F6-39DD-428C-BF62-64E1083DF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0BB3262-7E72-4827-AF20-6F4868708A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B0E5C3-A606-4E28-86F8-925CC17CA5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Transmittal Sheet</Template>
  <TotalTime>0</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capktibb</dc:creator>
  <cp:lastModifiedBy>Dixson, Chiquita, VBAVACO</cp:lastModifiedBy>
  <cp:revision>2</cp:revision>
  <dcterms:created xsi:type="dcterms:W3CDTF">2020-03-27T17:22:00Z</dcterms:created>
  <dcterms:modified xsi:type="dcterms:W3CDTF">2020-03-27T17:22:00Z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0x0101005BFE48CB5B765743BA7A98E3D3FC7AD9</vt:lpwstr>
  </property>
</Properties>
</file>