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9F71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772BD9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772BD9">
        <w:rPr>
          <w:rFonts w:ascii="Times New Roman" w:hAnsi="Times New Roman"/>
          <w:sz w:val="20"/>
        </w:rPr>
        <w:t>21</w:t>
      </w:r>
    </w:p>
    <w:p w14:paraId="567D9FAB" w14:textId="61B201E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F17C2F">
        <w:rPr>
          <w:b/>
          <w:bCs/>
          <w:sz w:val="20"/>
        </w:rPr>
        <w:t>March 20, 2020</w:t>
      </w:r>
      <w:r>
        <w:rPr>
          <w:b/>
          <w:bCs/>
          <w:sz w:val="20"/>
        </w:rPr>
        <w:tab/>
      </w:r>
    </w:p>
    <w:p w14:paraId="2C63595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A67EA05" w14:textId="77777777" w:rsidR="00504F80" w:rsidRDefault="00504F80" w:rsidP="00504F80">
      <w:pPr>
        <w:rPr>
          <w:b/>
          <w:bCs/>
          <w:sz w:val="20"/>
        </w:rPr>
      </w:pPr>
    </w:p>
    <w:p w14:paraId="7F89CC94" w14:textId="77777777" w:rsidR="00504F80" w:rsidRDefault="00AE64CB" w:rsidP="00504F80">
      <w:pPr>
        <w:pStyle w:val="Heading4"/>
      </w:pPr>
      <w:r>
        <w:t>Key Changes</w:t>
      </w:r>
    </w:p>
    <w:p w14:paraId="647A594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58EC0F2" w14:textId="77777777" w:rsidTr="00C24D50">
        <w:tc>
          <w:tcPr>
            <w:tcW w:w="1728" w:type="dxa"/>
          </w:tcPr>
          <w:p w14:paraId="44BEE67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A9BFA28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772BD9">
              <w:t>6</w:t>
            </w:r>
            <w:r w:rsidR="00794D24">
              <w:t>, Chapter</w:t>
            </w:r>
            <w:r w:rsidR="00772BD9">
              <w:t xml:space="preserve"> 21</w:t>
            </w:r>
            <w:r w:rsidR="005339B8">
              <w:t>.</w:t>
            </w:r>
          </w:p>
          <w:p w14:paraId="7CD8C0B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26569A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792B7E2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772BD9">
              <w:rPr>
                <w:b/>
              </w:rPr>
              <w:t>6</w:t>
            </w:r>
            <w:r>
              <w:rPr>
                <w:b/>
              </w:rPr>
              <w:t>, Chapter</w:t>
            </w:r>
            <w:r w:rsidR="00772BD9">
              <w:rPr>
                <w:b/>
              </w:rPr>
              <w:t xml:space="preserve"> 21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42A523E1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45E5337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41AB5513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64EB898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B08C34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A3891EC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5339B8">
              <w:rPr>
                <w:b/>
              </w:rPr>
              <w:t>-1,</w:t>
            </w:r>
            <w:r w:rsidR="00311F26">
              <w:rPr>
                <w:b/>
              </w:rPr>
              <w:t xml:space="preserve"> Part </w:t>
            </w:r>
            <w:r w:rsidR="00772BD9">
              <w:rPr>
                <w:b/>
              </w:rPr>
              <w:t>6</w:t>
            </w:r>
            <w:r w:rsidR="00311F26">
              <w:rPr>
                <w:b/>
              </w:rPr>
              <w:t>, Chapte</w:t>
            </w:r>
            <w:r w:rsidR="00772BD9">
              <w:rPr>
                <w:b/>
              </w:rPr>
              <w:t>r 21</w:t>
            </w:r>
            <w:r w:rsidRPr="009E5F2A">
              <w:t xml:space="preserve"> so that it flows more logically</w:t>
            </w:r>
          </w:p>
          <w:p w14:paraId="4742F2BC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E66F4A1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7EC3B8A0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408CD044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2696F3F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E9E10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2B217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67BBB47E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971B8" w14:textId="77777777" w:rsidR="0060514F" w:rsidRPr="0060514F" w:rsidRDefault="00CA1649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Explains the additional appeal rights granted to claimants under PL 115-55; explains that claimants will be provided timely notifications of a decision and their rights to appeal on VA Form 20-0998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C5B69" w14:textId="77777777" w:rsidR="0060514F" w:rsidRPr="0060514F" w:rsidRDefault="00DB64F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21.01</w:t>
            </w:r>
          </w:p>
        </w:tc>
      </w:tr>
      <w:tr w:rsidR="002A1D3E" w14:paraId="6C252E7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7082E73" w14:textId="77777777" w:rsidR="002A1D3E" w:rsidRPr="0060514F" w:rsidRDefault="00DE1BD8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</w:t>
            </w:r>
            <w:r w:rsidR="00AE2B58">
              <w:rPr>
                <w:b w:val="0"/>
              </w:rPr>
              <w:t xml:space="preserve">38 CFR 8.30 provides for review of specific types of insurance decisions, including: an application for benefits, a claim for benefits, decision on total disability income provision and reinstatement, decision finding fraud or reason for forfeiture of benefits </w:t>
            </w:r>
          </w:p>
        </w:tc>
        <w:tc>
          <w:tcPr>
            <w:tcW w:w="1058" w:type="pct"/>
            <w:shd w:val="clear" w:color="auto" w:fill="auto"/>
          </w:tcPr>
          <w:p w14:paraId="7FEAC219" w14:textId="77777777" w:rsidR="002A1D3E" w:rsidRPr="0060514F" w:rsidRDefault="00353F3B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21.02</w:t>
            </w:r>
          </w:p>
        </w:tc>
      </w:tr>
      <w:tr w:rsidR="002A1D3E" w14:paraId="3E2F8E9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97589E3" w14:textId="77777777" w:rsidR="002A1D3E" w:rsidRPr="0060514F" w:rsidRDefault="00CC694B" w:rsidP="00673296">
            <w:pPr>
              <w:pStyle w:val="TableText"/>
            </w:pPr>
            <w:r>
              <w:t>Explains t</w:t>
            </w:r>
            <w:r w:rsidR="00DE6947">
              <w:t>he specific elements that must be included in a notification letter to the claimant for decisions subject to review</w:t>
            </w:r>
          </w:p>
        </w:tc>
        <w:tc>
          <w:tcPr>
            <w:tcW w:w="1058" w:type="pct"/>
            <w:shd w:val="clear" w:color="auto" w:fill="auto"/>
          </w:tcPr>
          <w:p w14:paraId="5D37BBE1" w14:textId="77777777" w:rsidR="002A1D3E" w:rsidRPr="0060514F" w:rsidRDefault="00DE6947" w:rsidP="00673296">
            <w:pPr>
              <w:pStyle w:val="TableText"/>
            </w:pPr>
            <w:r>
              <w:t>Subchapter 21.03</w:t>
            </w:r>
          </w:p>
        </w:tc>
      </w:tr>
      <w:tr w:rsidR="002A1D3E" w14:paraId="7C48F46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17E0741" w14:textId="77777777" w:rsidR="002A1D3E" w:rsidRPr="0060514F" w:rsidRDefault="006B1D18" w:rsidP="00673296">
            <w:pPr>
              <w:pStyle w:val="TableText"/>
            </w:pPr>
            <w:r>
              <w:t xml:space="preserve">Explains the </w:t>
            </w:r>
            <w:r w:rsidR="00AE0176">
              <w:t>options available to claimants who disagree with a decision by the Insurance Center: option to request a Supplemental Claim Review, option to request a Higher</w:t>
            </w:r>
            <w:r w:rsidR="00AF0489">
              <w:t>-</w:t>
            </w:r>
            <w:r w:rsidR="00AE0176">
              <w:t>Level Review, option to file a Notice of Disagreement with the Board of Veterans Appeals, option to file a c</w:t>
            </w:r>
            <w:r w:rsidR="00AF0489">
              <w:t xml:space="preserve">omplaint </w:t>
            </w:r>
            <w:r w:rsidR="00AE0176">
              <w:t>with the federal district court of jurisdictio</w:t>
            </w:r>
            <w:r w:rsidR="00AF0489">
              <w:t>n</w:t>
            </w:r>
          </w:p>
        </w:tc>
        <w:tc>
          <w:tcPr>
            <w:tcW w:w="1058" w:type="pct"/>
            <w:shd w:val="clear" w:color="auto" w:fill="auto"/>
          </w:tcPr>
          <w:p w14:paraId="1AE91EA2" w14:textId="77777777" w:rsidR="002A1D3E" w:rsidRPr="0060514F" w:rsidRDefault="0047611A" w:rsidP="00673296">
            <w:pPr>
              <w:pStyle w:val="TableText"/>
            </w:pPr>
            <w:r>
              <w:t>Subchapter 21.04</w:t>
            </w:r>
          </w:p>
        </w:tc>
      </w:tr>
      <w:tr w:rsidR="002A1D3E" w14:paraId="7C00F35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D52588" w14:textId="77777777" w:rsidR="002A1D3E" w:rsidRPr="0060514F" w:rsidRDefault="00F5010D" w:rsidP="00673296">
            <w:pPr>
              <w:pStyle w:val="TableText"/>
            </w:pPr>
            <w:r>
              <w:t>Explains that claimants who currently have an appeal pending in the legacy appeals process may choose to continue in that system, or they may opt to transfer t</w:t>
            </w:r>
            <w:r w:rsidR="00750E6A">
              <w:t>o the Supplemental Claim</w:t>
            </w:r>
            <w:r w:rsidR="00B70762">
              <w:t>s</w:t>
            </w:r>
            <w:r w:rsidR="00750E6A">
              <w:t xml:space="preserve"> Review </w:t>
            </w:r>
            <w:r w:rsidR="00B70762">
              <w:t>or</w:t>
            </w:r>
            <w:r w:rsidR="00750E6A">
              <w:t xml:space="preserve"> Higher-Level Review process</w:t>
            </w:r>
            <w:r w:rsidR="00DB6C9C">
              <w:t>; explains that claimants can opt in to the modernized appeals system if they received a Statement of the Case or Supplemental Statement of the Case prior to February 1</w:t>
            </w:r>
            <w:r w:rsidR="006904C7">
              <w:t>9</w:t>
            </w:r>
            <w:r w:rsidR="00DB6C9C">
              <w:t>, 2019</w:t>
            </w:r>
          </w:p>
        </w:tc>
        <w:tc>
          <w:tcPr>
            <w:tcW w:w="1058" w:type="pct"/>
            <w:shd w:val="clear" w:color="auto" w:fill="auto"/>
          </w:tcPr>
          <w:p w14:paraId="2D0D8DAD" w14:textId="77777777" w:rsidR="002A1D3E" w:rsidRPr="0060514F" w:rsidRDefault="00AF0489" w:rsidP="00673296">
            <w:pPr>
              <w:pStyle w:val="TableText"/>
            </w:pPr>
            <w:r>
              <w:t>Subchapter 21.05</w:t>
            </w:r>
          </w:p>
        </w:tc>
      </w:tr>
      <w:tr w:rsidR="00B70762" w14:paraId="67D6E87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B8389F3" w14:textId="77777777" w:rsidR="00B70762" w:rsidRDefault="006904C7" w:rsidP="00673296">
            <w:pPr>
              <w:pStyle w:val="TableText"/>
            </w:pPr>
            <w:r>
              <w:lastRenderedPageBreak/>
              <w:t>Explains th</w:t>
            </w:r>
            <w:r w:rsidR="00E37779">
              <w:t>e steps involved</w:t>
            </w:r>
            <w:r w:rsidR="00D556DA">
              <w:t xml:space="preserve"> and key data recorded</w:t>
            </w:r>
            <w:r w:rsidR="00E37779">
              <w:t xml:space="preserve"> in processing an appeal </w:t>
            </w:r>
            <w:r w:rsidR="00925A97">
              <w:t>under the Supplemental Claims Review or Higher-Level Review process</w:t>
            </w:r>
          </w:p>
        </w:tc>
        <w:tc>
          <w:tcPr>
            <w:tcW w:w="1058" w:type="pct"/>
            <w:shd w:val="clear" w:color="auto" w:fill="auto"/>
          </w:tcPr>
          <w:p w14:paraId="104FFE2E" w14:textId="77777777" w:rsidR="00B70762" w:rsidRDefault="00B70762" w:rsidP="00673296">
            <w:pPr>
              <w:pStyle w:val="TableText"/>
            </w:pPr>
            <w:r>
              <w:t>Subchapter 21.06</w:t>
            </w:r>
          </w:p>
        </w:tc>
      </w:tr>
      <w:tr w:rsidR="00925A97" w14:paraId="605BFE5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AA07764" w14:textId="77777777" w:rsidR="00925A97" w:rsidRDefault="009407B2" w:rsidP="00673296">
            <w:pPr>
              <w:pStyle w:val="TableText"/>
            </w:pPr>
            <w:r>
              <w:t xml:space="preserve">Explains that a decision favorable to the claimants in the modernized appeals process is not subject to reversal by any administrative or judicial authority </w:t>
            </w:r>
            <w:r w:rsidR="00171A40" w:rsidRPr="00171A40">
              <w:t xml:space="preserve">unless rebutted by clear and convincing evidence to the contrary. </w:t>
            </w:r>
          </w:p>
        </w:tc>
        <w:tc>
          <w:tcPr>
            <w:tcW w:w="1058" w:type="pct"/>
            <w:shd w:val="clear" w:color="auto" w:fill="auto"/>
          </w:tcPr>
          <w:p w14:paraId="39111B95" w14:textId="77777777" w:rsidR="00925A97" w:rsidRDefault="00925A97" w:rsidP="00673296">
            <w:pPr>
              <w:pStyle w:val="TableText"/>
            </w:pPr>
            <w:r>
              <w:t>Subchapter 21.07</w:t>
            </w:r>
          </w:p>
        </w:tc>
      </w:tr>
    </w:tbl>
    <w:p w14:paraId="44384570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2084C1D0" w14:textId="77777777" w:rsidTr="0060514F">
        <w:trPr>
          <w:trHeight w:val="330"/>
        </w:trPr>
        <w:tc>
          <w:tcPr>
            <w:tcW w:w="7380" w:type="dxa"/>
          </w:tcPr>
          <w:p w14:paraId="3DCCB5A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71609017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0DED0842" w14:textId="77777777" w:rsidTr="00673296">
        <w:trPr>
          <w:trHeight w:val="187"/>
        </w:trPr>
        <w:tc>
          <w:tcPr>
            <w:tcW w:w="7380" w:type="dxa"/>
          </w:tcPr>
          <w:p w14:paraId="200BFAFE" w14:textId="77777777" w:rsidR="0060514F" w:rsidRPr="0060514F" w:rsidRDefault="0060514F" w:rsidP="00673296"/>
        </w:tc>
        <w:tc>
          <w:tcPr>
            <w:tcW w:w="1980" w:type="dxa"/>
          </w:tcPr>
          <w:p w14:paraId="06A89F1E" w14:textId="77777777" w:rsidR="0060514F" w:rsidRPr="0060514F" w:rsidRDefault="0060514F" w:rsidP="00673296"/>
        </w:tc>
      </w:tr>
      <w:tr w:rsidR="0060514F" w:rsidRPr="004221F2" w14:paraId="38BFF993" w14:textId="77777777" w:rsidTr="00673296">
        <w:trPr>
          <w:trHeight w:val="187"/>
        </w:trPr>
        <w:tc>
          <w:tcPr>
            <w:tcW w:w="7380" w:type="dxa"/>
          </w:tcPr>
          <w:p w14:paraId="596294F5" w14:textId="77777777" w:rsidR="0060514F" w:rsidRPr="0060514F" w:rsidRDefault="0060514F" w:rsidP="00673296"/>
        </w:tc>
        <w:tc>
          <w:tcPr>
            <w:tcW w:w="1980" w:type="dxa"/>
          </w:tcPr>
          <w:p w14:paraId="35F951B2" w14:textId="77777777" w:rsidR="0060514F" w:rsidRPr="0060514F" w:rsidRDefault="0060514F" w:rsidP="00673296"/>
        </w:tc>
      </w:tr>
      <w:tr w:rsidR="0060514F" w:rsidRPr="004221F2" w14:paraId="32A2258B" w14:textId="77777777" w:rsidTr="00673296">
        <w:trPr>
          <w:trHeight w:val="187"/>
        </w:trPr>
        <w:tc>
          <w:tcPr>
            <w:tcW w:w="7380" w:type="dxa"/>
          </w:tcPr>
          <w:p w14:paraId="37D64310" w14:textId="77777777" w:rsidR="0060514F" w:rsidRPr="0060514F" w:rsidRDefault="0060514F" w:rsidP="00673296"/>
        </w:tc>
        <w:tc>
          <w:tcPr>
            <w:tcW w:w="1980" w:type="dxa"/>
          </w:tcPr>
          <w:p w14:paraId="31D77B4E" w14:textId="77777777" w:rsidR="0060514F" w:rsidRPr="0060514F" w:rsidRDefault="0060514F" w:rsidP="00673296"/>
        </w:tc>
      </w:tr>
    </w:tbl>
    <w:p w14:paraId="118726E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49ACC2" w14:textId="77777777" w:rsidTr="00237C22">
        <w:tc>
          <w:tcPr>
            <w:tcW w:w="1728" w:type="dxa"/>
          </w:tcPr>
          <w:p w14:paraId="08EC4AD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C006C5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075764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2CD2E6" w14:textId="77777777" w:rsidTr="00237C22">
        <w:tc>
          <w:tcPr>
            <w:tcW w:w="1728" w:type="dxa"/>
          </w:tcPr>
          <w:p w14:paraId="0546650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89F312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8A38A9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602282" w14:textId="77777777" w:rsidTr="00237C22">
        <w:tc>
          <w:tcPr>
            <w:tcW w:w="1728" w:type="dxa"/>
          </w:tcPr>
          <w:p w14:paraId="6509605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3C178AB" w14:textId="77777777" w:rsidR="00504F80" w:rsidRPr="00B4163A" w:rsidRDefault="00504F80" w:rsidP="00237C22">
            <w:pPr>
              <w:pStyle w:val="BlockText"/>
            </w:pPr>
          </w:p>
          <w:p w14:paraId="203EFF2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BCF5C80" w14:textId="4A575F68" w:rsidR="005C2AD9" w:rsidRDefault="00F17C2F" w:rsidP="005C2AD9">
            <w:r>
              <w:t xml:space="preserve">Timothy </w:t>
            </w:r>
            <w:proofErr w:type="spellStart"/>
            <w:r>
              <w:t>Sirhal</w:t>
            </w:r>
            <w:proofErr w:type="spellEnd"/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4D1C7277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1E18C8E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E4904E3" w14:textId="77777777" w:rsidTr="00237C22">
        <w:tc>
          <w:tcPr>
            <w:tcW w:w="1728" w:type="dxa"/>
          </w:tcPr>
          <w:p w14:paraId="37E0A43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009428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24D50E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B24AE77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519F" w14:textId="77777777" w:rsidR="006E12E1" w:rsidRDefault="006E12E1" w:rsidP="00C765C7">
      <w:r>
        <w:separator/>
      </w:r>
    </w:p>
  </w:endnote>
  <w:endnote w:type="continuationSeparator" w:id="0">
    <w:p w14:paraId="270AF624" w14:textId="77777777" w:rsidR="006E12E1" w:rsidRDefault="006E12E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A34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FF3D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15CA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4F98BDF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6696" w14:textId="77777777" w:rsidR="006E12E1" w:rsidRDefault="006E12E1" w:rsidP="00C765C7">
      <w:r>
        <w:separator/>
      </w:r>
    </w:p>
  </w:footnote>
  <w:footnote w:type="continuationSeparator" w:id="0">
    <w:p w14:paraId="22764FDE" w14:textId="77777777" w:rsidR="006E12E1" w:rsidRDefault="006E12E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71A40"/>
    <w:rsid w:val="00186D46"/>
    <w:rsid w:val="001B3F58"/>
    <w:rsid w:val="001C3AE3"/>
    <w:rsid w:val="001C3EB5"/>
    <w:rsid w:val="0020282F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53F3B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7116"/>
    <w:rsid w:val="00471ECA"/>
    <w:rsid w:val="0047611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339B8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904C7"/>
    <w:rsid w:val="006B1D18"/>
    <w:rsid w:val="006B7262"/>
    <w:rsid w:val="006C3E5F"/>
    <w:rsid w:val="006C48FF"/>
    <w:rsid w:val="006D10E5"/>
    <w:rsid w:val="006D52FE"/>
    <w:rsid w:val="006E12E1"/>
    <w:rsid w:val="006E5CBA"/>
    <w:rsid w:val="006F6D37"/>
    <w:rsid w:val="00720E23"/>
    <w:rsid w:val="00724248"/>
    <w:rsid w:val="00732186"/>
    <w:rsid w:val="00737049"/>
    <w:rsid w:val="00750E6A"/>
    <w:rsid w:val="00772BD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5A97"/>
    <w:rsid w:val="00933BDB"/>
    <w:rsid w:val="009407B2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0176"/>
    <w:rsid w:val="00AE2B58"/>
    <w:rsid w:val="00AE64CB"/>
    <w:rsid w:val="00AF0489"/>
    <w:rsid w:val="00AF2CD6"/>
    <w:rsid w:val="00B023CC"/>
    <w:rsid w:val="00B0548B"/>
    <w:rsid w:val="00B30D2F"/>
    <w:rsid w:val="00B50AD7"/>
    <w:rsid w:val="00B64F2F"/>
    <w:rsid w:val="00B70762"/>
    <w:rsid w:val="00B858F9"/>
    <w:rsid w:val="00B93A3C"/>
    <w:rsid w:val="00B96287"/>
    <w:rsid w:val="00B9752B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A1649"/>
    <w:rsid w:val="00CC694B"/>
    <w:rsid w:val="00CD2D08"/>
    <w:rsid w:val="00D33A6E"/>
    <w:rsid w:val="00D36508"/>
    <w:rsid w:val="00D556DA"/>
    <w:rsid w:val="00D578A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64FB"/>
    <w:rsid w:val="00DB6C9C"/>
    <w:rsid w:val="00DB743E"/>
    <w:rsid w:val="00DD22A9"/>
    <w:rsid w:val="00DE0E35"/>
    <w:rsid w:val="00DE1BD8"/>
    <w:rsid w:val="00DE6947"/>
    <w:rsid w:val="00DF44AC"/>
    <w:rsid w:val="00E2529E"/>
    <w:rsid w:val="00E32FFC"/>
    <w:rsid w:val="00E36906"/>
    <w:rsid w:val="00E37779"/>
    <w:rsid w:val="00E648E9"/>
    <w:rsid w:val="00E67135"/>
    <w:rsid w:val="00E77596"/>
    <w:rsid w:val="00E964FD"/>
    <w:rsid w:val="00E97211"/>
    <w:rsid w:val="00ED4D5E"/>
    <w:rsid w:val="00ED71C8"/>
    <w:rsid w:val="00EE4E24"/>
    <w:rsid w:val="00F006B2"/>
    <w:rsid w:val="00F17C2F"/>
    <w:rsid w:val="00F43DFA"/>
    <w:rsid w:val="00F5010D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6EF2A"/>
  <w15:docId w15:val="{5F0A1CE0-81DA-489F-835E-792885D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para18">
    <w:name w:val="para18"/>
    <w:rsid w:val="00171A40"/>
    <w:pPr>
      <w:suppressLineNumbers/>
      <w:tabs>
        <w:tab w:val="left" w:pos="560"/>
      </w:tabs>
      <w:overflowPunct w:val="0"/>
      <w:autoSpaceDE w:val="0"/>
      <w:autoSpaceDN w:val="0"/>
      <w:adjustRightInd w:val="0"/>
      <w:ind w:firstLine="260"/>
      <w:jc w:val="both"/>
      <w:textAlignment w:val="baseline"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2020-03-27T17:19:00Z</dcterms:created>
  <dcterms:modified xsi:type="dcterms:W3CDTF">2020-03-27T17:19:00Z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