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472DB" w14:textId="77777777" w:rsidR="00504F80" w:rsidRPr="0034259C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 w:rsidRPr="0034259C">
        <w:rPr>
          <w:rFonts w:ascii="Times New Roman" w:hAnsi="Times New Roman"/>
          <w:sz w:val="20"/>
        </w:rPr>
        <w:t xml:space="preserve">Department </w:t>
      </w:r>
      <w:r w:rsidR="00311F26" w:rsidRPr="0034259C">
        <w:rPr>
          <w:rFonts w:ascii="Times New Roman" w:hAnsi="Times New Roman"/>
          <w:sz w:val="20"/>
        </w:rPr>
        <w:t>of Veterans Affairs</w:t>
      </w:r>
      <w:r w:rsidR="00311F26" w:rsidRPr="0034259C">
        <w:rPr>
          <w:rFonts w:ascii="Times New Roman" w:hAnsi="Times New Roman"/>
          <w:sz w:val="20"/>
        </w:rPr>
        <w:tab/>
        <w:t xml:space="preserve">M29-1, Part </w:t>
      </w:r>
      <w:r w:rsidR="005F7ADD" w:rsidRPr="0034259C">
        <w:rPr>
          <w:rFonts w:ascii="Times New Roman" w:hAnsi="Times New Roman"/>
          <w:sz w:val="20"/>
        </w:rPr>
        <w:t>6</w:t>
      </w:r>
      <w:r w:rsidR="00311F26" w:rsidRPr="0034259C">
        <w:rPr>
          <w:rFonts w:ascii="Times New Roman" w:hAnsi="Times New Roman"/>
          <w:sz w:val="20"/>
        </w:rPr>
        <w:t xml:space="preserve">, Chapter </w:t>
      </w:r>
      <w:r w:rsidR="005F7ADD" w:rsidRPr="0034259C">
        <w:rPr>
          <w:rFonts w:ascii="Times New Roman" w:hAnsi="Times New Roman"/>
          <w:sz w:val="20"/>
        </w:rPr>
        <w:t>17</w:t>
      </w:r>
    </w:p>
    <w:p w14:paraId="5746F34E" w14:textId="6A86D363" w:rsidR="00504F80" w:rsidRPr="0034259C" w:rsidRDefault="00504F80" w:rsidP="00504F80">
      <w:pPr>
        <w:rPr>
          <w:b/>
          <w:bCs/>
          <w:sz w:val="20"/>
        </w:rPr>
      </w:pPr>
      <w:r w:rsidRPr="0034259C">
        <w:rPr>
          <w:b/>
          <w:bCs/>
          <w:sz w:val="20"/>
        </w:rPr>
        <w:t>Veterans Benefits Administration</w:t>
      </w:r>
      <w:r w:rsidRPr="0034259C">
        <w:rPr>
          <w:b/>
          <w:bCs/>
          <w:sz w:val="20"/>
        </w:rPr>
        <w:tab/>
      </w:r>
      <w:r w:rsidRPr="0034259C">
        <w:rPr>
          <w:b/>
          <w:bCs/>
          <w:sz w:val="20"/>
        </w:rPr>
        <w:tab/>
      </w:r>
      <w:r w:rsidRPr="0034259C">
        <w:rPr>
          <w:b/>
          <w:bCs/>
          <w:sz w:val="20"/>
        </w:rPr>
        <w:tab/>
      </w:r>
      <w:r w:rsidRPr="0034259C">
        <w:rPr>
          <w:b/>
          <w:bCs/>
          <w:sz w:val="20"/>
        </w:rPr>
        <w:tab/>
      </w:r>
      <w:r w:rsidRPr="0034259C">
        <w:rPr>
          <w:b/>
          <w:bCs/>
          <w:sz w:val="20"/>
        </w:rPr>
        <w:tab/>
      </w:r>
      <w:r w:rsidRPr="0034259C">
        <w:rPr>
          <w:b/>
          <w:bCs/>
          <w:sz w:val="20"/>
        </w:rPr>
        <w:tab/>
      </w:r>
      <w:r w:rsidR="00CA2EF1">
        <w:rPr>
          <w:b/>
          <w:bCs/>
          <w:sz w:val="20"/>
        </w:rPr>
        <w:tab/>
        <w:t xml:space="preserve">           March 19, 2020</w:t>
      </w:r>
      <w:r w:rsidRPr="0034259C">
        <w:rPr>
          <w:b/>
          <w:bCs/>
          <w:sz w:val="20"/>
        </w:rPr>
        <w:tab/>
      </w:r>
    </w:p>
    <w:p w14:paraId="57F0D692" w14:textId="77777777" w:rsidR="00504F80" w:rsidRPr="0034259C" w:rsidRDefault="00504F80" w:rsidP="00504F80">
      <w:pPr>
        <w:rPr>
          <w:b/>
          <w:bCs/>
          <w:sz w:val="20"/>
        </w:rPr>
      </w:pPr>
      <w:r w:rsidRPr="0034259C">
        <w:rPr>
          <w:b/>
          <w:bCs/>
          <w:sz w:val="20"/>
        </w:rPr>
        <w:t>Washington, DC  20420</w:t>
      </w:r>
    </w:p>
    <w:p w14:paraId="4D6473B5" w14:textId="77777777" w:rsidR="00504F80" w:rsidRPr="0034259C" w:rsidRDefault="00504F80" w:rsidP="00504F80">
      <w:pPr>
        <w:rPr>
          <w:b/>
          <w:bCs/>
          <w:sz w:val="20"/>
        </w:rPr>
      </w:pPr>
    </w:p>
    <w:p w14:paraId="21B7CA56" w14:textId="77777777" w:rsidR="00504F80" w:rsidRPr="0034259C" w:rsidRDefault="00AE64CB" w:rsidP="00504F80">
      <w:pPr>
        <w:pStyle w:val="Heading4"/>
      </w:pPr>
      <w:r w:rsidRPr="0034259C">
        <w:t>Key Changes</w:t>
      </w:r>
    </w:p>
    <w:p w14:paraId="22DA0815" w14:textId="77777777" w:rsidR="00504F80" w:rsidRPr="0034259C" w:rsidRDefault="00504F80" w:rsidP="00504F80">
      <w:pPr>
        <w:pStyle w:val="BlockLine"/>
      </w:pPr>
      <w:r w:rsidRPr="0034259C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34259C" w14:paraId="323E7EF5" w14:textId="77777777" w:rsidTr="00C24D50">
        <w:tc>
          <w:tcPr>
            <w:tcW w:w="1728" w:type="dxa"/>
          </w:tcPr>
          <w:p w14:paraId="2174C202" w14:textId="77777777" w:rsidR="00504F80" w:rsidRPr="0034259C" w:rsidRDefault="00504F80" w:rsidP="00237C22">
            <w:pPr>
              <w:pStyle w:val="Heading5"/>
            </w:pPr>
            <w:r w:rsidRPr="0034259C">
              <w:t>Changes Included in This Revision</w:t>
            </w:r>
          </w:p>
        </w:tc>
        <w:tc>
          <w:tcPr>
            <w:tcW w:w="7740" w:type="dxa"/>
          </w:tcPr>
          <w:p w14:paraId="174378EE" w14:textId="77777777" w:rsidR="00504F80" w:rsidRPr="0034259C" w:rsidRDefault="00504F80" w:rsidP="00237C22">
            <w:pPr>
              <w:pStyle w:val="BlockText"/>
            </w:pPr>
            <w:r w:rsidRPr="0034259C">
              <w:t>The table below describes the changes included in this revision of Veter</w:t>
            </w:r>
            <w:r w:rsidR="00311F26" w:rsidRPr="0034259C">
              <w:t>ans Benefits Insurance Manual M29-</w:t>
            </w:r>
            <w:r w:rsidR="00794D24" w:rsidRPr="0034259C">
              <w:t xml:space="preserve">1, Part </w:t>
            </w:r>
            <w:r w:rsidR="005F7ADD" w:rsidRPr="0034259C">
              <w:t>6</w:t>
            </w:r>
            <w:r w:rsidR="00794D24" w:rsidRPr="0034259C">
              <w:t>, Chapter</w:t>
            </w:r>
            <w:r w:rsidR="005F7ADD" w:rsidRPr="0034259C">
              <w:t xml:space="preserve"> 17</w:t>
            </w:r>
            <w:r w:rsidR="00EF2D12" w:rsidRPr="0034259C">
              <w:t>.</w:t>
            </w:r>
          </w:p>
          <w:p w14:paraId="128310C4" w14:textId="77777777" w:rsidR="00504F80" w:rsidRPr="0034259C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4926DB8F" w14:textId="77777777" w:rsidR="00504F80" w:rsidRPr="0034259C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34259C">
              <w:rPr>
                <w:b/>
                <w:i/>
              </w:rPr>
              <w:t>Notes</w:t>
            </w:r>
            <w:r w:rsidRPr="0034259C">
              <w:t xml:space="preserve">:  </w:t>
            </w:r>
          </w:p>
          <w:p w14:paraId="72C1EB2A" w14:textId="77777777" w:rsidR="0027298D" w:rsidRPr="0034259C" w:rsidRDefault="00311F26" w:rsidP="00311F26">
            <w:pPr>
              <w:pStyle w:val="BulletText1"/>
            </w:pPr>
            <w:r w:rsidRPr="0034259C">
              <w:rPr>
                <w:b/>
              </w:rPr>
              <w:t xml:space="preserve">M29-1, Part </w:t>
            </w:r>
            <w:r w:rsidR="005F7ADD" w:rsidRPr="0034259C">
              <w:rPr>
                <w:b/>
              </w:rPr>
              <w:t>6</w:t>
            </w:r>
            <w:r w:rsidRPr="0034259C">
              <w:rPr>
                <w:b/>
              </w:rPr>
              <w:t xml:space="preserve">, Chapter </w:t>
            </w:r>
            <w:r w:rsidR="005F7ADD" w:rsidRPr="0034259C">
              <w:rPr>
                <w:b/>
              </w:rPr>
              <w:t>17</w:t>
            </w:r>
            <w:r w:rsidR="00DD22A9" w:rsidRPr="0034259C">
              <w:t xml:space="preserve"> has been rewritten in its entirety for the purpose of improving clarity and readability.  Any substantive changes are itemized in the table below.</w:t>
            </w:r>
          </w:p>
          <w:p w14:paraId="1467B1E2" w14:textId="77777777" w:rsidR="00504F80" w:rsidRPr="0034259C" w:rsidRDefault="00504F80" w:rsidP="00C24D50">
            <w:pPr>
              <w:pStyle w:val="BulletText1"/>
            </w:pPr>
            <w:r w:rsidRPr="0034259C">
              <w:t xml:space="preserve">Minor editorial changes have also been made to </w:t>
            </w:r>
          </w:p>
          <w:p w14:paraId="691FD5E2" w14:textId="77777777" w:rsidR="00DD22A9" w:rsidRPr="0034259C" w:rsidRDefault="00DD22A9" w:rsidP="00237C22">
            <w:pPr>
              <w:pStyle w:val="BulletText2"/>
              <w:tabs>
                <w:tab w:val="num" w:pos="547"/>
              </w:tabs>
            </w:pPr>
            <w:r w:rsidRPr="0034259C">
              <w:t>improve clarity and readability</w:t>
            </w:r>
          </w:p>
          <w:p w14:paraId="055D3471" w14:textId="77777777" w:rsidR="00B858F9" w:rsidRPr="0034259C" w:rsidRDefault="00B858F9" w:rsidP="00B858F9">
            <w:pPr>
              <w:pStyle w:val="BulletText2"/>
              <w:tabs>
                <w:tab w:val="num" w:pos="547"/>
              </w:tabs>
            </w:pPr>
            <w:r w:rsidRPr="0034259C">
              <w:t>add references</w:t>
            </w:r>
          </w:p>
          <w:p w14:paraId="63B197C2" w14:textId="77777777" w:rsidR="00504F80" w:rsidRPr="0034259C" w:rsidRDefault="00504F80" w:rsidP="00237C22">
            <w:pPr>
              <w:pStyle w:val="BulletText2"/>
              <w:tabs>
                <w:tab w:val="num" w:pos="547"/>
              </w:tabs>
            </w:pPr>
            <w:r w:rsidRPr="0034259C">
              <w:t>update incorrect or obsolete references</w:t>
            </w:r>
          </w:p>
          <w:p w14:paraId="2F17DCF9" w14:textId="77777777" w:rsidR="00504F80" w:rsidRPr="0034259C" w:rsidRDefault="00504F80" w:rsidP="00237C22">
            <w:pPr>
              <w:pStyle w:val="BulletText2"/>
              <w:tabs>
                <w:tab w:val="num" w:pos="547"/>
              </w:tabs>
            </w:pPr>
            <w:r w:rsidRPr="0034259C">
              <w:t>update obsolete terminology, where appropriate</w:t>
            </w:r>
          </w:p>
          <w:p w14:paraId="4184FAB9" w14:textId="77777777" w:rsidR="00311F26" w:rsidRPr="0034259C" w:rsidRDefault="009E5F2A" w:rsidP="00311F26">
            <w:pPr>
              <w:pStyle w:val="BulletText2"/>
              <w:tabs>
                <w:tab w:val="num" w:pos="547"/>
              </w:tabs>
            </w:pPr>
            <w:r w:rsidRPr="0034259C">
              <w:t xml:space="preserve">reorganize/relocate content within </w:t>
            </w:r>
            <w:r w:rsidR="00311F26" w:rsidRPr="0034259C">
              <w:rPr>
                <w:b/>
              </w:rPr>
              <w:t>M</w:t>
            </w:r>
            <w:r w:rsidR="000F3574" w:rsidRPr="0034259C">
              <w:rPr>
                <w:b/>
              </w:rPr>
              <w:t>29-1,</w:t>
            </w:r>
            <w:r w:rsidR="00311F26" w:rsidRPr="0034259C">
              <w:rPr>
                <w:b/>
              </w:rPr>
              <w:t xml:space="preserve"> Part </w:t>
            </w:r>
            <w:r w:rsidR="005F7ADD" w:rsidRPr="0034259C">
              <w:rPr>
                <w:b/>
              </w:rPr>
              <w:t>6</w:t>
            </w:r>
            <w:r w:rsidR="00311F26" w:rsidRPr="0034259C">
              <w:rPr>
                <w:b/>
              </w:rPr>
              <w:t xml:space="preserve">, Chapter </w:t>
            </w:r>
            <w:r w:rsidR="005F7ADD" w:rsidRPr="0034259C">
              <w:rPr>
                <w:b/>
              </w:rPr>
              <w:t>17</w:t>
            </w:r>
            <w:r w:rsidR="000F3574" w:rsidRPr="0034259C">
              <w:t xml:space="preserve"> </w:t>
            </w:r>
            <w:r w:rsidRPr="0034259C">
              <w:t>so that it flows more logically</w:t>
            </w:r>
          </w:p>
          <w:p w14:paraId="259362E0" w14:textId="77777777" w:rsidR="003E2CA2" w:rsidRPr="0034259C" w:rsidRDefault="003E2CA2" w:rsidP="00237C22">
            <w:pPr>
              <w:pStyle w:val="BulletText2"/>
              <w:tabs>
                <w:tab w:val="num" w:pos="547"/>
              </w:tabs>
            </w:pPr>
            <w:r w:rsidRPr="0034259C">
              <w:t>reassign alphabetical designations to individual blocks, where necessary, to account for new and/or deleted blocks within a topic</w:t>
            </w:r>
          </w:p>
          <w:p w14:paraId="2244F2C9" w14:textId="77777777" w:rsidR="00504F80" w:rsidRPr="0034259C" w:rsidRDefault="00A557BB" w:rsidP="00DD22A9">
            <w:pPr>
              <w:pStyle w:val="BulletText2"/>
              <w:tabs>
                <w:tab w:val="num" w:pos="547"/>
              </w:tabs>
            </w:pPr>
            <w:r w:rsidRPr="0034259C">
              <w:t xml:space="preserve">update </w:t>
            </w:r>
            <w:r w:rsidR="00DD22A9" w:rsidRPr="0034259C">
              <w:t xml:space="preserve">the labels of individual blocks and the titles of </w:t>
            </w:r>
            <w:r w:rsidRPr="0034259C">
              <w:t>section</w:t>
            </w:r>
            <w:r w:rsidR="00DD22A9" w:rsidRPr="0034259C">
              <w:t>s</w:t>
            </w:r>
            <w:r w:rsidRPr="0034259C">
              <w:t xml:space="preserve"> and topic</w:t>
            </w:r>
            <w:r w:rsidR="00DD22A9" w:rsidRPr="0034259C">
              <w:t>s</w:t>
            </w:r>
            <w:r w:rsidRPr="0034259C">
              <w:t xml:space="preserve"> to more accurately reflect their content</w:t>
            </w:r>
            <w:r w:rsidR="00504F80" w:rsidRPr="0034259C">
              <w:t xml:space="preserve">, and </w:t>
            </w:r>
          </w:p>
          <w:p w14:paraId="4A22C077" w14:textId="77777777" w:rsidR="00504F80" w:rsidRPr="0034259C" w:rsidRDefault="00504F80" w:rsidP="00120103">
            <w:pPr>
              <w:pStyle w:val="BulletText2"/>
            </w:pPr>
            <w:r w:rsidRPr="0034259C">
              <w:t>bring the document into conformance with M2</w:t>
            </w:r>
            <w:r w:rsidR="00311F26" w:rsidRPr="0034259C">
              <w:t>9</w:t>
            </w:r>
            <w:r w:rsidRPr="0034259C">
              <w:t>-1 standards.</w:t>
            </w:r>
          </w:p>
        </w:tc>
      </w:tr>
    </w:tbl>
    <w:p w14:paraId="22993BCC" w14:textId="77777777" w:rsidR="00C24D50" w:rsidRPr="0034259C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34259C" w14:paraId="5C6F949E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7BCD3" w14:textId="77777777" w:rsidR="0060514F" w:rsidRPr="0034259C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34259C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3E1F0" w14:textId="77777777" w:rsidR="0060514F" w:rsidRPr="0034259C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34259C">
              <w:rPr>
                <w:sz w:val="28"/>
                <w:szCs w:val="28"/>
              </w:rPr>
              <w:t>Citation</w:t>
            </w:r>
          </w:p>
        </w:tc>
      </w:tr>
      <w:tr w:rsidR="0060514F" w:rsidRPr="0034259C" w14:paraId="51510B94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568D6" w14:textId="77777777" w:rsidR="0060514F" w:rsidRPr="0034259C" w:rsidRDefault="00C11EE9" w:rsidP="00673296">
            <w:pPr>
              <w:pStyle w:val="TableHeaderText"/>
              <w:jc w:val="left"/>
              <w:rPr>
                <w:b w:val="0"/>
                <w:color w:val="auto"/>
              </w:rPr>
            </w:pPr>
            <w:r w:rsidRPr="0034259C">
              <w:rPr>
                <w:b w:val="0"/>
                <w:color w:val="auto"/>
              </w:rPr>
              <w:t xml:space="preserve">Eliminates Subchapter 17.01 as </w:t>
            </w:r>
            <w:r w:rsidR="00596852" w:rsidRPr="0034259C">
              <w:rPr>
                <w:b w:val="0"/>
                <w:color w:val="auto"/>
              </w:rPr>
              <w:t xml:space="preserve">historical information that is </w:t>
            </w:r>
            <w:r w:rsidRPr="0034259C">
              <w:rPr>
                <w:b w:val="0"/>
                <w:color w:val="auto"/>
              </w:rPr>
              <w:t>no longer applicable to the insurance programs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3A1C0" w14:textId="77777777" w:rsidR="0060514F" w:rsidRPr="0034259C" w:rsidRDefault="00C11EE9" w:rsidP="00673296">
            <w:pPr>
              <w:pStyle w:val="TableHeaderText"/>
              <w:jc w:val="left"/>
              <w:rPr>
                <w:b w:val="0"/>
                <w:color w:val="auto"/>
              </w:rPr>
            </w:pPr>
            <w:r w:rsidRPr="0034259C">
              <w:rPr>
                <w:b w:val="0"/>
                <w:color w:val="auto"/>
              </w:rPr>
              <w:t>Subchapter 17.01</w:t>
            </w:r>
          </w:p>
        </w:tc>
      </w:tr>
      <w:tr w:rsidR="002A1D3E" w:rsidRPr="0034259C" w14:paraId="02E2A487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D361BE3" w14:textId="77777777" w:rsidR="002A1D3E" w:rsidRPr="0034259C" w:rsidRDefault="00BD2DE2" w:rsidP="00673296">
            <w:pPr>
              <w:pStyle w:val="TableHeaderText"/>
              <w:jc w:val="left"/>
              <w:rPr>
                <w:b w:val="0"/>
              </w:rPr>
            </w:pPr>
            <w:r w:rsidRPr="0034259C">
              <w:rPr>
                <w:b w:val="0"/>
              </w:rPr>
              <w:t>Clarifies that a change in settlement option/beneficiary designation is effective upon date it is received by VA; clarifies that VA will honor a change in settlement option/beneficiary designation if insured died before forwarding it if the change is determined to be a valid one</w:t>
            </w:r>
            <w:r w:rsidR="000000ED" w:rsidRPr="0034259C">
              <w:rPr>
                <w:b w:val="0"/>
              </w:rPr>
              <w:t>;</w:t>
            </w:r>
            <w:r w:rsidR="0061352C" w:rsidRPr="0034259C">
              <w:rPr>
                <w:b w:val="0"/>
              </w:rPr>
              <w:t xml:space="preserve"> eliminates the language regarding Public Law 70-589 as no longer applicable to the insurance programs </w:t>
            </w:r>
          </w:p>
        </w:tc>
        <w:tc>
          <w:tcPr>
            <w:tcW w:w="1058" w:type="pct"/>
            <w:shd w:val="clear" w:color="auto" w:fill="auto"/>
          </w:tcPr>
          <w:p w14:paraId="0FD89541" w14:textId="77777777" w:rsidR="002A1D3E" w:rsidRPr="0034259C" w:rsidRDefault="00BD2DE2" w:rsidP="00673296">
            <w:pPr>
              <w:pStyle w:val="TableHeaderText"/>
              <w:jc w:val="left"/>
              <w:rPr>
                <w:b w:val="0"/>
              </w:rPr>
            </w:pPr>
            <w:r w:rsidRPr="0034259C">
              <w:rPr>
                <w:b w:val="0"/>
              </w:rPr>
              <w:t>New Subchapter 17.01/Pr</w:t>
            </w:r>
            <w:r w:rsidR="00EA070F" w:rsidRPr="0034259C">
              <w:rPr>
                <w:b w:val="0"/>
              </w:rPr>
              <w:t>ior</w:t>
            </w:r>
            <w:r w:rsidRPr="0034259C">
              <w:rPr>
                <w:b w:val="0"/>
              </w:rPr>
              <w:t xml:space="preserve"> Subchapter 17.02</w:t>
            </w:r>
          </w:p>
        </w:tc>
      </w:tr>
      <w:tr w:rsidR="002A1D3E" w:rsidRPr="0034259C" w14:paraId="0F0636F0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BCE6E36" w14:textId="77777777" w:rsidR="002A1D3E" w:rsidRPr="0034259C" w:rsidRDefault="00FE7DBC" w:rsidP="00A130A0">
            <w:pPr>
              <w:pStyle w:val="para71"/>
              <w:ind w:firstLine="0"/>
            </w:pPr>
            <w:r w:rsidRPr="0034259C">
              <w:rPr>
                <w:rFonts w:ascii="Times New Roman" w:hAnsi="Times New Roman"/>
                <w:color w:val="000000"/>
                <w:sz w:val="24"/>
              </w:rPr>
              <w:t xml:space="preserve">Eliminates language regarding the </w:t>
            </w:r>
            <w:r w:rsidR="009B16D9" w:rsidRPr="0034259C">
              <w:rPr>
                <w:rFonts w:ascii="Times New Roman" w:hAnsi="Times New Roman"/>
                <w:color w:val="000000"/>
                <w:sz w:val="24"/>
              </w:rPr>
              <w:t xml:space="preserve">1946 </w:t>
            </w:r>
            <w:r w:rsidRPr="0034259C">
              <w:rPr>
                <w:rFonts w:ascii="Times New Roman" w:hAnsi="Times New Roman"/>
                <w:color w:val="000000"/>
                <w:sz w:val="24"/>
              </w:rPr>
              <w:t>amendment of Section 1916 of Title 38 as no longer applicable to the insurance programs; clarifies the four modes of settlement options available in the insurance programs</w:t>
            </w:r>
            <w:r w:rsidR="00DA5EA7" w:rsidRPr="0034259C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r w:rsidR="001A1319" w:rsidRPr="0034259C">
              <w:rPr>
                <w:rFonts w:ascii="Times New Roman" w:hAnsi="Times New Roman"/>
                <w:color w:val="000000"/>
                <w:sz w:val="24"/>
              </w:rPr>
              <w:t xml:space="preserve">clarifies that if monthly payments would be less than $10 for a contingent beneficiary, </w:t>
            </w:r>
            <w:r w:rsidR="00A130A0" w:rsidRPr="0034259C">
              <w:rPr>
                <w:rFonts w:ascii="Times New Roman" w:hAnsi="Times New Roman"/>
                <w:color w:val="000000"/>
                <w:sz w:val="24"/>
              </w:rPr>
              <w:t xml:space="preserve">they will be paid commuted value of the remaining unpaid installments, eliminates </w:t>
            </w:r>
            <w:r w:rsidR="00DA5EA7" w:rsidRPr="0034259C">
              <w:rPr>
                <w:rFonts w:ascii="Times New Roman" w:hAnsi="Times New Roman"/>
                <w:color w:val="000000"/>
                <w:sz w:val="24"/>
              </w:rPr>
              <w:t>language regarding USGLI policies as no longer applicable to the insurance programs</w:t>
            </w:r>
            <w:r w:rsidR="00A130A0" w:rsidRPr="0034259C">
              <w:rPr>
                <w:rFonts w:ascii="Times New Roman" w:hAnsi="Times New Roman"/>
                <w:color w:val="000000"/>
                <w:sz w:val="24"/>
              </w:rPr>
              <w:t>.</w:t>
            </w:r>
            <w:r w:rsidR="00DA5EA7" w:rsidRPr="0034259C">
              <w:t xml:space="preserve"> </w:t>
            </w:r>
          </w:p>
        </w:tc>
        <w:tc>
          <w:tcPr>
            <w:tcW w:w="1058" w:type="pct"/>
            <w:shd w:val="clear" w:color="auto" w:fill="auto"/>
          </w:tcPr>
          <w:p w14:paraId="4966FD0A" w14:textId="77777777" w:rsidR="002A1D3E" w:rsidRPr="0034259C" w:rsidRDefault="00FE7DBC" w:rsidP="00673296">
            <w:pPr>
              <w:pStyle w:val="TableText"/>
            </w:pPr>
            <w:r w:rsidRPr="0034259C">
              <w:t>New Subchapter 17.02/P</w:t>
            </w:r>
            <w:r w:rsidR="00637473" w:rsidRPr="0034259C">
              <w:t xml:space="preserve">rior </w:t>
            </w:r>
            <w:r w:rsidRPr="0034259C">
              <w:t>Subchapter 17.03</w:t>
            </w:r>
          </w:p>
        </w:tc>
      </w:tr>
      <w:tr w:rsidR="002A1D3E" w:rsidRPr="0034259C" w14:paraId="7F0DD0CF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C76418B" w14:textId="77777777" w:rsidR="002A1D3E" w:rsidRPr="0034259C" w:rsidRDefault="002B168A" w:rsidP="00673296">
            <w:pPr>
              <w:pStyle w:val="TableText"/>
            </w:pPr>
            <w:r w:rsidRPr="0034259C">
              <w:t>Clarifies the number of option settlements</w:t>
            </w:r>
            <w:r w:rsidR="004745E8" w:rsidRPr="0034259C">
              <w:t>—1 through 4—that</w:t>
            </w:r>
            <w:r w:rsidRPr="0034259C">
              <w:t xml:space="preserve"> can be selected by the insured in the NSLI programs;</w:t>
            </w:r>
            <w:r w:rsidR="004745E8" w:rsidRPr="0034259C">
              <w:t xml:space="preserve"> explains the circumstances under which an beneficiary can select option 1 if the insured had previously </w:t>
            </w:r>
            <w:r w:rsidR="006E0001" w:rsidRPr="0034259C">
              <w:t xml:space="preserve">selected </w:t>
            </w:r>
            <w:r w:rsidR="004745E8" w:rsidRPr="0034259C">
              <w:t xml:space="preserve">options 2, 3 or 4; clarifies that if an insured did not previously select a settlement option, then the beneficiary </w:t>
            </w:r>
            <w:r w:rsidR="006E0001" w:rsidRPr="0034259C">
              <w:t xml:space="preserve">will be paid </w:t>
            </w:r>
            <w:r w:rsidR="006E0001" w:rsidRPr="0034259C">
              <w:lastRenderedPageBreak/>
              <w:t>under</w:t>
            </w:r>
            <w:r w:rsidR="004745E8" w:rsidRPr="0034259C">
              <w:t xml:space="preserve"> option 1; eliminates language regarding USGLI policy options as no longer applicable to the insurance programs</w:t>
            </w:r>
            <w:r w:rsidR="006E0001" w:rsidRPr="0034259C">
              <w:t>;</w:t>
            </w:r>
            <w:r w:rsidR="004745E8" w:rsidRPr="0034259C">
              <w:t xml:space="preserve"> </w:t>
            </w:r>
            <w:r w:rsidR="00455300" w:rsidRPr="0034259C">
              <w:t xml:space="preserve">clarifies that a beneficiary will be advised by mail of the settlement options available and may choose to elect another permissible option </w:t>
            </w:r>
            <w:r w:rsidR="00027027" w:rsidRPr="0034259C">
              <w:t xml:space="preserve">upon written request </w:t>
            </w:r>
          </w:p>
        </w:tc>
        <w:tc>
          <w:tcPr>
            <w:tcW w:w="1058" w:type="pct"/>
            <w:shd w:val="clear" w:color="auto" w:fill="auto"/>
          </w:tcPr>
          <w:p w14:paraId="5FBD5FB7" w14:textId="77777777" w:rsidR="002A1D3E" w:rsidRPr="0034259C" w:rsidRDefault="00DF6C6E" w:rsidP="00673296">
            <w:pPr>
              <w:pStyle w:val="TableText"/>
            </w:pPr>
            <w:r w:rsidRPr="0034259C">
              <w:lastRenderedPageBreak/>
              <w:t>New Subchapter 17.03/Pr</w:t>
            </w:r>
            <w:r w:rsidR="001A1319" w:rsidRPr="0034259C">
              <w:t xml:space="preserve">ior </w:t>
            </w:r>
            <w:r w:rsidRPr="0034259C">
              <w:t>Subchapter 17.04</w:t>
            </w:r>
          </w:p>
        </w:tc>
      </w:tr>
      <w:tr w:rsidR="002A1D3E" w:rsidRPr="0034259C" w14:paraId="27254E39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0109387" w14:textId="77777777" w:rsidR="002A1D3E" w:rsidRPr="0034259C" w:rsidRDefault="001F7F67" w:rsidP="00673296">
            <w:pPr>
              <w:pStyle w:val="TableText"/>
            </w:pPr>
            <w:r w:rsidRPr="0034259C">
              <w:t xml:space="preserve">Eliminates language regarding policies that matured prior to August 1, 1946 and regarding USGLI policies as no longer applicable to the insurance programs </w:t>
            </w:r>
          </w:p>
        </w:tc>
        <w:tc>
          <w:tcPr>
            <w:tcW w:w="1058" w:type="pct"/>
            <w:shd w:val="clear" w:color="auto" w:fill="auto"/>
          </w:tcPr>
          <w:p w14:paraId="26F8857A" w14:textId="77777777" w:rsidR="002A1D3E" w:rsidRPr="0034259C" w:rsidRDefault="00B70F38" w:rsidP="00673296">
            <w:pPr>
              <w:pStyle w:val="TableText"/>
            </w:pPr>
            <w:r w:rsidRPr="0034259C">
              <w:t>New Subchapter 17.04/P</w:t>
            </w:r>
            <w:r w:rsidR="00EC751A" w:rsidRPr="0034259C">
              <w:t xml:space="preserve">rior </w:t>
            </w:r>
            <w:r w:rsidRPr="0034259C">
              <w:t>Subchapter 17.05</w:t>
            </w:r>
          </w:p>
        </w:tc>
      </w:tr>
      <w:tr w:rsidR="00AF3ED0" w:rsidRPr="0034259C" w14:paraId="58B50F70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D369D53" w14:textId="77777777" w:rsidR="00AF3ED0" w:rsidRPr="0034259C" w:rsidRDefault="0032543F" w:rsidP="00673296">
            <w:pPr>
              <w:pStyle w:val="TableText"/>
            </w:pPr>
            <w:r w:rsidRPr="0034259C">
              <w:t xml:space="preserve">Clarifies that </w:t>
            </w:r>
            <w:r w:rsidR="00545260" w:rsidRPr="0034259C">
              <w:t>date of birth discrepancies ae only relevant to payments under option 3 or 4 settlements</w:t>
            </w:r>
          </w:p>
        </w:tc>
        <w:tc>
          <w:tcPr>
            <w:tcW w:w="1058" w:type="pct"/>
            <w:shd w:val="clear" w:color="auto" w:fill="auto"/>
          </w:tcPr>
          <w:p w14:paraId="133E50F9" w14:textId="77777777" w:rsidR="00AF3ED0" w:rsidRPr="0034259C" w:rsidRDefault="00AF3ED0" w:rsidP="00673296">
            <w:pPr>
              <w:pStyle w:val="TableText"/>
            </w:pPr>
            <w:r w:rsidRPr="0034259C">
              <w:t>New Subchapter 17.05/Pr</w:t>
            </w:r>
            <w:r w:rsidR="00EC751A" w:rsidRPr="0034259C">
              <w:t>ior</w:t>
            </w:r>
            <w:r w:rsidRPr="0034259C">
              <w:t xml:space="preserve"> Subchapter 17.06</w:t>
            </w:r>
          </w:p>
        </w:tc>
      </w:tr>
      <w:tr w:rsidR="00545260" w:rsidRPr="0034259C" w14:paraId="65638B1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51E1142" w14:textId="77777777" w:rsidR="00545260" w:rsidRPr="0034259C" w:rsidRDefault="00F318C0" w:rsidP="00673296">
            <w:pPr>
              <w:pStyle w:val="TableText"/>
            </w:pPr>
            <w:r w:rsidRPr="0034259C">
              <w:t>Clarifies that a beneficiary may change their settlement option if made within one year of date of receipt and done within the limits descr</w:t>
            </w:r>
            <w:r w:rsidR="007D58B2" w:rsidRPr="0034259C">
              <w:t>ib</w:t>
            </w:r>
            <w:r w:rsidRPr="0034259C">
              <w:t>ed in Subchapter 17.03;</w:t>
            </w:r>
            <w:r w:rsidR="000E73C9" w:rsidRPr="0034259C">
              <w:t xml:space="preserve"> explains that a change of settlement option will be effective upon the date received by VA if the option differs from the option originally selected by the insured; </w:t>
            </w:r>
            <w:r w:rsidR="00616FC5" w:rsidRPr="0034259C">
              <w:t xml:space="preserve">clarifies the process of how the Death Claims Section will process a request by a beneficiary to change the policy settlement option; eliminates language regarding USGLI policy options as no longer applicable to the insurance programs </w:t>
            </w:r>
          </w:p>
        </w:tc>
        <w:tc>
          <w:tcPr>
            <w:tcW w:w="1058" w:type="pct"/>
            <w:shd w:val="clear" w:color="auto" w:fill="auto"/>
          </w:tcPr>
          <w:p w14:paraId="5D88D516" w14:textId="77777777" w:rsidR="00545260" w:rsidRPr="0034259C" w:rsidRDefault="00441091" w:rsidP="00673296">
            <w:pPr>
              <w:pStyle w:val="TableText"/>
            </w:pPr>
            <w:r w:rsidRPr="0034259C">
              <w:t>New Subchapter 17.06/Pr</w:t>
            </w:r>
            <w:r w:rsidR="00D2064B" w:rsidRPr="0034259C">
              <w:t>ior</w:t>
            </w:r>
            <w:r w:rsidRPr="0034259C">
              <w:t xml:space="preserve"> Subchapter 17.07</w:t>
            </w:r>
          </w:p>
        </w:tc>
      </w:tr>
      <w:tr w:rsidR="001B3969" w:rsidRPr="0034259C" w14:paraId="6C022151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6DC43AE" w14:textId="77777777" w:rsidR="001B3969" w:rsidRPr="0034259C" w:rsidRDefault="00EF7105" w:rsidP="00673296">
            <w:pPr>
              <w:pStyle w:val="TableText"/>
            </w:pPr>
            <w:r w:rsidRPr="0034259C">
              <w:t>Explains that when a beneficiary who is entitled to receive payment under option 1 elects another option—2 through 4—</w:t>
            </w:r>
            <w:r w:rsidR="00456E0A" w:rsidRPr="0034259C">
              <w:t>they</w:t>
            </w:r>
            <w:r w:rsidRPr="0034259C">
              <w:t xml:space="preserve"> may at any time receive the present value of any remaining unpaid installments certain </w:t>
            </w:r>
          </w:p>
        </w:tc>
        <w:tc>
          <w:tcPr>
            <w:tcW w:w="1058" w:type="pct"/>
            <w:shd w:val="clear" w:color="auto" w:fill="auto"/>
          </w:tcPr>
          <w:p w14:paraId="3B1D3EE1" w14:textId="77777777" w:rsidR="001B3969" w:rsidRPr="0034259C" w:rsidRDefault="001B3969" w:rsidP="00673296">
            <w:pPr>
              <w:pStyle w:val="TableText"/>
            </w:pPr>
            <w:r w:rsidRPr="0034259C">
              <w:t>New Subchapter 17.0</w:t>
            </w:r>
            <w:r w:rsidR="00EF7D49" w:rsidRPr="0034259C">
              <w:t>7</w:t>
            </w:r>
            <w:r w:rsidRPr="0034259C">
              <w:t>/Pr</w:t>
            </w:r>
            <w:r w:rsidR="00BC041A" w:rsidRPr="0034259C">
              <w:t xml:space="preserve">ior </w:t>
            </w:r>
            <w:r w:rsidRPr="0034259C">
              <w:t>Subchapter 17.0</w:t>
            </w:r>
            <w:r w:rsidR="00EF7D49" w:rsidRPr="0034259C">
              <w:t>8</w:t>
            </w:r>
          </w:p>
        </w:tc>
      </w:tr>
      <w:tr w:rsidR="005E3FE1" w:rsidRPr="0034259C" w14:paraId="20600BD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8C509A0" w14:textId="77777777" w:rsidR="005E3FE1" w:rsidRPr="0034259C" w:rsidRDefault="007A7578" w:rsidP="00673296">
            <w:pPr>
              <w:pStyle w:val="TableText"/>
            </w:pPr>
            <w:r w:rsidRPr="0034259C">
              <w:t>Explains how a beneficiary’s conditional election of option will be processed by the Insurance Claims Division and under what circumstances the other options will be available to the beneficiary</w:t>
            </w:r>
          </w:p>
        </w:tc>
        <w:tc>
          <w:tcPr>
            <w:tcW w:w="1058" w:type="pct"/>
            <w:shd w:val="clear" w:color="auto" w:fill="auto"/>
          </w:tcPr>
          <w:p w14:paraId="2A0F19DD" w14:textId="77777777" w:rsidR="005E3FE1" w:rsidRPr="0034259C" w:rsidRDefault="005E3FE1" w:rsidP="00673296">
            <w:pPr>
              <w:pStyle w:val="TableText"/>
            </w:pPr>
            <w:r w:rsidRPr="0034259C">
              <w:t>New Subchapter 17.08/Pr</w:t>
            </w:r>
            <w:r w:rsidR="00A45F23" w:rsidRPr="0034259C">
              <w:t xml:space="preserve">ior </w:t>
            </w:r>
            <w:r w:rsidRPr="0034259C">
              <w:t>Subchapter 17.09</w:t>
            </w:r>
          </w:p>
        </w:tc>
      </w:tr>
      <w:tr w:rsidR="00452DA5" w:rsidRPr="0034259C" w14:paraId="1B9D29C8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FB3787F" w14:textId="77777777" w:rsidR="00452DA5" w:rsidRPr="0034259C" w:rsidRDefault="00452DA5" w:rsidP="00673296">
            <w:pPr>
              <w:pStyle w:val="TableText"/>
            </w:pPr>
            <w:r w:rsidRPr="0034259C">
              <w:t>Clarifies the payment tables used to determine the settlement values for options 2—5 in the NSLI program; clarifies that the Insurance Actuarial Staff must be consulted regarding option 2 interest rates due to their frequent fluctuation</w:t>
            </w:r>
            <w:r w:rsidR="00E161BA" w:rsidRPr="0034259C">
              <w:t xml:space="preserve">; eliminates language regarding </w:t>
            </w:r>
            <w:proofErr w:type="gramStart"/>
            <w:r w:rsidR="00E161BA" w:rsidRPr="0034259C">
              <w:t>gender based</w:t>
            </w:r>
            <w:proofErr w:type="gramEnd"/>
            <w:r w:rsidR="00E161BA" w:rsidRPr="0034259C">
              <w:t xml:space="preserve"> rates as no longer applicable</w:t>
            </w:r>
            <w:r w:rsidRPr="0034259C">
              <w:t xml:space="preserve"> </w:t>
            </w:r>
          </w:p>
        </w:tc>
        <w:tc>
          <w:tcPr>
            <w:tcW w:w="1058" w:type="pct"/>
            <w:shd w:val="clear" w:color="auto" w:fill="auto"/>
          </w:tcPr>
          <w:p w14:paraId="432272DC" w14:textId="77777777" w:rsidR="00452DA5" w:rsidRPr="0034259C" w:rsidRDefault="00452DA5" w:rsidP="00673296">
            <w:pPr>
              <w:pStyle w:val="TableText"/>
            </w:pPr>
            <w:r w:rsidRPr="0034259C">
              <w:t>New Subchapter 17.09/Pr</w:t>
            </w:r>
            <w:r w:rsidR="00A45F23" w:rsidRPr="0034259C">
              <w:t>ior</w:t>
            </w:r>
            <w:r w:rsidRPr="0034259C">
              <w:t xml:space="preserve"> Subchapter 17.10</w:t>
            </w:r>
          </w:p>
        </w:tc>
      </w:tr>
      <w:tr w:rsidR="00135843" w14:paraId="051D8DD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758988C" w14:textId="77777777" w:rsidR="00135843" w:rsidRPr="0034259C" w:rsidRDefault="007B039D" w:rsidP="00673296">
            <w:pPr>
              <w:pStyle w:val="TableText"/>
            </w:pPr>
            <w:r w:rsidRPr="0034259C">
              <w:t xml:space="preserve">Clarifies that VA Form 20-4125 pre-populates the </w:t>
            </w:r>
            <w:r w:rsidR="0034259C" w:rsidRPr="0034259C">
              <w:t xml:space="preserve">claim form </w:t>
            </w:r>
            <w:r w:rsidRPr="0034259C">
              <w:t>with the selection of option 1 as mode of settlement payment and that proceeds will be paid under option 1 unless the insured selected another settlement option; explains that with regard to VA Form 29-336, payment will be made based on the options listed by the insured on the most recent form he completed; language on VA Form 29-336 was altered on all forms issued after November 1965 to provide for automatic cancellation of all previous designations and options selected by the insured</w:t>
            </w:r>
            <w:r w:rsidR="003508FB" w:rsidRPr="0034259C">
              <w:t>; explains under what circumstances the estate of a beneficiary is entitled to receive the commuted value of any remaining unpaid installments previously paid under an option other than option 1</w:t>
            </w:r>
            <w:r w:rsidR="0034259C" w:rsidRPr="0034259C">
              <w:t>, eliminates language regarding USGLI policy options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14:paraId="1CE12A39" w14:textId="77777777" w:rsidR="00135843" w:rsidRDefault="006F12F6" w:rsidP="00673296">
            <w:pPr>
              <w:pStyle w:val="TableText"/>
            </w:pPr>
            <w:r w:rsidRPr="0034259C">
              <w:t>New Subchapter 17.12/Pr</w:t>
            </w:r>
            <w:r w:rsidR="00EA64CF" w:rsidRPr="0034259C">
              <w:t xml:space="preserve">ior </w:t>
            </w:r>
            <w:r w:rsidRPr="0034259C">
              <w:t>Subchapter 17.13</w:t>
            </w:r>
          </w:p>
        </w:tc>
      </w:tr>
    </w:tbl>
    <w:p w14:paraId="59D68535" w14:textId="77777777"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14:paraId="67B5FB39" w14:textId="77777777" w:rsidTr="0060514F">
        <w:trPr>
          <w:trHeight w:val="330"/>
        </w:trPr>
        <w:tc>
          <w:tcPr>
            <w:tcW w:w="7380" w:type="dxa"/>
          </w:tcPr>
          <w:p w14:paraId="15C12CE1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14:paraId="2EE3796C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221F2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4221F2" w14:paraId="5B8F2244" w14:textId="77777777" w:rsidTr="00673296">
        <w:trPr>
          <w:trHeight w:val="187"/>
        </w:trPr>
        <w:tc>
          <w:tcPr>
            <w:tcW w:w="7380" w:type="dxa"/>
          </w:tcPr>
          <w:p w14:paraId="4B73B57D" w14:textId="77777777" w:rsidR="0060514F" w:rsidRPr="0060514F" w:rsidRDefault="0060514F" w:rsidP="00673296"/>
        </w:tc>
        <w:tc>
          <w:tcPr>
            <w:tcW w:w="1980" w:type="dxa"/>
          </w:tcPr>
          <w:p w14:paraId="310658F3" w14:textId="77777777" w:rsidR="0060514F" w:rsidRPr="0060514F" w:rsidRDefault="0060514F" w:rsidP="00673296"/>
        </w:tc>
      </w:tr>
      <w:tr w:rsidR="0060514F" w:rsidRPr="004221F2" w14:paraId="09D2C23C" w14:textId="77777777" w:rsidTr="00673296">
        <w:trPr>
          <w:trHeight w:val="187"/>
        </w:trPr>
        <w:tc>
          <w:tcPr>
            <w:tcW w:w="7380" w:type="dxa"/>
          </w:tcPr>
          <w:p w14:paraId="1D226931" w14:textId="77777777" w:rsidR="0060514F" w:rsidRPr="0060514F" w:rsidRDefault="0060514F" w:rsidP="00673296"/>
        </w:tc>
        <w:tc>
          <w:tcPr>
            <w:tcW w:w="1980" w:type="dxa"/>
          </w:tcPr>
          <w:p w14:paraId="4C2A3226" w14:textId="77777777" w:rsidR="0060514F" w:rsidRPr="0060514F" w:rsidRDefault="0060514F" w:rsidP="00673296"/>
        </w:tc>
      </w:tr>
      <w:tr w:rsidR="0060514F" w:rsidRPr="004221F2" w14:paraId="424751F6" w14:textId="77777777" w:rsidTr="00673296">
        <w:trPr>
          <w:trHeight w:val="187"/>
        </w:trPr>
        <w:tc>
          <w:tcPr>
            <w:tcW w:w="7380" w:type="dxa"/>
          </w:tcPr>
          <w:p w14:paraId="757236E2" w14:textId="77777777" w:rsidR="0060514F" w:rsidRPr="0060514F" w:rsidRDefault="0060514F" w:rsidP="00673296"/>
        </w:tc>
        <w:tc>
          <w:tcPr>
            <w:tcW w:w="1980" w:type="dxa"/>
          </w:tcPr>
          <w:p w14:paraId="39B07A0F" w14:textId="77777777" w:rsidR="0060514F" w:rsidRPr="0060514F" w:rsidRDefault="0060514F" w:rsidP="00673296"/>
        </w:tc>
      </w:tr>
    </w:tbl>
    <w:p w14:paraId="45203344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6B1518B" w14:textId="77777777" w:rsidTr="00237C22">
        <w:tc>
          <w:tcPr>
            <w:tcW w:w="1728" w:type="dxa"/>
          </w:tcPr>
          <w:p w14:paraId="7F5B9CE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8A03F82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B9209F4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81C453E" w14:textId="77777777" w:rsidTr="00237C22">
        <w:tc>
          <w:tcPr>
            <w:tcW w:w="1728" w:type="dxa"/>
          </w:tcPr>
          <w:p w14:paraId="3C94A1E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2D148AC4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3F990C4D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B9D33C8" w14:textId="77777777" w:rsidTr="00237C22">
        <w:tc>
          <w:tcPr>
            <w:tcW w:w="1728" w:type="dxa"/>
          </w:tcPr>
          <w:p w14:paraId="6D79C95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42D6FCF" w14:textId="77777777" w:rsidR="00504F80" w:rsidRPr="00B4163A" w:rsidRDefault="00504F80" w:rsidP="00237C22">
            <w:pPr>
              <w:pStyle w:val="BlockText"/>
            </w:pPr>
          </w:p>
          <w:p w14:paraId="0E273F61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12B7245D" w14:textId="654C1F76" w:rsidR="005C2AD9" w:rsidRDefault="0052019F" w:rsidP="005C2AD9">
            <w:r>
              <w:t>Timothy Sirhal</w:t>
            </w:r>
            <w:r w:rsidR="00BC4A0D">
              <w:t xml:space="preserve">, </w:t>
            </w:r>
            <w:r>
              <w:t xml:space="preserve">Acting </w:t>
            </w:r>
            <w:r w:rsidR="00BC4A0D">
              <w:t>Director</w:t>
            </w:r>
          </w:p>
          <w:p w14:paraId="16FAB923" w14:textId="77777777"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14:paraId="48D83EBF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66935AB1" w14:textId="77777777" w:rsidTr="00237C22">
        <w:tc>
          <w:tcPr>
            <w:tcW w:w="1728" w:type="dxa"/>
          </w:tcPr>
          <w:p w14:paraId="2AEBFCF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A54E99F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E0B21A7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4C16C5FB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D8366" w14:textId="77777777" w:rsidR="008C6DE9" w:rsidRDefault="008C6DE9" w:rsidP="00C765C7">
      <w:r>
        <w:separator/>
      </w:r>
    </w:p>
  </w:endnote>
  <w:endnote w:type="continuationSeparator" w:id="0">
    <w:p w14:paraId="6510309F" w14:textId="77777777" w:rsidR="008C6DE9" w:rsidRDefault="008C6DE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7E787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3A3348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F043" w14:textId="77777777"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14:paraId="1B45FFE0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0644E" w14:textId="77777777" w:rsidR="008C6DE9" w:rsidRDefault="008C6DE9" w:rsidP="00C765C7">
      <w:r>
        <w:separator/>
      </w:r>
    </w:p>
  </w:footnote>
  <w:footnote w:type="continuationSeparator" w:id="0">
    <w:p w14:paraId="0F2AB055" w14:textId="77777777" w:rsidR="008C6DE9" w:rsidRDefault="008C6DE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fspro_2columns"/>
      </v:shape>
    </w:pict>
  </w:numPicBullet>
  <w:numPicBullet w:numPicBulletId="1">
    <w:pict>
      <v:shape id="_x0000_i1031" type="#_x0000_t75" style="width:12pt;height:12pt" o:bullet="t">
        <v:imagedata r:id="rId2" o:title="advanced"/>
      </v:shape>
    </w:pict>
  </w:numPicBullet>
  <w:numPicBullet w:numPicBulletId="2">
    <w:pict>
      <v:shape id="_x0000_i1032" type="#_x0000_t75" style="width:12pt;height:12pt" o:bullet="t">
        <v:imagedata r:id="rId3" o:title="continue"/>
      </v:shape>
    </w:pict>
  </w:numPicBullet>
  <w:numPicBullet w:numPicBulletId="3">
    <w:pict>
      <v:shape id="_x0000_i1033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00ED"/>
    <w:rsid w:val="00000E4D"/>
    <w:rsid w:val="00002A1E"/>
    <w:rsid w:val="00014A89"/>
    <w:rsid w:val="000252C6"/>
    <w:rsid w:val="000256FB"/>
    <w:rsid w:val="00027027"/>
    <w:rsid w:val="00093228"/>
    <w:rsid w:val="000A1A8A"/>
    <w:rsid w:val="000A7776"/>
    <w:rsid w:val="000E1696"/>
    <w:rsid w:val="000E320F"/>
    <w:rsid w:val="000E73C9"/>
    <w:rsid w:val="000F3574"/>
    <w:rsid w:val="00100433"/>
    <w:rsid w:val="0010215F"/>
    <w:rsid w:val="00106EEF"/>
    <w:rsid w:val="00120103"/>
    <w:rsid w:val="00123973"/>
    <w:rsid w:val="001253ED"/>
    <w:rsid w:val="00135843"/>
    <w:rsid w:val="00186D46"/>
    <w:rsid w:val="001A1319"/>
    <w:rsid w:val="001B3969"/>
    <w:rsid w:val="001B3F58"/>
    <w:rsid w:val="001C3AE3"/>
    <w:rsid w:val="001C3EB5"/>
    <w:rsid w:val="001F7F67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168A"/>
    <w:rsid w:val="002B7A7E"/>
    <w:rsid w:val="002F5B21"/>
    <w:rsid w:val="002F7397"/>
    <w:rsid w:val="00311F26"/>
    <w:rsid w:val="0032543F"/>
    <w:rsid w:val="00332B80"/>
    <w:rsid w:val="00341981"/>
    <w:rsid w:val="0034259C"/>
    <w:rsid w:val="003508FB"/>
    <w:rsid w:val="00365886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41091"/>
    <w:rsid w:val="00450FD6"/>
    <w:rsid w:val="00452DA5"/>
    <w:rsid w:val="00455300"/>
    <w:rsid w:val="00455EF7"/>
    <w:rsid w:val="004562CC"/>
    <w:rsid w:val="00456E0A"/>
    <w:rsid w:val="00471ECA"/>
    <w:rsid w:val="004745E8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019F"/>
    <w:rsid w:val="005238CB"/>
    <w:rsid w:val="00526F0E"/>
    <w:rsid w:val="00545260"/>
    <w:rsid w:val="0055453E"/>
    <w:rsid w:val="00594258"/>
    <w:rsid w:val="00596852"/>
    <w:rsid w:val="005A24DF"/>
    <w:rsid w:val="005C062D"/>
    <w:rsid w:val="005C2AD9"/>
    <w:rsid w:val="005D3508"/>
    <w:rsid w:val="005D656E"/>
    <w:rsid w:val="005E3FE1"/>
    <w:rsid w:val="005E4363"/>
    <w:rsid w:val="005F7ADD"/>
    <w:rsid w:val="00600DC7"/>
    <w:rsid w:val="0060514F"/>
    <w:rsid w:val="0061352C"/>
    <w:rsid w:val="00616FC5"/>
    <w:rsid w:val="0062068D"/>
    <w:rsid w:val="006317AA"/>
    <w:rsid w:val="00637473"/>
    <w:rsid w:val="00642953"/>
    <w:rsid w:val="006473C3"/>
    <w:rsid w:val="006708D7"/>
    <w:rsid w:val="00673296"/>
    <w:rsid w:val="006837E0"/>
    <w:rsid w:val="00686C14"/>
    <w:rsid w:val="006B7262"/>
    <w:rsid w:val="006C3E5F"/>
    <w:rsid w:val="006C48FF"/>
    <w:rsid w:val="006D10E5"/>
    <w:rsid w:val="006D52FE"/>
    <w:rsid w:val="006E0001"/>
    <w:rsid w:val="006E5CBA"/>
    <w:rsid w:val="006F12F6"/>
    <w:rsid w:val="006F6D37"/>
    <w:rsid w:val="00724248"/>
    <w:rsid w:val="00732186"/>
    <w:rsid w:val="00737049"/>
    <w:rsid w:val="00794D24"/>
    <w:rsid w:val="007A0C5F"/>
    <w:rsid w:val="007A7578"/>
    <w:rsid w:val="007B039D"/>
    <w:rsid w:val="007D58B2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6DE9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828CA"/>
    <w:rsid w:val="009915D0"/>
    <w:rsid w:val="00997D98"/>
    <w:rsid w:val="009B16D9"/>
    <w:rsid w:val="009C22C8"/>
    <w:rsid w:val="009C6B2E"/>
    <w:rsid w:val="009E4E15"/>
    <w:rsid w:val="009E5F2A"/>
    <w:rsid w:val="009E6E1A"/>
    <w:rsid w:val="00A01AF7"/>
    <w:rsid w:val="00A130A0"/>
    <w:rsid w:val="00A2703B"/>
    <w:rsid w:val="00A315CB"/>
    <w:rsid w:val="00A3579D"/>
    <w:rsid w:val="00A45F23"/>
    <w:rsid w:val="00A55356"/>
    <w:rsid w:val="00A557BB"/>
    <w:rsid w:val="00A8520D"/>
    <w:rsid w:val="00AC2993"/>
    <w:rsid w:val="00AC43CF"/>
    <w:rsid w:val="00AD0EDC"/>
    <w:rsid w:val="00AE64CB"/>
    <w:rsid w:val="00AE757B"/>
    <w:rsid w:val="00AF2CD6"/>
    <w:rsid w:val="00AF3ED0"/>
    <w:rsid w:val="00B023CC"/>
    <w:rsid w:val="00B0548B"/>
    <w:rsid w:val="00B30D2F"/>
    <w:rsid w:val="00B50AD7"/>
    <w:rsid w:val="00B64F2F"/>
    <w:rsid w:val="00B70F38"/>
    <w:rsid w:val="00B858F9"/>
    <w:rsid w:val="00B93A3C"/>
    <w:rsid w:val="00B96287"/>
    <w:rsid w:val="00B9756B"/>
    <w:rsid w:val="00BB3345"/>
    <w:rsid w:val="00BB7DE1"/>
    <w:rsid w:val="00BC041A"/>
    <w:rsid w:val="00BC4A0D"/>
    <w:rsid w:val="00BD2DE2"/>
    <w:rsid w:val="00BF7FE3"/>
    <w:rsid w:val="00C0404B"/>
    <w:rsid w:val="00C11EE9"/>
    <w:rsid w:val="00C24D50"/>
    <w:rsid w:val="00C273AD"/>
    <w:rsid w:val="00C72D10"/>
    <w:rsid w:val="00C765C7"/>
    <w:rsid w:val="00CA2EF1"/>
    <w:rsid w:val="00CD2D08"/>
    <w:rsid w:val="00D2064B"/>
    <w:rsid w:val="00D30E1D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A5EA7"/>
    <w:rsid w:val="00DB074F"/>
    <w:rsid w:val="00DB2902"/>
    <w:rsid w:val="00DB743E"/>
    <w:rsid w:val="00DD22A9"/>
    <w:rsid w:val="00DE0E35"/>
    <w:rsid w:val="00DF44AC"/>
    <w:rsid w:val="00DF6C6E"/>
    <w:rsid w:val="00E161BA"/>
    <w:rsid w:val="00E2529E"/>
    <w:rsid w:val="00E36906"/>
    <w:rsid w:val="00E4204B"/>
    <w:rsid w:val="00E648E9"/>
    <w:rsid w:val="00E67135"/>
    <w:rsid w:val="00E77596"/>
    <w:rsid w:val="00E964FD"/>
    <w:rsid w:val="00EA070F"/>
    <w:rsid w:val="00EA64CF"/>
    <w:rsid w:val="00EC751A"/>
    <w:rsid w:val="00ED4D5E"/>
    <w:rsid w:val="00ED71C8"/>
    <w:rsid w:val="00EF2D12"/>
    <w:rsid w:val="00EF7105"/>
    <w:rsid w:val="00EF7D49"/>
    <w:rsid w:val="00F006B2"/>
    <w:rsid w:val="00F318C0"/>
    <w:rsid w:val="00F43DFA"/>
    <w:rsid w:val="00F666CB"/>
    <w:rsid w:val="00F87670"/>
    <w:rsid w:val="00F87F72"/>
    <w:rsid w:val="00F90609"/>
    <w:rsid w:val="00FB3747"/>
    <w:rsid w:val="00FB6AD1"/>
    <w:rsid w:val="00FE7DBC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54D40"/>
  <w15:docId w15:val="{4D1682FD-E520-4E96-AA24-35B215C2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customStyle="1" w:styleId="para71">
    <w:name w:val="para71"/>
    <w:rsid w:val="00A130A0"/>
    <w:pPr>
      <w:suppressLineNumbers/>
      <w:tabs>
        <w:tab w:val="left" w:pos="640"/>
      </w:tabs>
      <w:overflowPunct w:val="0"/>
      <w:autoSpaceDE w:val="0"/>
      <w:autoSpaceDN w:val="0"/>
      <w:adjustRightInd w:val="0"/>
      <w:ind w:firstLine="260"/>
      <w:jc w:val="both"/>
      <w:textAlignment w:val="baseline"/>
    </w:pPr>
    <w:rPr>
      <w:rFonts w:ascii="Times" w:eastAsia="Times New Roman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2020-03-20T11:13:00Z</dcterms:created>
  <dcterms:modified xsi:type="dcterms:W3CDTF">2020-03-20T11:13:00Z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