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43F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B142FE">
        <w:rPr>
          <w:rFonts w:ascii="Times New Roman" w:hAnsi="Times New Roman"/>
          <w:sz w:val="20"/>
        </w:rPr>
        <w:t>Affairs</w:t>
      </w:r>
      <w:r w:rsidR="00B142FE">
        <w:rPr>
          <w:rFonts w:ascii="Times New Roman" w:hAnsi="Times New Roman"/>
          <w:sz w:val="20"/>
        </w:rPr>
        <w:tab/>
        <w:t>M29-1, Part 6, Chapter 11</w:t>
      </w:r>
    </w:p>
    <w:p w14:paraId="4282755A" w14:textId="6DF9C06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  <w:r w:rsidR="001C7BD8">
        <w:rPr>
          <w:b/>
          <w:bCs/>
          <w:sz w:val="20"/>
        </w:rPr>
        <w:t>March 19, 2020</w:t>
      </w:r>
      <w:r>
        <w:rPr>
          <w:b/>
          <w:bCs/>
          <w:sz w:val="20"/>
        </w:rPr>
        <w:tab/>
      </w:r>
    </w:p>
    <w:p w14:paraId="21DCE0C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1A70489" w14:textId="77777777" w:rsidR="00504F80" w:rsidRDefault="00504F80" w:rsidP="00504F80">
      <w:pPr>
        <w:rPr>
          <w:b/>
          <w:bCs/>
          <w:sz w:val="20"/>
        </w:rPr>
      </w:pPr>
    </w:p>
    <w:p w14:paraId="6F65CCFD" w14:textId="77777777" w:rsidR="00504F80" w:rsidRDefault="00AE64CB" w:rsidP="00504F80">
      <w:pPr>
        <w:pStyle w:val="Heading4"/>
      </w:pPr>
      <w:r>
        <w:t>Key Changes</w:t>
      </w:r>
    </w:p>
    <w:p w14:paraId="2F76023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2C1FF25" w14:textId="77777777" w:rsidTr="00C24D50">
        <w:tc>
          <w:tcPr>
            <w:tcW w:w="1728" w:type="dxa"/>
          </w:tcPr>
          <w:p w14:paraId="5D3FDF0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65B2032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B142FE">
              <w:t>1, Part 6, Chapter 11</w:t>
            </w:r>
            <w:r w:rsidR="00D118B2">
              <w:t>.</w:t>
            </w:r>
          </w:p>
          <w:p w14:paraId="20EF218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0E5887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0B109F5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B142FE">
              <w:rPr>
                <w:b/>
              </w:rPr>
              <w:t>, Part 6, Chapter11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32D7D5D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D339125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5E53EB77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547D28D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6093CC0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1078DFA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D118B2">
              <w:rPr>
                <w:b/>
              </w:rPr>
              <w:t>M29-1,</w:t>
            </w:r>
            <w:r w:rsidR="00B142FE">
              <w:rPr>
                <w:b/>
              </w:rPr>
              <w:t xml:space="preserve"> Part 6, Chapter 11</w:t>
            </w:r>
            <w:r w:rsidRPr="009E5F2A">
              <w:t xml:space="preserve"> so that it flows more logically</w:t>
            </w:r>
          </w:p>
          <w:p w14:paraId="39DE6A57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24A26020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044E8146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7766086D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1B94456A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E4392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3092F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25136E" w14:paraId="5F15D796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7B838" w14:textId="77777777" w:rsidR="0025136E" w:rsidRPr="00867483" w:rsidRDefault="0025136E" w:rsidP="00673296">
            <w:pPr>
              <w:pStyle w:val="TableHeaderText"/>
              <w:jc w:val="left"/>
              <w:rPr>
                <w:b w:val="0"/>
              </w:rPr>
            </w:pPr>
            <w:r w:rsidRPr="00867483">
              <w:rPr>
                <w:b w:val="0"/>
              </w:rPr>
              <w:t xml:space="preserve">Removes outdated information on local indexing of unidentified correspondence as </w:t>
            </w:r>
            <w:r w:rsidR="00E22063" w:rsidRPr="00867483">
              <w:rPr>
                <w:b w:val="0"/>
              </w:rPr>
              <w:t>the process has been replaced by Imaging, which is explained in M29-1, Part VIII</w:t>
            </w:r>
            <w:r w:rsidRPr="00867483">
              <w:rPr>
                <w:b w:val="0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30579" w14:textId="77777777" w:rsidR="0025136E" w:rsidRPr="00867483" w:rsidRDefault="00E22063" w:rsidP="00673296">
            <w:pPr>
              <w:pStyle w:val="TableHeaderText"/>
              <w:jc w:val="left"/>
              <w:rPr>
                <w:b w:val="0"/>
              </w:rPr>
            </w:pPr>
            <w:r w:rsidRPr="00867483">
              <w:rPr>
                <w:b w:val="0"/>
              </w:rPr>
              <w:t>Subchapter 11.01</w:t>
            </w:r>
          </w:p>
        </w:tc>
      </w:tr>
      <w:tr w:rsidR="0025136E" w14:paraId="70AAB8C8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C6D28" w14:textId="77777777" w:rsidR="0025136E" w:rsidRPr="00867483" w:rsidRDefault="0025136E" w:rsidP="00673296">
            <w:pPr>
              <w:pStyle w:val="TableHeaderText"/>
              <w:jc w:val="left"/>
              <w:rPr>
                <w:b w:val="0"/>
              </w:rPr>
            </w:pPr>
            <w:r w:rsidRPr="00867483">
              <w:rPr>
                <w:b w:val="0"/>
              </w:rPr>
              <w:t>Clarifies that Insurance staff should send a letter to a correspondent stating that no coverage is in</w:t>
            </w:r>
            <w:r w:rsidR="00E14BC9">
              <w:rPr>
                <w:b w:val="0"/>
              </w:rPr>
              <w:t xml:space="preserve"> </w:t>
            </w:r>
            <w:r w:rsidRPr="00867483">
              <w:rPr>
                <w:b w:val="0"/>
              </w:rPr>
              <w:t xml:space="preserve">force if there is no Insurance electronic record 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4854D" w14:textId="77777777" w:rsidR="0025136E" w:rsidRPr="00867483" w:rsidRDefault="0025136E" w:rsidP="00673296">
            <w:pPr>
              <w:pStyle w:val="TableHeaderText"/>
              <w:jc w:val="left"/>
              <w:rPr>
                <w:b w:val="0"/>
              </w:rPr>
            </w:pPr>
            <w:r w:rsidRPr="00867483">
              <w:rPr>
                <w:b w:val="0"/>
              </w:rPr>
              <w:t>Subchapter 11.01</w:t>
            </w:r>
          </w:p>
        </w:tc>
      </w:tr>
      <w:tr w:rsidR="0060514F" w14:paraId="5D04BE47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FBA61" w14:textId="77777777" w:rsidR="0060514F" w:rsidRPr="0060514F" w:rsidRDefault="00253690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Clarifies that Insurance staff should forward an explanation to a correspondent when VA systems report that a policy was in force prior to the death of the insured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E0078" w14:textId="77777777" w:rsidR="0060514F" w:rsidRPr="0060514F" w:rsidRDefault="00253690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11.01</w:t>
            </w:r>
          </w:p>
        </w:tc>
      </w:tr>
      <w:tr w:rsidR="002A1D3E" w14:paraId="1164501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A049CF6" w14:textId="77777777" w:rsidR="002A1D3E" w:rsidRPr="0060514F" w:rsidRDefault="00686558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Explains that inquiries regarding paid insurance claims or any other related inquiries shoul</w:t>
            </w:r>
            <w:r w:rsidR="003833CD">
              <w:rPr>
                <w:b w:val="0"/>
              </w:rPr>
              <w:t>d be handled via the</w:t>
            </w:r>
            <w:r w:rsidR="00F75C64">
              <w:rPr>
                <w:b w:val="0"/>
              </w:rPr>
              <w:t xml:space="preserve"> procedures listed in M</w:t>
            </w:r>
            <w:r w:rsidR="003833CD">
              <w:rPr>
                <w:b w:val="0"/>
              </w:rPr>
              <w:t>29-1, Part</w:t>
            </w:r>
            <w:r w:rsidR="00F75C64">
              <w:rPr>
                <w:b w:val="0"/>
              </w:rPr>
              <w:t xml:space="preserve"> </w:t>
            </w:r>
            <w:r w:rsidR="003833CD">
              <w:rPr>
                <w:b w:val="0"/>
              </w:rPr>
              <w:t xml:space="preserve">1, Chapter 12—Miscellaneous </w:t>
            </w:r>
          </w:p>
        </w:tc>
        <w:tc>
          <w:tcPr>
            <w:tcW w:w="1058" w:type="pct"/>
            <w:shd w:val="clear" w:color="auto" w:fill="auto"/>
          </w:tcPr>
          <w:p w14:paraId="3E0643D0" w14:textId="77777777" w:rsidR="002A1D3E" w:rsidRPr="0060514F" w:rsidRDefault="003833CD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11.02</w:t>
            </w:r>
          </w:p>
        </w:tc>
      </w:tr>
      <w:tr w:rsidR="002A1D3E" w14:paraId="7555205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062424C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64964EAD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25EE84D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DC73745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3EA047C7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057B746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A6B2D5B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0CB7E290" w14:textId="77777777" w:rsidR="002A1D3E" w:rsidRPr="0060514F" w:rsidRDefault="002A1D3E" w:rsidP="00673296">
            <w:pPr>
              <w:pStyle w:val="TableText"/>
            </w:pPr>
          </w:p>
        </w:tc>
      </w:tr>
    </w:tbl>
    <w:p w14:paraId="6C2C33FB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387AEE12" w14:textId="77777777" w:rsidTr="0060514F">
        <w:trPr>
          <w:trHeight w:val="330"/>
        </w:trPr>
        <w:tc>
          <w:tcPr>
            <w:tcW w:w="7380" w:type="dxa"/>
          </w:tcPr>
          <w:p w14:paraId="76D30B5B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1967A6E9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6059357A" w14:textId="77777777" w:rsidTr="00673296">
        <w:trPr>
          <w:trHeight w:val="187"/>
        </w:trPr>
        <w:tc>
          <w:tcPr>
            <w:tcW w:w="7380" w:type="dxa"/>
          </w:tcPr>
          <w:p w14:paraId="5F0BEF92" w14:textId="77777777" w:rsidR="0060514F" w:rsidRPr="0060514F" w:rsidRDefault="0060514F" w:rsidP="00673296"/>
        </w:tc>
        <w:tc>
          <w:tcPr>
            <w:tcW w:w="1980" w:type="dxa"/>
          </w:tcPr>
          <w:p w14:paraId="67F2955E" w14:textId="77777777" w:rsidR="0060514F" w:rsidRPr="0060514F" w:rsidRDefault="0060514F" w:rsidP="00673296"/>
        </w:tc>
      </w:tr>
      <w:tr w:rsidR="0060514F" w:rsidRPr="004221F2" w14:paraId="6FE3CB49" w14:textId="77777777" w:rsidTr="00673296">
        <w:trPr>
          <w:trHeight w:val="187"/>
        </w:trPr>
        <w:tc>
          <w:tcPr>
            <w:tcW w:w="7380" w:type="dxa"/>
          </w:tcPr>
          <w:p w14:paraId="59656C99" w14:textId="77777777" w:rsidR="0060514F" w:rsidRPr="0060514F" w:rsidRDefault="0060514F" w:rsidP="00673296"/>
        </w:tc>
        <w:tc>
          <w:tcPr>
            <w:tcW w:w="1980" w:type="dxa"/>
          </w:tcPr>
          <w:p w14:paraId="23041D46" w14:textId="77777777" w:rsidR="0060514F" w:rsidRPr="0060514F" w:rsidRDefault="0060514F" w:rsidP="00673296"/>
        </w:tc>
      </w:tr>
      <w:tr w:rsidR="0060514F" w:rsidRPr="004221F2" w14:paraId="06438BEB" w14:textId="77777777" w:rsidTr="00673296">
        <w:trPr>
          <w:trHeight w:val="187"/>
        </w:trPr>
        <w:tc>
          <w:tcPr>
            <w:tcW w:w="7380" w:type="dxa"/>
          </w:tcPr>
          <w:p w14:paraId="10FAACF4" w14:textId="77777777" w:rsidR="0060514F" w:rsidRPr="0060514F" w:rsidRDefault="0060514F" w:rsidP="00673296"/>
        </w:tc>
        <w:tc>
          <w:tcPr>
            <w:tcW w:w="1980" w:type="dxa"/>
          </w:tcPr>
          <w:p w14:paraId="7BC9C2CF" w14:textId="77777777" w:rsidR="0060514F" w:rsidRPr="0060514F" w:rsidRDefault="0060514F" w:rsidP="00673296"/>
        </w:tc>
      </w:tr>
    </w:tbl>
    <w:p w14:paraId="685B6EA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796E1D2" w14:textId="77777777" w:rsidTr="00237C22">
        <w:tc>
          <w:tcPr>
            <w:tcW w:w="1728" w:type="dxa"/>
          </w:tcPr>
          <w:p w14:paraId="16B0733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A41564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261DF7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0850E4A" w14:textId="77777777" w:rsidTr="00237C22">
        <w:tc>
          <w:tcPr>
            <w:tcW w:w="1728" w:type="dxa"/>
          </w:tcPr>
          <w:p w14:paraId="3FC708E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1ADB85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B81E0F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A419256" w14:textId="77777777" w:rsidTr="00237C22">
        <w:tc>
          <w:tcPr>
            <w:tcW w:w="1728" w:type="dxa"/>
          </w:tcPr>
          <w:p w14:paraId="209FFA1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448F03C" w14:textId="77777777" w:rsidR="00504F80" w:rsidRPr="00B4163A" w:rsidRDefault="00504F80" w:rsidP="00237C22">
            <w:pPr>
              <w:pStyle w:val="BlockText"/>
            </w:pPr>
          </w:p>
          <w:p w14:paraId="6D34FF0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52838C3" w14:textId="06F100A2" w:rsidR="005C2AD9" w:rsidRDefault="001C7BD8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13165182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2097CA3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980AF9A" w14:textId="77777777" w:rsidTr="00237C22">
        <w:tc>
          <w:tcPr>
            <w:tcW w:w="1728" w:type="dxa"/>
          </w:tcPr>
          <w:p w14:paraId="7A35FCD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432BCC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8DD7F3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4661368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5086" w14:textId="77777777" w:rsidR="00AC485F" w:rsidRDefault="00AC485F" w:rsidP="00C765C7">
      <w:r>
        <w:separator/>
      </w:r>
    </w:p>
  </w:endnote>
  <w:endnote w:type="continuationSeparator" w:id="0">
    <w:p w14:paraId="29F5B76F" w14:textId="77777777" w:rsidR="00AC485F" w:rsidRDefault="00AC485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9B2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5DFB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09DD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5B76208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BFA4" w14:textId="77777777" w:rsidR="00AC485F" w:rsidRDefault="00AC485F" w:rsidP="00C765C7">
      <w:r>
        <w:separator/>
      </w:r>
    </w:p>
  </w:footnote>
  <w:footnote w:type="continuationSeparator" w:id="0">
    <w:p w14:paraId="5A8720DC" w14:textId="77777777" w:rsidR="00AC485F" w:rsidRDefault="00AC485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C7BD8"/>
    <w:rsid w:val="001E6334"/>
    <w:rsid w:val="002041BE"/>
    <w:rsid w:val="00205C50"/>
    <w:rsid w:val="002220F1"/>
    <w:rsid w:val="00237C22"/>
    <w:rsid w:val="00240624"/>
    <w:rsid w:val="0025136E"/>
    <w:rsid w:val="00253690"/>
    <w:rsid w:val="00264204"/>
    <w:rsid w:val="00271962"/>
    <w:rsid w:val="0027298D"/>
    <w:rsid w:val="002A1D3E"/>
    <w:rsid w:val="002A3792"/>
    <w:rsid w:val="002B7A7E"/>
    <w:rsid w:val="002F5B21"/>
    <w:rsid w:val="002F7397"/>
    <w:rsid w:val="00311F26"/>
    <w:rsid w:val="00327657"/>
    <w:rsid w:val="00332B80"/>
    <w:rsid w:val="00341981"/>
    <w:rsid w:val="00366D36"/>
    <w:rsid w:val="003833CD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393B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86558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67483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C485F"/>
    <w:rsid w:val="00AD0EDC"/>
    <w:rsid w:val="00AE64CB"/>
    <w:rsid w:val="00AF2CD6"/>
    <w:rsid w:val="00B023CC"/>
    <w:rsid w:val="00B0548B"/>
    <w:rsid w:val="00B142FE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118B2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14BC9"/>
    <w:rsid w:val="00E22063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75C64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2B6DE"/>
  <w15:docId w15:val="{133C69CE-C33B-43E2-AED7-8C3CBE7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2020-03-20T10:58:00Z</dcterms:created>
  <dcterms:modified xsi:type="dcterms:W3CDTF">2020-03-20T10:58:00Z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