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BF10" w14:textId="77777777" w:rsidR="001C534D" w:rsidRPr="004F6BD3" w:rsidRDefault="001C534D" w:rsidP="001C534D">
      <w:pPr>
        <w:jc w:val="center"/>
        <w:rPr>
          <w:rFonts w:ascii="Verdana" w:hAnsi="Verdana"/>
          <w:b/>
          <w:bCs/>
          <w:sz w:val="24"/>
        </w:rPr>
      </w:pPr>
      <w:bookmarkStart w:id="0" w:name="_GoBack"/>
      <w:bookmarkEnd w:id="0"/>
      <w:r w:rsidRPr="004F6BD3">
        <w:rPr>
          <w:rFonts w:ascii="Verdana" w:hAnsi="Verdana"/>
          <w:b/>
          <w:bCs/>
          <w:sz w:val="24"/>
        </w:rPr>
        <w:t>Table of Contents</w:t>
      </w:r>
    </w:p>
    <w:p w14:paraId="0A4AADF8" w14:textId="77777777" w:rsidR="001C534D" w:rsidRPr="004F6BD3" w:rsidRDefault="001C534D" w:rsidP="001C534D">
      <w:pPr>
        <w:jc w:val="center"/>
        <w:rPr>
          <w:rFonts w:ascii="Verdana" w:hAnsi="Verdana"/>
          <w:b/>
          <w:bCs/>
          <w:sz w:val="24"/>
        </w:rPr>
      </w:pPr>
    </w:p>
    <w:p w14:paraId="6E00BECF" w14:textId="2A1F4CAB" w:rsidR="001C534D" w:rsidRPr="004D00D5" w:rsidRDefault="001C534D" w:rsidP="001C534D">
      <w:pPr>
        <w:jc w:val="center"/>
        <w:rPr>
          <w:rFonts w:ascii="Verdana" w:hAnsi="Verdana"/>
          <w:b/>
          <w:bCs/>
          <w:sz w:val="24"/>
        </w:rPr>
      </w:pPr>
      <w:r w:rsidRPr="004D00D5">
        <w:rPr>
          <w:rFonts w:ascii="Verdana" w:hAnsi="Verdana"/>
          <w:b/>
          <w:bCs/>
          <w:sz w:val="24"/>
        </w:rPr>
        <w:t xml:space="preserve">CHAPTER </w:t>
      </w:r>
      <w:r>
        <w:rPr>
          <w:rFonts w:ascii="Verdana" w:hAnsi="Verdana"/>
          <w:b/>
          <w:bCs/>
          <w:sz w:val="24"/>
        </w:rPr>
        <w:t>10</w:t>
      </w:r>
      <w:r w:rsidRPr="004D00D5">
        <w:rPr>
          <w:rFonts w:ascii="Verdana" w:hAnsi="Verdana"/>
          <w:b/>
          <w:bCs/>
          <w:sz w:val="24"/>
        </w:rPr>
        <w:t xml:space="preserve">. </w:t>
      </w:r>
      <w:r>
        <w:rPr>
          <w:rFonts w:ascii="Verdana" w:hAnsi="Verdana"/>
          <w:b/>
          <w:bCs/>
          <w:sz w:val="24"/>
        </w:rPr>
        <w:t>Processing Death Cases on Inactive Accounts</w:t>
      </w:r>
    </w:p>
    <w:p w14:paraId="2E5D2F7B" w14:textId="77777777" w:rsidR="001C534D" w:rsidRPr="006B28D2" w:rsidRDefault="001C534D" w:rsidP="001C534D">
      <w:pPr>
        <w:jc w:val="center"/>
        <w:rPr>
          <w:rFonts w:ascii="Verdana" w:hAnsi="Verdana"/>
          <w:b/>
          <w:bCs/>
          <w:color w:val="595959"/>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328"/>
      </w:tblGrid>
      <w:tr w:rsidR="001C534D" w:rsidRPr="00E2112D" w14:paraId="7F44F1E0" w14:textId="77777777" w:rsidTr="001C534D">
        <w:trPr>
          <w:trHeight w:val="368"/>
        </w:trPr>
        <w:tc>
          <w:tcPr>
            <w:tcW w:w="4302" w:type="dxa"/>
            <w:tcBorders>
              <w:top w:val="single" w:sz="4" w:space="0" w:color="auto"/>
              <w:left w:val="single" w:sz="4" w:space="0" w:color="auto"/>
              <w:bottom w:val="single" w:sz="4" w:space="0" w:color="auto"/>
              <w:right w:val="single" w:sz="4" w:space="0" w:color="auto"/>
            </w:tcBorders>
            <w:shd w:val="clear" w:color="auto" w:fill="auto"/>
            <w:hideMark/>
          </w:tcPr>
          <w:p w14:paraId="47F352C1" w14:textId="77777777" w:rsidR="001C534D" w:rsidRPr="00EF09E0" w:rsidRDefault="001C534D" w:rsidP="00B607D3">
            <w:pPr>
              <w:jc w:val="center"/>
              <w:rPr>
                <w:rFonts w:ascii="Verdana" w:hAnsi="Verdana"/>
                <w:b/>
                <w:bCs/>
                <w:sz w:val="24"/>
              </w:rPr>
            </w:pPr>
            <w:r w:rsidRPr="00EF09E0">
              <w:rPr>
                <w:rFonts w:ascii="Verdana" w:hAnsi="Verdana"/>
                <w:b/>
                <w:bCs/>
                <w:sz w:val="24"/>
              </w:rPr>
              <w:t>Subsection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CBAA47B" w14:textId="77777777" w:rsidR="001C534D" w:rsidRPr="00EF09E0" w:rsidRDefault="001C534D" w:rsidP="00B607D3">
            <w:pPr>
              <w:jc w:val="center"/>
              <w:rPr>
                <w:rFonts w:ascii="Verdana" w:hAnsi="Verdana"/>
                <w:b/>
                <w:bCs/>
                <w:sz w:val="24"/>
              </w:rPr>
            </w:pPr>
            <w:r w:rsidRPr="00EF09E0">
              <w:rPr>
                <w:rFonts w:ascii="Verdana" w:hAnsi="Verdana"/>
                <w:b/>
                <w:bCs/>
                <w:sz w:val="24"/>
              </w:rPr>
              <w:t>Name</w:t>
            </w:r>
          </w:p>
        </w:tc>
      </w:tr>
      <w:tr w:rsidR="001C534D" w:rsidRPr="00E2112D" w14:paraId="553863E0" w14:textId="77777777" w:rsidTr="001C534D">
        <w:trPr>
          <w:trHeight w:val="350"/>
        </w:trPr>
        <w:tc>
          <w:tcPr>
            <w:tcW w:w="4302" w:type="dxa"/>
            <w:tcBorders>
              <w:top w:val="single" w:sz="4" w:space="0" w:color="auto"/>
              <w:left w:val="single" w:sz="4" w:space="0" w:color="auto"/>
              <w:bottom w:val="single" w:sz="4" w:space="0" w:color="auto"/>
              <w:right w:val="single" w:sz="4" w:space="0" w:color="auto"/>
            </w:tcBorders>
            <w:shd w:val="clear" w:color="auto" w:fill="auto"/>
          </w:tcPr>
          <w:p w14:paraId="13000D7F" w14:textId="3A2C4C16" w:rsidR="001C534D" w:rsidRPr="00EF09E0" w:rsidRDefault="001C534D" w:rsidP="00B607D3">
            <w:pPr>
              <w:rPr>
                <w:rFonts w:ascii="Verdana" w:hAnsi="Verdana"/>
                <w:bCs/>
                <w:sz w:val="24"/>
              </w:rPr>
            </w:pPr>
            <w:r>
              <w:rPr>
                <w:rFonts w:ascii="Verdana" w:hAnsi="Verdana"/>
                <w:bCs/>
                <w:sz w:val="24"/>
              </w:rPr>
              <w:t>10.01</w:t>
            </w:r>
          </w:p>
        </w:tc>
        <w:tc>
          <w:tcPr>
            <w:tcW w:w="4328" w:type="dxa"/>
            <w:tcBorders>
              <w:top w:val="single" w:sz="4" w:space="0" w:color="auto"/>
              <w:left w:val="single" w:sz="4" w:space="0" w:color="auto"/>
              <w:bottom w:val="single" w:sz="4" w:space="0" w:color="auto"/>
              <w:right w:val="single" w:sz="4" w:space="0" w:color="auto"/>
            </w:tcBorders>
            <w:shd w:val="clear" w:color="auto" w:fill="auto"/>
          </w:tcPr>
          <w:p w14:paraId="04128301" w14:textId="321A6F42" w:rsidR="001C534D" w:rsidRPr="00EF09E0" w:rsidRDefault="001C534D" w:rsidP="00B607D3">
            <w:pPr>
              <w:rPr>
                <w:rFonts w:ascii="Verdana" w:hAnsi="Verdana"/>
                <w:bCs/>
                <w:sz w:val="24"/>
              </w:rPr>
            </w:pPr>
            <w:r>
              <w:rPr>
                <w:rFonts w:ascii="Verdana" w:hAnsi="Verdana"/>
                <w:bCs/>
                <w:sz w:val="24"/>
              </w:rPr>
              <w:t>General</w:t>
            </w:r>
          </w:p>
        </w:tc>
      </w:tr>
      <w:tr w:rsidR="001C534D" w:rsidRPr="00E2112D" w14:paraId="731234B8" w14:textId="77777777" w:rsidTr="001C534D">
        <w:tc>
          <w:tcPr>
            <w:tcW w:w="4302" w:type="dxa"/>
            <w:tcBorders>
              <w:top w:val="single" w:sz="4" w:space="0" w:color="auto"/>
              <w:left w:val="single" w:sz="4" w:space="0" w:color="auto"/>
              <w:bottom w:val="single" w:sz="4" w:space="0" w:color="auto"/>
              <w:right w:val="single" w:sz="4" w:space="0" w:color="auto"/>
            </w:tcBorders>
            <w:shd w:val="clear" w:color="auto" w:fill="auto"/>
          </w:tcPr>
          <w:p w14:paraId="6F5C7026" w14:textId="71135CAF" w:rsidR="001C534D" w:rsidRPr="00EF09E0" w:rsidRDefault="001C534D" w:rsidP="00B607D3">
            <w:pPr>
              <w:rPr>
                <w:rFonts w:ascii="Verdana" w:hAnsi="Verdana"/>
                <w:bCs/>
                <w:sz w:val="24"/>
              </w:rPr>
            </w:pPr>
            <w:r>
              <w:rPr>
                <w:rFonts w:ascii="Verdana" w:hAnsi="Verdana"/>
                <w:bCs/>
                <w:sz w:val="24"/>
              </w:rPr>
              <w:t>10.02</w:t>
            </w:r>
          </w:p>
        </w:tc>
        <w:tc>
          <w:tcPr>
            <w:tcW w:w="4328" w:type="dxa"/>
            <w:tcBorders>
              <w:top w:val="single" w:sz="4" w:space="0" w:color="auto"/>
              <w:left w:val="single" w:sz="4" w:space="0" w:color="auto"/>
              <w:bottom w:val="single" w:sz="4" w:space="0" w:color="auto"/>
              <w:right w:val="single" w:sz="4" w:space="0" w:color="auto"/>
            </w:tcBorders>
            <w:shd w:val="clear" w:color="auto" w:fill="auto"/>
          </w:tcPr>
          <w:p w14:paraId="48475199" w14:textId="7A288828" w:rsidR="001C534D" w:rsidRPr="00EF09E0" w:rsidRDefault="001C534D" w:rsidP="00B607D3">
            <w:pPr>
              <w:rPr>
                <w:rFonts w:ascii="Verdana" w:hAnsi="Verdana"/>
                <w:bCs/>
                <w:sz w:val="24"/>
              </w:rPr>
            </w:pPr>
            <w:r>
              <w:rPr>
                <w:rFonts w:ascii="Verdana" w:hAnsi="Verdana"/>
                <w:bCs/>
                <w:sz w:val="24"/>
              </w:rPr>
              <w:t>Clerical Action</w:t>
            </w:r>
          </w:p>
        </w:tc>
      </w:tr>
    </w:tbl>
    <w:p w14:paraId="3FD8C021" w14:textId="77777777" w:rsidR="001C534D" w:rsidRDefault="001C534D" w:rsidP="001C534D">
      <w:pPr>
        <w:pStyle w:val="para3"/>
        <w:rPr>
          <w:rFonts w:ascii="Verdana" w:hAnsi="Verdana"/>
        </w:rPr>
      </w:pPr>
    </w:p>
    <w:p w14:paraId="1057538C" w14:textId="77777777" w:rsidR="001C534D" w:rsidRDefault="001C534D" w:rsidP="009A254F">
      <w:pPr>
        <w:pStyle w:val="para40"/>
        <w:ind w:left="0" w:firstLine="0"/>
        <w:rPr>
          <w:rFonts w:ascii="Verdana" w:hAnsi="Verdana"/>
        </w:rPr>
      </w:pPr>
    </w:p>
    <w:p w14:paraId="3F5FD617" w14:textId="7FFC6262" w:rsidR="006D2A1E" w:rsidRPr="009A254F" w:rsidRDefault="006D2A1E" w:rsidP="001C534D">
      <w:pPr>
        <w:pStyle w:val="para40"/>
        <w:ind w:left="0" w:firstLine="0"/>
        <w:rPr>
          <w:rFonts w:ascii="Verdana" w:hAnsi="Verdana"/>
        </w:rPr>
      </w:pPr>
      <w:r w:rsidRPr="009A254F">
        <w:rPr>
          <w:rFonts w:ascii="Verdana" w:hAnsi="Verdana"/>
        </w:rPr>
        <w:t>10.01</w:t>
      </w:r>
      <w:r w:rsidR="009A254F">
        <w:rPr>
          <w:rFonts w:ascii="Verdana" w:hAnsi="Verdana"/>
        </w:rPr>
        <w:t xml:space="preserve"> </w:t>
      </w:r>
      <w:r w:rsidRPr="009A254F">
        <w:rPr>
          <w:rFonts w:ascii="Verdana" w:hAnsi="Verdana"/>
        </w:rPr>
        <w:t>GENERAL</w:t>
      </w:r>
    </w:p>
    <w:p w14:paraId="5AA50ED7" w14:textId="77777777" w:rsidR="006D2A1E" w:rsidRPr="009A254F" w:rsidRDefault="006D2A1E" w:rsidP="001C534D">
      <w:pPr>
        <w:pStyle w:val="para8"/>
        <w:jc w:val="left"/>
        <w:rPr>
          <w:rFonts w:ascii="Verdana" w:hAnsi="Verdana"/>
        </w:rPr>
      </w:pPr>
    </w:p>
    <w:p w14:paraId="093729D2" w14:textId="5CAA9E1B" w:rsidR="006D2A1E" w:rsidRPr="009A254F" w:rsidRDefault="006D2A1E" w:rsidP="001C534D">
      <w:pPr>
        <w:pStyle w:val="para9"/>
        <w:ind w:firstLine="0"/>
        <w:jc w:val="left"/>
        <w:rPr>
          <w:rFonts w:ascii="Verdana" w:hAnsi="Verdana"/>
        </w:rPr>
      </w:pPr>
      <w:r w:rsidRPr="009A254F">
        <w:rPr>
          <w:rFonts w:ascii="Verdana" w:hAnsi="Verdana"/>
        </w:rPr>
        <w:t xml:space="preserve">BIRLS (Beneficiary Identification and Records Locator Subsystem) will generate a notice of death to </w:t>
      </w:r>
      <w:r w:rsidR="00D836A2" w:rsidRPr="009A254F">
        <w:rPr>
          <w:rFonts w:ascii="Verdana" w:hAnsi="Verdana"/>
        </w:rPr>
        <w:t xml:space="preserve">the VA Insurance Center </w:t>
      </w:r>
      <w:r w:rsidR="00A9319B" w:rsidRPr="009A254F">
        <w:rPr>
          <w:rFonts w:ascii="Verdana" w:hAnsi="Verdana"/>
        </w:rPr>
        <w:t>on insurance that</w:t>
      </w:r>
      <w:r w:rsidRPr="009A254F">
        <w:rPr>
          <w:rFonts w:ascii="Verdana" w:hAnsi="Verdana"/>
        </w:rPr>
        <w:t xml:space="preserve"> has lapsed within </w:t>
      </w:r>
      <w:r w:rsidR="001C534D">
        <w:rPr>
          <w:rFonts w:ascii="Verdana" w:hAnsi="Verdana"/>
        </w:rPr>
        <w:t>two</w:t>
      </w:r>
      <w:r w:rsidRPr="009A254F">
        <w:rPr>
          <w:rFonts w:ascii="Verdana" w:hAnsi="Verdana"/>
        </w:rPr>
        <w:t xml:space="preserve"> years prior to the date of death, or if a liabilit</w:t>
      </w:r>
      <w:r w:rsidR="000A5A3B" w:rsidRPr="009A254F">
        <w:rPr>
          <w:rFonts w:ascii="Verdana" w:hAnsi="Verdana"/>
        </w:rPr>
        <w:t xml:space="preserve">y exists. A </w:t>
      </w:r>
      <w:r w:rsidRPr="009A254F">
        <w:rPr>
          <w:rFonts w:ascii="Verdana" w:hAnsi="Verdana"/>
        </w:rPr>
        <w:t>368d, Report of Status for Settlement of Death Claims, will not be required unless the account can be adjusted and placed in force or there are refundable credits of $25 or more.</w:t>
      </w:r>
    </w:p>
    <w:p w14:paraId="244C1D5B" w14:textId="77777777" w:rsidR="006D2A1E" w:rsidRPr="009A254F" w:rsidRDefault="006D2A1E" w:rsidP="001C534D">
      <w:pPr>
        <w:pStyle w:val="para9"/>
        <w:jc w:val="left"/>
        <w:rPr>
          <w:rFonts w:ascii="Verdana" w:hAnsi="Verdana"/>
        </w:rPr>
      </w:pPr>
    </w:p>
    <w:p w14:paraId="170EEB27" w14:textId="660078ED" w:rsidR="006D2A1E" w:rsidRPr="009A254F" w:rsidRDefault="009A254F" w:rsidP="001C534D">
      <w:pPr>
        <w:pStyle w:val="para40"/>
        <w:ind w:left="0" w:firstLine="0"/>
        <w:rPr>
          <w:rFonts w:ascii="Verdana" w:hAnsi="Verdana"/>
        </w:rPr>
      </w:pPr>
      <w:r>
        <w:rPr>
          <w:rFonts w:ascii="Verdana" w:hAnsi="Verdana"/>
        </w:rPr>
        <w:t xml:space="preserve">10.02 </w:t>
      </w:r>
      <w:r w:rsidR="006D2A1E" w:rsidRPr="009A254F">
        <w:rPr>
          <w:rFonts w:ascii="Verdana" w:hAnsi="Verdana"/>
        </w:rPr>
        <w:t>CLERICAL ACTION</w:t>
      </w:r>
    </w:p>
    <w:p w14:paraId="325FE866" w14:textId="77777777" w:rsidR="006D2A1E" w:rsidRPr="009A254F" w:rsidRDefault="006D2A1E" w:rsidP="001C534D">
      <w:pPr>
        <w:pStyle w:val="para8"/>
        <w:jc w:val="left"/>
        <w:rPr>
          <w:rFonts w:ascii="Verdana" w:hAnsi="Verdana"/>
        </w:rPr>
      </w:pPr>
    </w:p>
    <w:p w14:paraId="2463517F" w14:textId="104FA989" w:rsidR="006D2A1E" w:rsidRPr="009A254F" w:rsidRDefault="006D2A1E" w:rsidP="001C534D">
      <w:pPr>
        <w:pStyle w:val="para5"/>
        <w:tabs>
          <w:tab w:val="clear" w:pos="1640"/>
          <w:tab w:val="left" w:pos="720"/>
        </w:tabs>
        <w:ind w:left="720" w:hanging="360"/>
        <w:rPr>
          <w:rFonts w:ascii="Verdana" w:hAnsi="Verdana"/>
        </w:rPr>
      </w:pPr>
      <w:r w:rsidRPr="009A254F">
        <w:rPr>
          <w:rFonts w:ascii="Verdana" w:hAnsi="Verdana"/>
        </w:rPr>
        <w:t>a.</w:t>
      </w:r>
      <w:r w:rsidRPr="009A254F">
        <w:rPr>
          <w:rFonts w:ascii="Verdana" w:hAnsi="Verdana"/>
        </w:rPr>
        <w:tab/>
        <w:t xml:space="preserve">The insurance record will be reviewed for evidence indicating that the insurance lapsed after waiver of premiums was terminated for failure to cooperate. If such evidence is of record, the case will be referred to the </w:t>
      </w:r>
      <w:r w:rsidR="004D7F18" w:rsidRPr="009A254F">
        <w:rPr>
          <w:rFonts w:ascii="Verdana" w:hAnsi="Verdana"/>
        </w:rPr>
        <w:t xml:space="preserve">Section Chief, </w:t>
      </w:r>
      <w:r w:rsidRPr="009A254F">
        <w:rPr>
          <w:rFonts w:ascii="Verdana" w:hAnsi="Verdana"/>
        </w:rPr>
        <w:t xml:space="preserve">Insurance Claims </w:t>
      </w:r>
      <w:r w:rsidR="000A5A3B" w:rsidRPr="009A254F">
        <w:rPr>
          <w:rFonts w:ascii="Verdana" w:hAnsi="Verdana"/>
        </w:rPr>
        <w:t>Division</w:t>
      </w:r>
      <w:r w:rsidRPr="009A254F">
        <w:rPr>
          <w:rFonts w:ascii="Verdana" w:hAnsi="Verdana"/>
        </w:rPr>
        <w:t xml:space="preserve"> for review.</w:t>
      </w:r>
    </w:p>
    <w:p w14:paraId="113A30B5" w14:textId="77777777" w:rsidR="006D2A1E" w:rsidRPr="009A254F" w:rsidRDefault="006D2A1E" w:rsidP="001C534D">
      <w:pPr>
        <w:pStyle w:val="para5"/>
        <w:tabs>
          <w:tab w:val="clear" w:pos="1640"/>
          <w:tab w:val="left" w:pos="720"/>
        </w:tabs>
        <w:ind w:left="720" w:hanging="360"/>
        <w:rPr>
          <w:rFonts w:ascii="Verdana" w:hAnsi="Verdana"/>
        </w:rPr>
      </w:pPr>
    </w:p>
    <w:p w14:paraId="69D9FAE0" w14:textId="5E8FE906" w:rsidR="003C5C4E" w:rsidRPr="009A254F" w:rsidRDefault="006D2A1E" w:rsidP="001C534D">
      <w:pPr>
        <w:pStyle w:val="para5"/>
        <w:tabs>
          <w:tab w:val="clear" w:pos="1640"/>
          <w:tab w:val="left" w:pos="720"/>
        </w:tabs>
        <w:ind w:left="720" w:hanging="360"/>
        <w:rPr>
          <w:rFonts w:ascii="Verdana" w:hAnsi="Verdana"/>
        </w:rPr>
      </w:pPr>
      <w:r w:rsidRPr="009A254F">
        <w:rPr>
          <w:rFonts w:ascii="Verdana" w:hAnsi="Verdana"/>
        </w:rPr>
        <w:t>b.</w:t>
      </w:r>
      <w:r w:rsidR="001B1D6A" w:rsidRPr="009A254F">
        <w:rPr>
          <w:rFonts w:ascii="Verdana" w:hAnsi="Verdana"/>
        </w:rPr>
        <w:t xml:space="preserve"> </w:t>
      </w:r>
      <w:r w:rsidR="009A254F">
        <w:rPr>
          <w:rFonts w:ascii="Verdana" w:hAnsi="Verdana"/>
        </w:rPr>
        <w:t xml:space="preserve"> </w:t>
      </w:r>
      <w:r w:rsidR="001B1D6A" w:rsidRPr="009A254F">
        <w:rPr>
          <w:rFonts w:ascii="Verdana" w:hAnsi="Verdana"/>
        </w:rPr>
        <w:t>In limited pay records (non-death award overpayments)</w:t>
      </w:r>
      <w:r w:rsidR="001C534D">
        <w:rPr>
          <w:rFonts w:ascii="Verdana" w:hAnsi="Verdana"/>
        </w:rPr>
        <w:t xml:space="preserve"> </w:t>
      </w:r>
      <w:r w:rsidR="001B1D6A" w:rsidRPr="009A254F">
        <w:rPr>
          <w:rFonts w:ascii="Verdana" w:hAnsi="Verdana"/>
        </w:rPr>
        <w:t>of any amount, the liability will be added to the record using TT036.</w:t>
      </w:r>
      <w:r w:rsidR="003C5C4E" w:rsidRPr="009A254F">
        <w:rPr>
          <w:rFonts w:ascii="Verdana" w:hAnsi="Verdana"/>
        </w:rPr>
        <w:t xml:space="preserve">  </w:t>
      </w:r>
      <w:r w:rsidR="001B1D6A" w:rsidRPr="009A254F">
        <w:rPr>
          <w:rFonts w:ascii="Verdana" w:hAnsi="Verdana"/>
        </w:rPr>
        <w:t xml:space="preserve">Once an heir is located who is entitled to the liability, a supplemental </w:t>
      </w:r>
      <w:r w:rsidR="003C5C4E" w:rsidRPr="009A254F">
        <w:rPr>
          <w:rFonts w:ascii="Verdana" w:hAnsi="Verdana"/>
        </w:rPr>
        <w:t>368d will be prepared without notes</w:t>
      </w:r>
      <w:r w:rsidR="001B1D6A" w:rsidRPr="009A254F">
        <w:rPr>
          <w:rFonts w:ascii="Verdana" w:hAnsi="Verdana"/>
        </w:rPr>
        <w:t xml:space="preserve"> and the payment will be refunded to the heir using </w:t>
      </w:r>
      <w:r w:rsidR="003C5C4E" w:rsidRPr="009A254F">
        <w:rPr>
          <w:rFonts w:ascii="Verdana" w:hAnsi="Verdana"/>
        </w:rPr>
        <w:t xml:space="preserve">a </w:t>
      </w:r>
      <w:r w:rsidR="001B1D6A" w:rsidRPr="009A254F">
        <w:rPr>
          <w:rFonts w:ascii="Verdana" w:hAnsi="Verdana"/>
        </w:rPr>
        <w:t>706 refund or the address screen and a refund flash.  The liability will then be deleted using TT035, account 09.</w:t>
      </w:r>
      <w:r w:rsidR="001B1D6A" w:rsidRPr="009A254F">
        <w:rPr>
          <w:rFonts w:ascii="Verdana" w:hAnsi="Verdana"/>
        </w:rPr>
        <w:br/>
      </w:r>
    </w:p>
    <w:p w14:paraId="38DD9E76" w14:textId="4F290B5C" w:rsidR="001B1D6A" w:rsidRPr="009A254F" w:rsidRDefault="003C5C4E" w:rsidP="001C534D">
      <w:pPr>
        <w:pStyle w:val="para5"/>
        <w:tabs>
          <w:tab w:val="clear" w:pos="1640"/>
          <w:tab w:val="left" w:pos="1080"/>
        </w:tabs>
        <w:ind w:left="1080" w:hanging="360"/>
        <w:rPr>
          <w:rFonts w:ascii="Verdana" w:hAnsi="Verdana"/>
        </w:rPr>
      </w:pPr>
      <w:r w:rsidRPr="009A254F">
        <w:rPr>
          <w:rFonts w:ascii="Verdana" w:hAnsi="Verdana"/>
        </w:rPr>
        <w:t xml:space="preserve">1. </w:t>
      </w:r>
      <w:r w:rsidR="009A254F">
        <w:rPr>
          <w:rFonts w:ascii="Verdana" w:hAnsi="Verdana"/>
        </w:rPr>
        <w:t xml:space="preserve"> </w:t>
      </w:r>
      <w:r w:rsidR="001B1D6A" w:rsidRPr="009A254F">
        <w:rPr>
          <w:rFonts w:ascii="Verdana" w:hAnsi="Verdana"/>
        </w:rPr>
        <w:t xml:space="preserve">If the liability is less than $25, the liability is deleted </w:t>
      </w:r>
      <w:r w:rsidRPr="009A254F">
        <w:rPr>
          <w:rFonts w:ascii="Verdana" w:hAnsi="Verdana"/>
        </w:rPr>
        <w:t xml:space="preserve">using TT035, account 49, and a </w:t>
      </w:r>
      <w:r w:rsidR="001B1D6A" w:rsidRPr="009A254F">
        <w:rPr>
          <w:rFonts w:ascii="Verdana" w:hAnsi="Verdana"/>
        </w:rPr>
        <w:t xml:space="preserve">liability deletion memo is sent to </w:t>
      </w:r>
      <w:r w:rsidR="00DA7677">
        <w:rPr>
          <w:rFonts w:ascii="Verdana" w:hAnsi="Verdana"/>
        </w:rPr>
        <w:t xml:space="preserve">the </w:t>
      </w:r>
      <w:r w:rsidRPr="009A254F">
        <w:rPr>
          <w:rFonts w:ascii="Verdana" w:hAnsi="Verdana"/>
        </w:rPr>
        <w:t>Insurance Accounting Staff.</w:t>
      </w:r>
    </w:p>
    <w:sectPr w:rsidR="001B1D6A" w:rsidRPr="009A254F">
      <w:footnotePr>
        <w:numFmt w:val="lowerRoman"/>
      </w:footnotePr>
      <w:endnotePr>
        <w:numFmt w:val="decimal"/>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Pr>
  <w:endnotePr>
    <w:pos w:val="sectEnd"/>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73"/>
    <w:rsid w:val="000007B1"/>
    <w:rsid w:val="000452C9"/>
    <w:rsid w:val="000A5A3B"/>
    <w:rsid w:val="000D3E93"/>
    <w:rsid w:val="001B1D6A"/>
    <w:rsid w:val="001C534D"/>
    <w:rsid w:val="003C5C4E"/>
    <w:rsid w:val="004A3FD6"/>
    <w:rsid w:val="004D7F18"/>
    <w:rsid w:val="00517E56"/>
    <w:rsid w:val="005759A3"/>
    <w:rsid w:val="005A16CD"/>
    <w:rsid w:val="006D2A1E"/>
    <w:rsid w:val="00712DFB"/>
    <w:rsid w:val="00716C73"/>
    <w:rsid w:val="009A254F"/>
    <w:rsid w:val="00A84C34"/>
    <w:rsid w:val="00A9319B"/>
    <w:rsid w:val="00C52D90"/>
    <w:rsid w:val="00CD0023"/>
    <w:rsid w:val="00D836A2"/>
    <w:rsid w:val="00DA7677"/>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A7E22"/>
  <w15:chartTrackingRefBased/>
  <w15:docId w15:val="{CCDDFF49-E6AA-4683-B504-C3E23585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table1">
    <w:name w:val="table1"/>
    <w:pPr>
      <w:keepLines/>
      <w:suppressLineNumbers/>
      <w:tabs>
        <w:tab w:val="right" w:pos="8760"/>
      </w:tabs>
      <w:overflowPunct w:val="0"/>
      <w:autoSpaceDE w:val="0"/>
      <w:autoSpaceDN w:val="0"/>
      <w:adjustRightInd w:val="0"/>
      <w:ind w:right="-180"/>
      <w:textAlignment w:val="baseline"/>
    </w:pPr>
    <w:rPr>
      <w:rFonts w:ascii="Times" w:hAnsi="Times"/>
      <w:b/>
    </w:rPr>
  </w:style>
  <w:style w:type="paragraph" w:customStyle="1" w:styleId="table2">
    <w:name w:val="table2"/>
    <w:pPr>
      <w:keepLines/>
      <w:suppressLineNumbers/>
      <w:tabs>
        <w:tab w:val="left" w:pos="840"/>
        <w:tab w:val="decimal" w:pos="8740"/>
      </w:tabs>
      <w:overflowPunct w:val="0"/>
      <w:autoSpaceDE w:val="0"/>
      <w:autoSpaceDN w:val="0"/>
      <w:adjustRightInd w:val="0"/>
      <w:spacing w:line="480" w:lineRule="atLeast"/>
      <w:ind w:right="-180"/>
      <w:textAlignment w:val="baseline"/>
    </w:pPr>
    <w:rPr>
      <w:rFonts w:ascii="Times" w:hAnsi="Times"/>
    </w:rPr>
  </w:style>
  <w:style w:type="paragraph" w:customStyle="1" w:styleId="cent3">
    <w:name w:val="cent3"/>
    <w:pPr>
      <w:suppressLineNumbers/>
      <w:overflowPunct w:val="0"/>
      <w:autoSpaceDE w:val="0"/>
      <w:autoSpaceDN w:val="0"/>
      <w:adjustRightInd w:val="0"/>
      <w:jc w:val="center"/>
      <w:textAlignment w:val="baseline"/>
    </w:pPr>
    <w:rPr>
      <w:rFonts w:ascii="Times" w:hAnsi="Times"/>
      <w:b/>
    </w:rPr>
  </w:style>
  <w:style w:type="paragraph" w:customStyle="1" w:styleId="para4">
    <w:name w:val="para4"/>
    <w:pPr>
      <w:suppressLineNumbers/>
      <w:overflowPunct w:val="0"/>
      <w:autoSpaceDE w:val="0"/>
      <w:autoSpaceDN w:val="0"/>
      <w:adjustRightInd w:val="0"/>
      <w:ind w:firstLine="7920"/>
      <w:textAlignment w:val="baseline"/>
    </w:pPr>
    <w:rPr>
      <w:rFonts w:ascii="Times" w:hAnsi="Times"/>
      <w:b/>
    </w:rPr>
  </w:style>
  <w:style w:type="paragraph" w:customStyle="1" w:styleId="table5">
    <w:name w:val="table5"/>
    <w:pPr>
      <w:keepLines/>
      <w:suppressLineNumbers/>
      <w:tabs>
        <w:tab w:val="left" w:pos="8460"/>
      </w:tabs>
      <w:overflowPunct w:val="0"/>
      <w:autoSpaceDE w:val="0"/>
      <w:autoSpaceDN w:val="0"/>
      <w:adjustRightInd w:val="0"/>
      <w:ind w:right="-180"/>
      <w:textAlignment w:val="baseline"/>
    </w:pPr>
    <w:rPr>
      <w:rFonts w:ascii="Times" w:hAnsi="Times"/>
      <w:b/>
    </w:rPr>
  </w:style>
  <w:style w:type="paragraph" w:customStyle="1" w:styleId="table6">
    <w:name w:val="table6"/>
    <w:pPr>
      <w:keepLines/>
      <w:suppressLineNumbers/>
      <w:tabs>
        <w:tab w:val="right" w:pos="8760"/>
      </w:tabs>
      <w:overflowPunct w:val="0"/>
      <w:autoSpaceDE w:val="0"/>
      <w:autoSpaceDN w:val="0"/>
      <w:adjustRightInd w:val="0"/>
      <w:textAlignment w:val="baseline"/>
    </w:pPr>
    <w:rPr>
      <w:rFonts w:ascii="Times" w:hAnsi="Times"/>
      <w:b/>
    </w:rPr>
  </w:style>
  <w:style w:type="paragraph" w:customStyle="1" w:styleId="cent7">
    <w:name w:val="cent7"/>
    <w:pPr>
      <w:suppressLineNumbers/>
      <w:overflowPunct w:val="0"/>
      <w:autoSpaceDE w:val="0"/>
      <w:autoSpaceDN w:val="0"/>
      <w:adjustRightInd w:val="0"/>
      <w:jc w:val="center"/>
      <w:textAlignment w:val="baseline"/>
    </w:pPr>
    <w:rPr>
      <w:rFonts w:ascii="Times" w:hAnsi="Times"/>
      <w:b/>
    </w:rPr>
  </w:style>
  <w:style w:type="paragraph" w:customStyle="1" w:styleId="para8">
    <w:name w:val="para8"/>
    <w:pPr>
      <w:suppressLineNumbers/>
      <w:tabs>
        <w:tab w:val="left" w:pos="580"/>
      </w:tabs>
      <w:overflowPunct w:val="0"/>
      <w:autoSpaceDE w:val="0"/>
      <w:autoSpaceDN w:val="0"/>
      <w:adjustRightInd w:val="0"/>
      <w:ind w:left="580" w:hanging="580"/>
      <w:jc w:val="both"/>
      <w:textAlignment w:val="baseline"/>
    </w:pPr>
    <w:rPr>
      <w:rFonts w:ascii="Times" w:hAnsi="Times"/>
      <w:b/>
    </w:rPr>
  </w:style>
  <w:style w:type="paragraph" w:customStyle="1" w:styleId="para9">
    <w:name w:val="para9"/>
    <w:pPr>
      <w:suppressLineNumbers/>
      <w:overflowPunct w:val="0"/>
      <w:autoSpaceDE w:val="0"/>
      <w:autoSpaceDN w:val="0"/>
      <w:adjustRightInd w:val="0"/>
      <w:ind w:firstLine="240"/>
      <w:jc w:val="both"/>
      <w:textAlignment w:val="baseline"/>
    </w:pPr>
    <w:rPr>
      <w:rFonts w:ascii="Times" w:hAnsi="Times"/>
    </w:rPr>
  </w:style>
  <w:style w:type="paragraph" w:customStyle="1" w:styleId="para10">
    <w:name w:val="para10"/>
    <w:pPr>
      <w:suppressLineNumbers/>
      <w:tabs>
        <w:tab w:val="left" w:pos="540"/>
      </w:tabs>
      <w:overflowPunct w:val="0"/>
      <w:autoSpaceDE w:val="0"/>
      <w:autoSpaceDN w:val="0"/>
      <w:adjustRightInd w:val="0"/>
      <w:ind w:firstLine="240"/>
      <w:jc w:val="both"/>
      <w:textAlignment w:val="baseline"/>
    </w:pPr>
    <w:rPr>
      <w:rFonts w:ascii="Times" w:hAnsi="Times"/>
    </w:rPr>
  </w:style>
  <w:style w:type="paragraph" w:customStyle="1" w:styleId="para11">
    <w:name w:val="para11"/>
    <w:pPr>
      <w:suppressLineNumbers/>
      <w:overflowPunct w:val="0"/>
      <w:autoSpaceDE w:val="0"/>
      <w:autoSpaceDN w:val="0"/>
      <w:adjustRightInd w:val="0"/>
      <w:ind w:firstLine="7920"/>
      <w:jc w:val="both"/>
      <w:textAlignment w:val="baseline"/>
    </w:pPr>
    <w:rPr>
      <w:rFonts w:ascii="Times" w:hAnsi="Times"/>
      <w:b/>
    </w:rPr>
  </w:style>
  <w:style w:type="character" w:styleId="CommentReference">
    <w:name w:val="annotation reference"/>
    <w:uiPriority w:val="99"/>
    <w:semiHidden/>
    <w:unhideWhenUsed/>
    <w:rsid w:val="000A5A3B"/>
    <w:rPr>
      <w:sz w:val="16"/>
      <w:szCs w:val="16"/>
    </w:rPr>
  </w:style>
  <w:style w:type="paragraph" w:styleId="CommentText">
    <w:name w:val="annotation text"/>
    <w:basedOn w:val="Normal"/>
    <w:link w:val="CommentTextChar"/>
    <w:uiPriority w:val="99"/>
    <w:semiHidden/>
    <w:unhideWhenUsed/>
    <w:rsid w:val="000A5A3B"/>
  </w:style>
  <w:style w:type="character" w:customStyle="1" w:styleId="CommentTextChar">
    <w:name w:val="Comment Text Char"/>
    <w:link w:val="CommentText"/>
    <w:uiPriority w:val="99"/>
    <w:semiHidden/>
    <w:rsid w:val="000A5A3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5A3B"/>
    <w:rPr>
      <w:b/>
      <w:bCs/>
    </w:rPr>
  </w:style>
  <w:style w:type="character" w:customStyle="1" w:styleId="CommentSubjectChar">
    <w:name w:val="Comment Subject Char"/>
    <w:link w:val="CommentSubject"/>
    <w:uiPriority w:val="99"/>
    <w:semiHidden/>
    <w:rsid w:val="000A5A3B"/>
    <w:rPr>
      <w:rFonts w:ascii="Times New Roman" w:hAnsi="Times New Roman"/>
      <w:b/>
      <w:bCs/>
    </w:rPr>
  </w:style>
  <w:style w:type="paragraph" w:styleId="BalloonText">
    <w:name w:val="Balloon Text"/>
    <w:basedOn w:val="Normal"/>
    <w:link w:val="BalloonTextChar"/>
    <w:uiPriority w:val="99"/>
    <w:semiHidden/>
    <w:unhideWhenUsed/>
    <w:rsid w:val="000A5A3B"/>
    <w:rPr>
      <w:rFonts w:ascii="Tahoma" w:hAnsi="Tahoma" w:cs="Tahoma"/>
      <w:sz w:val="16"/>
      <w:szCs w:val="16"/>
    </w:rPr>
  </w:style>
  <w:style w:type="character" w:customStyle="1" w:styleId="BalloonTextChar">
    <w:name w:val="Balloon Text Char"/>
    <w:link w:val="BalloonText"/>
    <w:uiPriority w:val="99"/>
    <w:semiHidden/>
    <w:rsid w:val="000A5A3B"/>
    <w:rPr>
      <w:rFonts w:ascii="Tahoma" w:hAnsi="Tahoma" w:cs="Tahoma"/>
      <w:sz w:val="16"/>
      <w:szCs w:val="16"/>
    </w:rPr>
  </w:style>
  <w:style w:type="paragraph" w:customStyle="1" w:styleId="para40">
    <w:name w:val="para4"/>
    <w:rsid w:val="009A254F"/>
    <w:pPr>
      <w:suppressLineNumbers/>
      <w:tabs>
        <w:tab w:val="left" w:pos="1540"/>
      </w:tabs>
      <w:overflowPunct w:val="0"/>
      <w:autoSpaceDE w:val="0"/>
      <w:autoSpaceDN w:val="0"/>
      <w:adjustRightInd w:val="0"/>
      <w:ind w:left="1540" w:hanging="500"/>
      <w:textAlignment w:val="baseline"/>
    </w:pPr>
    <w:rPr>
      <w:rFonts w:ascii="Times" w:hAnsi="Times"/>
      <w:b/>
    </w:rPr>
  </w:style>
  <w:style w:type="paragraph" w:customStyle="1" w:styleId="table10">
    <w:name w:val="table1"/>
    <w:rsid w:val="009A254F"/>
    <w:pPr>
      <w:keepLines/>
      <w:suppressLineNumbers/>
      <w:tabs>
        <w:tab w:val="left" w:pos="1020"/>
        <w:tab w:val="right" w:pos="8760"/>
      </w:tabs>
      <w:overflowPunct w:val="0"/>
      <w:autoSpaceDE w:val="0"/>
      <w:autoSpaceDN w:val="0"/>
      <w:adjustRightInd w:val="0"/>
      <w:textAlignment w:val="baseline"/>
    </w:pPr>
    <w:rPr>
      <w:rFonts w:ascii="Times" w:hAnsi="Times"/>
      <w:b/>
    </w:rPr>
  </w:style>
  <w:style w:type="paragraph" w:customStyle="1" w:styleId="para5">
    <w:name w:val="para5"/>
    <w:rsid w:val="009A254F"/>
    <w:pPr>
      <w:suppressLineNumbers/>
      <w:tabs>
        <w:tab w:val="left" w:pos="1640"/>
      </w:tabs>
      <w:overflowPunct w:val="0"/>
      <w:autoSpaceDE w:val="0"/>
      <w:autoSpaceDN w:val="0"/>
      <w:adjustRightInd w:val="0"/>
      <w:ind w:left="1020" w:firstLine="240"/>
      <w:textAlignment w:val="baseline"/>
    </w:pPr>
    <w:rPr>
      <w:rFonts w:ascii="Times" w:hAnsi="Times"/>
    </w:rPr>
  </w:style>
  <w:style w:type="paragraph" w:customStyle="1" w:styleId="para3">
    <w:name w:val="para3"/>
    <w:rsid w:val="001C534D"/>
    <w:pPr>
      <w:suppressLineNumbers/>
      <w:overflowPunct w:val="0"/>
      <w:autoSpaceDE w:val="0"/>
      <w:autoSpaceDN w:val="0"/>
      <w:adjustRightInd w:val="0"/>
      <w:ind w:firstLine="3520"/>
      <w:textAlignment w:val="baseline"/>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Veterans Benefits Administration</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and Procedures</dc:creator>
  <cp:keywords/>
  <cp:lastModifiedBy>Dixson, Chiquita, VBAVACO</cp:lastModifiedBy>
  <cp:revision>2</cp:revision>
  <dcterms:created xsi:type="dcterms:W3CDTF">2020-03-20T10:56:00Z</dcterms:created>
  <dcterms:modified xsi:type="dcterms:W3CDTF">2020-03-20T10:56:00Z</dcterms:modified>
</cp:coreProperties>
</file>