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40EA" w14:textId="44BE2955"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 xml:space="preserve">of Veterans </w:t>
      </w:r>
      <w:r w:rsidR="007879B5">
        <w:rPr>
          <w:rFonts w:ascii="Times New Roman" w:hAnsi="Times New Roman"/>
          <w:sz w:val="20"/>
        </w:rPr>
        <w:t>Affairs</w:t>
      </w:r>
      <w:r w:rsidR="007879B5">
        <w:rPr>
          <w:rFonts w:ascii="Times New Roman" w:hAnsi="Times New Roman"/>
          <w:sz w:val="20"/>
        </w:rPr>
        <w:tab/>
        <w:t xml:space="preserve">M29-1, Part 6, Appendix </w:t>
      </w:r>
      <w:r w:rsidR="00AF798E">
        <w:rPr>
          <w:rFonts w:ascii="Times New Roman" w:hAnsi="Times New Roman"/>
          <w:sz w:val="20"/>
        </w:rPr>
        <w:t>A</w:t>
      </w:r>
    </w:p>
    <w:p w14:paraId="06F34AB2" w14:textId="565E75CF"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AF798E">
        <w:rPr>
          <w:b/>
          <w:bCs/>
          <w:sz w:val="20"/>
        </w:rPr>
        <w:tab/>
        <w:t>March 13, 2020</w:t>
      </w:r>
      <w:r>
        <w:rPr>
          <w:b/>
          <w:bCs/>
          <w:sz w:val="20"/>
        </w:rPr>
        <w:tab/>
      </w:r>
    </w:p>
    <w:p w14:paraId="3E85418A" w14:textId="77777777" w:rsidR="00504F80" w:rsidRDefault="00504F80" w:rsidP="00504F80">
      <w:pPr>
        <w:rPr>
          <w:b/>
          <w:bCs/>
          <w:sz w:val="20"/>
        </w:rPr>
      </w:pPr>
      <w:r>
        <w:rPr>
          <w:b/>
          <w:bCs/>
          <w:sz w:val="20"/>
        </w:rPr>
        <w:t>Washington, DC  20420</w:t>
      </w:r>
    </w:p>
    <w:p w14:paraId="193031CA" w14:textId="77777777" w:rsidR="00504F80" w:rsidRDefault="00504F80" w:rsidP="00504F80">
      <w:pPr>
        <w:rPr>
          <w:b/>
          <w:bCs/>
          <w:sz w:val="20"/>
        </w:rPr>
      </w:pPr>
    </w:p>
    <w:p w14:paraId="68F2C003" w14:textId="77777777" w:rsidR="00504F80" w:rsidRDefault="00AE64CB" w:rsidP="00504F80">
      <w:pPr>
        <w:pStyle w:val="Heading4"/>
      </w:pPr>
      <w:r>
        <w:t>Key Changes</w:t>
      </w:r>
    </w:p>
    <w:p w14:paraId="43BD24AE"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6BF18813" w14:textId="77777777" w:rsidTr="00C24D50">
        <w:tc>
          <w:tcPr>
            <w:tcW w:w="1728" w:type="dxa"/>
          </w:tcPr>
          <w:p w14:paraId="4A350F23" w14:textId="77777777" w:rsidR="00504F80" w:rsidRDefault="00504F80" w:rsidP="00237C22">
            <w:pPr>
              <w:pStyle w:val="Heading5"/>
            </w:pPr>
            <w:r>
              <w:t>Changes Included in This Revision</w:t>
            </w:r>
          </w:p>
        </w:tc>
        <w:tc>
          <w:tcPr>
            <w:tcW w:w="7740" w:type="dxa"/>
          </w:tcPr>
          <w:p w14:paraId="70928914" w14:textId="20333A19" w:rsidR="00504F80" w:rsidRDefault="00504F80" w:rsidP="00237C22">
            <w:pPr>
              <w:pStyle w:val="BlockText"/>
            </w:pPr>
            <w:r>
              <w:t>The table below describes the changes included in this revision of Veter</w:t>
            </w:r>
            <w:r w:rsidR="00311F26">
              <w:t>ans Benefits Insurance Manual M29-</w:t>
            </w:r>
            <w:r w:rsidR="007879B5">
              <w:t xml:space="preserve">1, Part 6, Appendix </w:t>
            </w:r>
            <w:r w:rsidR="00AF798E">
              <w:t>A</w:t>
            </w:r>
            <w:r w:rsidR="00B7092E">
              <w:t>.</w:t>
            </w:r>
          </w:p>
          <w:p w14:paraId="40A1BC87" w14:textId="77777777" w:rsidR="00504F80" w:rsidRPr="00450FD6" w:rsidRDefault="00504F80" w:rsidP="00237C22">
            <w:pPr>
              <w:pStyle w:val="BulletText1"/>
              <w:numPr>
                <w:ilvl w:val="0"/>
                <w:numId w:val="0"/>
              </w:numPr>
            </w:pPr>
          </w:p>
          <w:p w14:paraId="17CA4F0D" w14:textId="77777777" w:rsidR="00504F80" w:rsidRDefault="00504F80" w:rsidP="00237C22">
            <w:pPr>
              <w:pStyle w:val="BulletText1"/>
              <w:numPr>
                <w:ilvl w:val="0"/>
                <w:numId w:val="0"/>
              </w:numPr>
            </w:pPr>
            <w:r>
              <w:rPr>
                <w:b/>
                <w:i/>
              </w:rPr>
              <w:t>Notes</w:t>
            </w:r>
            <w:r>
              <w:t xml:space="preserve">:  </w:t>
            </w:r>
          </w:p>
          <w:p w14:paraId="47476E8E" w14:textId="5394FD76" w:rsidR="0027298D" w:rsidRDefault="00311F26" w:rsidP="00311F26">
            <w:pPr>
              <w:pStyle w:val="BulletText1"/>
            </w:pPr>
            <w:r>
              <w:rPr>
                <w:b/>
              </w:rPr>
              <w:t>M29-1</w:t>
            </w:r>
            <w:r w:rsidR="007879B5">
              <w:rPr>
                <w:b/>
              </w:rPr>
              <w:t xml:space="preserve">, Part 6, Appendix </w:t>
            </w:r>
            <w:r w:rsidR="00AF798E">
              <w:rPr>
                <w:b/>
              </w:rPr>
              <w:t>A</w:t>
            </w:r>
            <w:r w:rsidR="00DD22A9">
              <w:t xml:space="preserve"> </w:t>
            </w:r>
            <w:r w:rsidR="00DD22A9" w:rsidRPr="00DD22A9">
              <w:t xml:space="preserve">has been rewritten in its entirety </w:t>
            </w:r>
            <w:r w:rsidR="000E025E" w:rsidRPr="00DD22A9">
              <w:t>for</w:t>
            </w:r>
            <w:r w:rsidR="00DD22A9" w:rsidRPr="00DD22A9">
              <w:t xml:space="preserve"> improving clarity and readability</w:t>
            </w:r>
            <w:r w:rsidR="00DD22A9">
              <w:t xml:space="preserve">.  </w:t>
            </w:r>
            <w:r w:rsidR="00DD22A9" w:rsidRPr="00DD22A9">
              <w:t>Any substantive changes are itemized in the table below.</w:t>
            </w:r>
          </w:p>
          <w:p w14:paraId="1A690658" w14:textId="77777777" w:rsidR="00504F80" w:rsidRDefault="00504F80" w:rsidP="00C24D50">
            <w:pPr>
              <w:pStyle w:val="BulletText1"/>
            </w:pPr>
            <w:r>
              <w:t xml:space="preserve">Minor editorial changes have also been made to </w:t>
            </w:r>
          </w:p>
          <w:p w14:paraId="4A251FC1" w14:textId="77777777" w:rsidR="00DD22A9" w:rsidRDefault="00DD22A9" w:rsidP="00237C22">
            <w:pPr>
              <w:pStyle w:val="BulletText2"/>
              <w:tabs>
                <w:tab w:val="num" w:pos="547"/>
              </w:tabs>
            </w:pPr>
            <w:r>
              <w:t>improve clarity and readability</w:t>
            </w:r>
          </w:p>
          <w:p w14:paraId="0D401B63" w14:textId="77777777" w:rsidR="00B858F9" w:rsidRDefault="00B858F9" w:rsidP="00B858F9">
            <w:pPr>
              <w:pStyle w:val="BulletText2"/>
              <w:tabs>
                <w:tab w:val="num" w:pos="547"/>
              </w:tabs>
            </w:pPr>
            <w:r>
              <w:t>add references</w:t>
            </w:r>
          </w:p>
          <w:p w14:paraId="6F676A7F" w14:textId="77777777" w:rsidR="00504F80" w:rsidRDefault="00504F80" w:rsidP="00237C22">
            <w:pPr>
              <w:pStyle w:val="BulletText2"/>
              <w:tabs>
                <w:tab w:val="num" w:pos="547"/>
              </w:tabs>
            </w:pPr>
            <w:r>
              <w:t>update incorrect or obsolete references</w:t>
            </w:r>
          </w:p>
          <w:p w14:paraId="6D6D798D" w14:textId="77777777" w:rsidR="00504F80" w:rsidRDefault="00504F80" w:rsidP="00237C22">
            <w:pPr>
              <w:pStyle w:val="BulletText2"/>
              <w:tabs>
                <w:tab w:val="num" w:pos="547"/>
              </w:tabs>
            </w:pPr>
            <w:r>
              <w:t>update obsolete terminology, where appropriate</w:t>
            </w:r>
          </w:p>
          <w:p w14:paraId="1BDD1A53" w14:textId="468067EC" w:rsidR="00311F26" w:rsidRDefault="009E5F2A" w:rsidP="00311F26">
            <w:pPr>
              <w:pStyle w:val="BulletText2"/>
              <w:tabs>
                <w:tab w:val="num" w:pos="547"/>
              </w:tabs>
            </w:pPr>
            <w:r w:rsidRPr="009E5F2A">
              <w:t xml:space="preserve">reorganize/relocate content within </w:t>
            </w:r>
            <w:r w:rsidR="00B7092E">
              <w:rPr>
                <w:b/>
              </w:rPr>
              <w:t>M29-1,</w:t>
            </w:r>
            <w:r w:rsidR="007879B5">
              <w:rPr>
                <w:b/>
              </w:rPr>
              <w:t xml:space="preserve"> Part 6, Appendix </w:t>
            </w:r>
            <w:r w:rsidR="009768FC">
              <w:rPr>
                <w:b/>
              </w:rPr>
              <w:t xml:space="preserve">A </w:t>
            </w:r>
            <w:r w:rsidRPr="009E5F2A">
              <w:t>so that it flows more logically</w:t>
            </w:r>
          </w:p>
          <w:p w14:paraId="0C479E9F" w14:textId="77777777" w:rsidR="003E2CA2" w:rsidRDefault="003E2CA2" w:rsidP="00237C22">
            <w:pPr>
              <w:pStyle w:val="BulletText2"/>
              <w:tabs>
                <w:tab w:val="num" w:pos="547"/>
              </w:tabs>
            </w:pPr>
            <w:r>
              <w:t>reassign alphabetical designations to individual blocks, where necessary, to account for new and/or deleted blocks within a topic</w:t>
            </w:r>
          </w:p>
          <w:p w14:paraId="329D03A4" w14:textId="77777777"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14:paraId="4CA1882A" w14:textId="77777777" w:rsidR="00504F80" w:rsidRPr="00EA3A57" w:rsidRDefault="00504F80" w:rsidP="00120103">
            <w:pPr>
              <w:pStyle w:val="BulletText2"/>
            </w:pPr>
            <w:r>
              <w:t>bring the document into conformance with M2</w:t>
            </w:r>
            <w:r w:rsidR="00311F26">
              <w:t>9</w:t>
            </w:r>
            <w:r>
              <w:t>-1 standards.</w:t>
            </w:r>
          </w:p>
        </w:tc>
      </w:tr>
    </w:tbl>
    <w:p w14:paraId="2BFE326C"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14:paraId="2A1B9B47" w14:textId="77777777"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14:paraId="51E113E7" w14:textId="77777777"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14:paraId="42C56760" w14:textId="77777777" w:rsidR="0060514F" w:rsidRPr="0060514F" w:rsidRDefault="0060514F" w:rsidP="002B755D">
            <w:pPr>
              <w:pStyle w:val="TableHeaderText"/>
              <w:rPr>
                <w:sz w:val="28"/>
                <w:szCs w:val="28"/>
              </w:rPr>
            </w:pPr>
            <w:r w:rsidRPr="0060514F">
              <w:rPr>
                <w:sz w:val="28"/>
                <w:szCs w:val="28"/>
              </w:rPr>
              <w:t>Citation</w:t>
            </w:r>
          </w:p>
        </w:tc>
      </w:tr>
      <w:tr w:rsidR="009768FC" w14:paraId="4F93B0C4" w14:textId="77777777"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14:paraId="1EDC000F" w14:textId="2115D0B5" w:rsidR="009768FC" w:rsidRDefault="009768FC" w:rsidP="00673296">
            <w:pPr>
              <w:pStyle w:val="TableHeaderText"/>
              <w:jc w:val="left"/>
              <w:rPr>
                <w:b w:val="0"/>
              </w:rPr>
            </w:pPr>
            <w:r>
              <w:rPr>
                <w:b w:val="0"/>
              </w:rPr>
              <w:t>Change from Appendix B to Appendix A</w:t>
            </w:r>
          </w:p>
        </w:tc>
        <w:tc>
          <w:tcPr>
            <w:tcW w:w="1058" w:type="pct"/>
            <w:tcBorders>
              <w:top w:val="single" w:sz="6" w:space="0" w:color="auto"/>
              <w:left w:val="single" w:sz="6" w:space="0" w:color="auto"/>
              <w:bottom w:val="single" w:sz="6" w:space="0" w:color="auto"/>
              <w:right w:val="single" w:sz="6" w:space="0" w:color="auto"/>
            </w:tcBorders>
            <w:shd w:val="clear" w:color="auto" w:fill="auto"/>
          </w:tcPr>
          <w:p w14:paraId="78FAFB9D" w14:textId="77777777" w:rsidR="009768FC" w:rsidRDefault="009768FC" w:rsidP="00673296">
            <w:pPr>
              <w:pStyle w:val="TableHeaderText"/>
              <w:jc w:val="left"/>
              <w:rPr>
                <w:b w:val="0"/>
              </w:rPr>
            </w:pPr>
          </w:p>
        </w:tc>
      </w:tr>
      <w:tr w:rsidR="0060514F" w14:paraId="70177884" w14:textId="77777777"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14:paraId="0020BEA0" w14:textId="77777777" w:rsidR="0060514F" w:rsidRPr="0060514F" w:rsidRDefault="00413090" w:rsidP="00673296">
            <w:pPr>
              <w:pStyle w:val="TableHeaderText"/>
              <w:jc w:val="left"/>
              <w:rPr>
                <w:b w:val="0"/>
              </w:rPr>
            </w:pPr>
            <w:r>
              <w:rPr>
                <w:b w:val="0"/>
              </w:rPr>
              <w:t>Explains and updates a table that lists the age of majority</w:t>
            </w:r>
            <w:r w:rsidR="00482B3E">
              <w:rPr>
                <w:b w:val="0"/>
              </w:rPr>
              <w:t xml:space="preserve"> and minimum age of emancipation for individuals in the fifty states in the US and its territories </w:t>
            </w:r>
          </w:p>
        </w:tc>
        <w:tc>
          <w:tcPr>
            <w:tcW w:w="1058" w:type="pct"/>
            <w:tcBorders>
              <w:top w:val="single" w:sz="6" w:space="0" w:color="auto"/>
              <w:left w:val="single" w:sz="6" w:space="0" w:color="auto"/>
              <w:bottom w:val="single" w:sz="6" w:space="0" w:color="auto"/>
              <w:right w:val="single" w:sz="6" w:space="0" w:color="auto"/>
            </w:tcBorders>
            <w:shd w:val="clear" w:color="auto" w:fill="auto"/>
          </w:tcPr>
          <w:p w14:paraId="033DACB6" w14:textId="5FB18433" w:rsidR="0060514F" w:rsidRPr="0060514F" w:rsidRDefault="00482B3E" w:rsidP="00673296">
            <w:pPr>
              <w:pStyle w:val="TableHeaderText"/>
              <w:jc w:val="left"/>
              <w:rPr>
                <w:b w:val="0"/>
              </w:rPr>
            </w:pPr>
            <w:r>
              <w:rPr>
                <w:b w:val="0"/>
              </w:rPr>
              <w:t xml:space="preserve">Appendix </w:t>
            </w:r>
            <w:r w:rsidR="00AF798E">
              <w:rPr>
                <w:b w:val="0"/>
              </w:rPr>
              <w:t>A</w:t>
            </w:r>
          </w:p>
        </w:tc>
      </w:tr>
      <w:tr w:rsidR="002A1D3E" w14:paraId="0B0250BF" w14:textId="77777777" w:rsidTr="002220F1">
        <w:trPr>
          <w:trHeight w:val="180"/>
        </w:trPr>
        <w:tc>
          <w:tcPr>
            <w:tcW w:w="3942" w:type="pct"/>
            <w:shd w:val="clear" w:color="auto" w:fill="auto"/>
          </w:tcPr>
          <w:p w14:paraId="4F774339" w14:textId="77777777" w:rsidR="002A1D3E" w:rsidRPr="0060514F" w:rsidRDefault="00482B3E" w:rsidP="00673296">
            <w:pPr>
              <w:pStyle w:val="TableHeaderText"/>
              <w:jc w:val="left"/>
              <w:rPr>
                <w:b w:val="0"/>
              </w:rPr>
            </w:pPr>
            <w:r>
              <w:rPr>
                <w:b w:val="0"/>
              </w:rPr>
              <w:t xml:space="preserve">Adds Note that explains that the insertion of the phrase “no specific age” refers to the fact that there is no emancipation statute in the state being referenced, and that the state considers other factors when weighing whether an individual should be considered as an emancipated adult under the laws of that state </w:t>
            </w:r>
          </w:p>
        </w:tc>
        <w:tc>
          <w:tcPr>
            <w:tcW w:w="1058" w:type="pct"/>
            <w:shd w:val="clear" w:color="auto" w:fill="auto"/>
          </w:tcPr>
          <w:p w14:paraId="2D5AAF42" w14:textId="2962EE55" w:rsidR="002A1D3E" w:rsidRPr="0060514F" w:rsidRDefault="004B0830" w:rsidP="00673296">
            <w:pPr>
              <w:pStyle w:val="TableHeaderText"/>
              <w:jc w:val="left"/>
              <w:rPr>
                <w:b w:val="0"/>
              </w:rPr>
            </w:pPr>
            <w:r>
              <w:rPr>
                <w:b w:val="0"/>
              </w:rPr>
              <w:t xml:space="preserve">Appendix </w:t>
            </w:r>
            <w:r w:rsidR="00AF798E">
              <w:rPr>
                <w:b w:val="0"/>
              </w:rPr>
              <w:t>A</w:t>
            </w:r>
          </w:p>
        </w:tc>
      </w:tr>
      <w:tr w:rsidR="002A1D3E" w14:paraId="4152C77B" w14:textId="77777777" w:rsidTr="002220F1">
        <w:trPr>
          <w:trHeight w:val="180"/>
        </w:trPr>
        <w:tc>
          <w:tcPr>
            <w:tcW w:w="3942" w:type="pct"/>
            <w:shd w:val="clear" w:color="auto" w:fill="auto"/>
          </w:tcPr>
          <w:p w14:paraId="72E053B9" w14:textId="77777777" w:rsidR="002A1D3E" w:rsidRPr="0060514F" w:rsidRDefault="002A1D3E" w:rsidP="00673296">
            <w:pPr>
              <w:pStyle w:val="TableText"/>
            </w:pPr>
          </w:p>
        </w:tc>
        <w:tc>
          <w:tcPr>
            <w:tcW w:w="1058" w:type="pct"/>
            <w:shd w:val="clear" w:color="auto" w:fill="auto"/>
          </w:tcPr>
          <w:p w14:paraId="22F8E415" w14:textId="77777777" w:rsidR="002A1D3E" w:rsidRPr="0060514F" w:rsidRDefault="002A1D3E" w:rsidP="00673296">
            <w:pPr>
              <w:pStyle w:val="TableText"/>
            </w:pPr>
          </w:p>
        </w:tc>
      </w:tr>
      <w:tr w:rsidR="002A1D3E" w14:paraId="2E36FC81" w14:textId="77777777" w:rsidTr="002220F1">
        <w:trPr>
          <w:trHeight w:val="180"/>
        </w:trPr>
        <w:tc>
          <w:tcPr>
            <w:tcW w:w="3942" w:type="pct"/>
            <w:shd w:val="clear" w:color="auto" w:fill="auto"/>
          </w:tcPr>
          <w:p w14:paraId="1FBB88F6" w14:textId="77777777" w:rsidR="002A1D3E" w:rsidRPr="0060514F" w:rsidRDefault="002A1D3E" w:rsidP="00673296">
            <w:pPr>
              <w:pStyle w:val="TableText"/>
            </w:pPr>
          </w:p>
        </w:tc>
        <w:tc>
          <w:tcPr>
            <w:tcW w:w="1058" w:type="pct"/>
            <w:shd w:val="clear" w:color="auto" w:fill="auto"/>
          </w:tcPr>
          <w:p w14:paraId="7881FF95" w14:textId="77777777" w:rsidR="002A1D3E" w:rsidRPr="0060514F" w:rsidRDefault="002A1D3E" w:rsidP="00673296">
            <w:pPr>
              <w:pStyle w:val="TableText"/>
            </w:pPr>
          </w:p>
        </w:tc>
      </w:tr>
      <w:tr w:rsidR="002A1D3E" w14:paraId="691B1640" w14:textId="77777777" w:rsidTr="002220F1">
        <w:trPr>
          <w:trHeight w:val="180"/>
        </w:trPr>
        <w:tc>
          <w:tcPr>
            <w:tcW w:w="3942" w:type="pct"/>
            <w:shd w:val="clear" w:color="auto" w:fill="auto"/>
          </w:tcPr>
          <w:p w14:paraId="0E81A0A1" w14:textId="77777777" w:rsidR="002A1D3E" w:rsidRPr="0060514F" w:rsidRDefault="002A1D3E" w:rsidP="00673296">
            <w:pPr>
              <w:pStyle w:val="TableText"/>
            </w:pPr>
          </w:p>
        </w:tc>
        <w:tc>
          <w:tcPr>
            <w:tcW w:w="1058" w:type="pct"/>
            <w:shd w:val="clear" w:color="auto" w:fill="auto"/>
          </w:tcPr>
          <w:p w14:paraId="1DFC0A12" w14:textId="77777777" w:rsidR="002A1D3E" w:rsidRPr="0060514F" w:rsidRDefault="002A1D3E" w:rsidP="00673296">
            <w:pPr>
              <w:pStyle w:val="TableText"/>
            </w:pPr>
          </w:p>
        </w:tc>
      </w:tr>
    </w:tbl>
    <w:p w14:paraId="4F317A8D" w14:textId="77777777"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14:paraId="1D7F4E13" w14:textId="77777777" w:rsidTr="0060514F">
        <w:trPr>
          <w:trHeight w:val="330"/>
        </w:trPr>
        <w:tc>
          <w:tcPr>
            <w:tcW w:w="7380" w:type="dxa"/>
          </w:tcPr>
          <w:p w14:paraId="3837633E" w14:textId="77777777" w:rsidR="0060514F" w:rsidRPr="004221F2" w:rsidRDefault="0060514F" w:rsidP="002B755D">
            <w:pPr>
              <w:jc w:val="center"/>
              <w:rPr>
                <w:b/>
                <w:sz w:val="28"/>
                <w:szCs w:val="28"/>
              </w:rPr>
            </w:pPr>
            <w:r>
              <w:rPr>
                <w:b/>
                <w:sz w:val="28"/>
                <w:szCs w:val="28"/>
              </w:rPr>
              <w:t>Reason(s) for Change</w:t>
            </w:r>
          </w:p>
        </w:tc>
        <w:tc>
          <w:tcPr>
            <w:tcW w:w="1980" w:type="dxa"/>
          </w:tcPr>
          <w:p w14:paraId="3FE70A34" w14:textId="77777777" w:rsidR="0060514F" w:rsidRPr="004221F2" w:rsidRDefault="0060514F" w:rsidP="002B755D">
            <w:pPr>
              <w:jc w:val="center"/>
              <w:rPr>
                <w:b/>
                <w:sz w:val="28"/>
                <w:szCs w:val="28"/>
              </w:rPr>
            </w:pPr>
            <w:r w:rsidRPr="004221F2">
              <w:rPr>
                <w:b/>
                <w:sz w:val="28"/>
                <w:szCs w:val="28"/>
              </w:rPr>
              <w:t>Citation</w:t>
            </w:r>
          </w:p>
        </w:tc>
      </w:tr>
      <w:tr w:rsidR="0060514F" w:rsidRPr="004221F2" w14:paraId="2C436920" w14:textId="77777777" w:rsidTr="00673296">
        <w:trPr>
          <w:trHeight w:val="187"/>
        </w:trPr>
        <w:tc>
          <w:tcPr>
            <w:tcW w:w="7380" w:type="dxa"/>
          </w:tcPr>
          <w:p w14:paraId="37E2F8EF" w14:textId="77777777" w:rsidR="0060514F" w:rsidRPr="0060514F" w:rsidRDefault="0060514F" w:rsidP="00673296"/>
        </w:tc>
        <w:tc>
          <w:tcPr>
            <w:tcW w:w="1980" w:type="dxa"/>
          </w:tcPr>
          <w:p w14:paraId="1974ADFC" w14:textId="77777777" w:rsidR="0060514F" w:rsidRPr="0060514F" w:rsidRDefault="0060514F" w:rsidP="00673296"/>
        </w:tc>
      </w:tr>
      <w:tr w:rsidR="0060514F" w:rsidRPr="004221F2" w14:paraId="57D16FA5" w14:textId="77777777" w:rsidTr="00673296">
        <w:trPr>
          <w:trHeight w:val="187"/>
        </w:trPr>
        <w:tc>
          <w:tcPr>
            <w:tcW w:w="7380" w:type="dxa"/>
          </w:tcPr>
          <w:p w14:paraId="3124BC87" w14:textId="77777777" w:rsidR="0060514F" w:rsidRPr="0060514F" w:rsidRDefault="0060514F" w:rsidP="00673296"/>
        </w:tc>
        <w:tc>
          <w:tcPr>
            <w:tcW w:w="1980" w:type="dxa"/>
          </w:tcPr>
          <w:p w14:paraId="696160F4" w14:textId="77777777" w:rsidR="0060514F" w:rsidRPr="0060514F" w:rsidRDefault="0060514F" w:rsidP="00673296"/>
        </w:tc>
      </w:tr>
      <w:tr w:rsidR="0060514F" w:rsidRPr="004221F2" w14:paraId="1AB02C94" w14:textId="77777777" w:rsidTr="00673296">
        <w:trPr>
          <w:trHeight w:val="187"/>
        </w:trPr>
        <w:tc>
          <w:tcPr>
            <w:tcW w:w="7380" w:type="dxa"/>
          </w:tcPr>
          <w:p w14:paraId="18B4E236" w14:textId="77777777" w:rsidR="0060514F" w:rsidRPr="0060514F" w:rsidRDefault="0060514F" w:rsidP="00673296"/>
        </w:tc>
        <w:tc>
          <w:tcPr>
            <w:tcW w:w="1980" w:type="dxa"/>
          </w:tcPr>
          <w:p w14:paraId="6E570037" w14:textId="77777777" w:rsidR="0060514F" w:rsidRPr="0060514F" w:rsidRDefault="0060514F" w:rsidP="00673296"/>
        </w:tc>
      </w:tr>
    </w:tbl>
    <w:p w14:paraId="73AAE123"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02FC082D" w14:textId="77777777" w:rsidTr="00237C22">
        <w:tc>
          <w:tcPr>
            <w:tcW w:w="1728" w:type="dxa"/>
          </w:tcPr>
          <w:p w14:paraId="7D8BDE78" w14:textId="77777777" w:rsidR="00504F80" w:rsidRPr="00B4163A" w:rsidRDefault="00504F80" w:rsidP="00237C22">
            <w:pPr>
              <w:pStyle w:val="Heading5"/>
              <w:rPr>
                <w:sz w:val="24"/>
              </w:rPr>
            </w:pPr>
            <w:r w:rsidRPr="00B4163A">
              <w:rPr>
                <w:sz w:val="24"/>
              </w:rPr>
              <w:lastRenderedPageBreak/>
              <w:t>Rescissions</w:t>
            </w:r>
          </w:p>
        </w:tc>
        <w:tc>
          <w:tcPr>
            <w:tcW w:w="7740" w:type="dxa"/>
          </w:tcPr>
          <w:p w14:paraId="79E28B04" w14:textId="77777777" w:rsidR="00504F80" w:rsidRPr="00B4163A" w:rsidRDefault="00504F80" w:rsidP="00237C22">
            <w:pPr>
              <w:pStyle w:val="BlockText"/>
            </w:pPr>
            <w:r w:rsidRPr="00B4163A">
              <w:t>None</w:t>
            </w:r>
          </w:p>
        </w:tc>
      </w:tr>
    </w:tbl>
    <w:p w14:paraId="19D2533B"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7B95BB2C" w14:textId="77777777" w:rsidTr="00237C22">
        <w:tc>
          <w:tcPr>
            <w:tcW w:w="1728" w:type="dxa"/>
          </w:tcPr>
          <w:p w14:paraId="34CFD0B5" w14:textId="77777777" w:rsidR="00504F80" w:rsidRPr="00B4163A" w:rsidRDefault="00504F80" w:rsidP="00237C22">
            <w:pPr>
              <w:pStyle w:val="Heading5"/>
              <w:rPr>
                <w:sz w:val="24"/>
              </w:rPr>
            </w:pPr>
            <w:r w:rsidRPr="00B4163A">
              <w:rPr>
                <w:sz w:val="24"/>
              </w:rPr>
              <w:t>Authority</w:t>
            </w:r>
          </w:p>
        </w:tc>
        <w:tc>
          <w:tcPr>
            <w:tcW w:w="7740" w:type="dxa"/>
          </w:tcPr>
          <w:p w14:paraId="23868B2B" w14:textId="77777777" w:rsidR="00504F80" w:rsidRPr="00B4163A" w:rsidRDefault="00504F80" w:rsidP="00237C22">
            <w:pPr>
              <w:pStyle w:val="BlockText"/>
            </w:pPr>
            <w:r w:rsidRPr="00B4163A">
              <w:t>By Direction of the Under Secretary for Benefits</w:t>
            </w:r>
          </w:p>
        </w:tc>
      </w:tr>
    </w:tbl>
    <w:p w14:paraId="3A3A7CEC"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EA14CBC" w14:textId="77777777" w:rsidTr="00237C22">
        <w:tc>
          <w:tcPr>
            <w:tcW w:w="1728" w:type="dxa"/>
          </w:tcPr>
          <w:p w14:paraId="70D73FF9" w14:textId="77777777" w:rsidR="00504F80" w:rsidRPr="00B4163A" w:rsidRDefault="00504F80" w:rsidP="00237C22">
            <w:pPr>
              <w:pStyle w:val="Heading5"/>
              <w:rPr>
                <w:sz w:val="24"/>
              </w:rPr>
            </w:pPr>
            <w:r w:rsidRPr="00B4163A">
              <w:rPr>
                <w:sz w:val="24"/>
              </w:rPr>
              <w:t>Signature</w:t>
            </w:r>
          </w:p>
        </w:tc>
        <w:tc>
          <w:tcPr>
            <w:tcW w:w="7740" w:type="dxa"/>
          </w:tcPr>
          <w:p w14:paraId="0CBE3649" w14:textId="77777777" w:rsidR="00504F80" w:rsidRPr="00B4163A" w:rsidRDefault="00504F80" w:rsidP="00237C22">
            <w:pPr>
              <w:pStyle w:val="BlockText"/>
            </w:pPr>
          </w:p>
          <w:p w14:paraId="783547B0" w14:textId="77777777" w:rsidR="00504F80" w:rsidRPr="00B4163A" w:rsidRDefault="00504F80" w:rsidP="00237C22">
            <w:pPr>
              <w:pStyle w:val="MemoLine"/>
              <w:ind w:left="-18" w:right="612"/>
            </w:pPr>
          </w:p>
          <w:p w14:paraId="2F0C1B7B" w14:textId="0F6F07AC" w:rsidR="005C2AD9" w:rsidRDefault="00BC19AF" w:rsidP="005C2AD9">
            <w:r>
              <w:t>Timothy Sirhal</w:t>
            </w:r>
            <w:r w:rsidR="00BC4A0D">
              <w:t xml:space="preserve">, </w:t>
            </w:r>
            <w:r>
              <w:t xml:space="preserve">Acting </w:t>
            </w:r>
            <w:r w:rsidR="00BC4A0D">
              <w:t>Director</w:t>
            </w:r>
          </w:p>
          <w:p w14:paraId="7E8710ED" w14:textId="77777777" w:rsidR="00504F80" w:rsidRPr="00B4163A" w:rsidRDefault="00311F26" w:rsidP="00BC4A0D">
            <w:pPr>
              <w:pStyle w:val="BlockText"/>
            </w:pPr>
            <w:r>
              <w:t>Insurance</w:t>
            </w:r>
            <w:r w:rsidR="00504F80" w:rsidRPr="00B4163A">
              <w:t xml:space="preserve"> Service</w:t>
            </w:r>
          </w:p>
        </w:tc>
      </w:tr>
    </w:tbl>
    <w:p w14:paraId="2D098CDC"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C38C4B2" w14:textId="77777777" w:rsidTr="00237C22">
        <w:tc>
          <w:tcPr>
            <w:tcW w:w="1728" w:type="dxa"/>
          </w:tcPr>
          <w:p w14:paraId="626D8F1D" w14:textId="77777777" w:rsidR="00504F80" w:rsidRPr="00B4163A" w:rsidRDefault="00504F80" w:rsidP="00237C22">
            <w:pPr>
              <w:pStyle w:val="Heading5"/>
              <w:rPr>
                <w:sz w:val="24"/>
              </w:rPr>
            </w:pPr>
            <w:r w:rsidRPr="00B4163A">
              <w:rPr>
                <w:sz w:val="24"/>
              </w:rPr>
              <w:t>Distribution</w:t>
            </w:r>
          </w:p>
        </w:tc>
        <w:tc>
          <w:tcPr>
            <w:tcW w:w="7740" w:type="dxa"/>
          </w:tcPr>
          <w:p w14:paraId="20183869" w14:textId="77777777" w:rsidR="00504F80" w:rsidRDefault="00504F80" w:rsidP="00237C22">
            <w:pPr>
              <w:pStyle w:val="BlockText"/>
              <w:jc w:val="center"/>
            </w:pPr>
            <w:r w:rsidRPr="00B4163A">
              <w:t>LOCAL REPRODUCTION AUTHORIZED</w:t>
            </w:r>
          </w:p>
        </w:tc>
      </w:tr>
    </w:tbl>
    <w:p w14:paraId="08DED57B"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67B089FA"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5968" w14:textId="77777777" w:rsidR="002B3CEE" w:rsidRDefault="002B3CEE" w:rsidP="00C765C7">
      <w:r>
        <w:separator/>
      </w:r>
    </w:p>
  </w:endnote>
  <w:endnote w:type="continuationSeparator" w:id="0">
    <w:p w14:paraId="1FB8AAD2" w14:textId="77777777" w:rsidR="002B3CEE" w:rsidRDefault="002B3CEE"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D16F"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D7FA4" w14:textId="77777777"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380D" w14:textId="77777777" w:rsidR="00237C22" w:rsidRPr="00BB7DE1" w:rsidRDefault="00237C22">
    <w:pPr>
      <w:pStyle w:val="Footer"/>
      <w:framePr w:wrap="around" w:vAnchor="text" w:hAnchor="margin" w:xAlign="center" w:y="1"/>
      <w:rPr>
        <w:rStyle w:val="PageNumber"/>
        <w:lang w:val="en-US"/>
      </w:rPr>
    </w:pPr>
  </w:p>
  <w:p w14:paraId="11951641" w14:textId="77777777"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F1F04" w14:textId="77777777" w:rsidR="002B3CEE" w:rsidRDefault="002B3CEE" w:rsidP="00C765C7">
      <w:r>
        <w:separator/>
      </w:r>
    </w:p>
  </w:footnote>
  <w:footnote w:type="continuationSeparator" w:id="0">
    <w:p w14:paraId="79C5331F" w14:textId="77777777" w:rsidR="002B3CEE" w:rsidRDefault="002B3CEE"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fspro_2columns"/>
      </v:shape>
    </w:pict>
  </w:numPicBullet>
  <w:numPicBullet w:numPicBulletId="1">
    <w:pict>
      <v:shape id="_x0000_i1031" type="#_x0000_t75" style="width:12pt;height:12pt" o:bullet="t">
        <v:imagedata r:id="rId2" o:title="advanced"/>
      </v:shape>
    </w:pict>
  </w:numPicBullet>
  <w:numPicBullet w:numPicBulletId="2">
    <w:pict>
      <v:shape id="_x0000_i1032" type="#_x0000_t75" style="width:12pt;height:12pt" o:bullet="t">
        <v:imagedata r:id="rId3" o:title="continue"/>
      </v:shape>
    </w:pict>
  </w:numPicBullet>
  <w:numPicBullet w:numPicBulletId="3">
    <w:pict>
      <v:shape id="_x0000_i1033"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025E"/>
    <w:rsid w:val="000E169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3CEE"/>
    <w:rsid w:val="002B7A7E"/>
    <w:rsid w:val="002F5B21"/>
    <w:rsid w:val="002F7397"/>
    <w:rsid w:val="00311F26"/>
    <w:rsid w:val="00332B80"/>
    <w:rsid w:val="00341981"/>
    <w:rsid w:val="00366D36"/>
    <w:rsid w:val="00386999"/>
    <w:rsid w:val="003B2927"/>
    <w:rsid w:val="003D47AF"/>
    <w:rsid w:val="003E2CA2"/>
    <w:rsid w:val="003F3021"/>
    <w:rsid w:val="003F6048"/>
    <w:rsid w:val="003F672A"/>
    <w:rsid w:val="00401EAD"/>
    <w:rsid w:val="0040351B"/>
    <w:rsid w:val="0041026E"/>
    <w:rsid w:val="00413090"/>
    <w:rsid w:val="00421403"/>
    <w:rsid w:val="00422836"/>
    <w:rsid w:val="00435BA5"/>
    <w:rsid w:val="00437647"/>
    <w:rsid w:val="00450FD6"/>
    <w:rsid w:val="00455EF7"/>
    <w:rsid w:val="004562CC"/>
    <w:rsid w:val="00471ECA"/>
    <w:rsid w:val="00482B3E"/>
    <w:rsid w:val="00482FA3"/>
    <w:rsid w:val="0048559D"/>
    <w:rsid w:val="00494175"/>
    <w:rsid w:val="004A0832"/>
    <w:rsid w:val="004B0830"/>
    <w:rsid w:val="004E3AF3"/>
    <w:rsid w:val="004F375E"/>
    <w:rsid w:val="00504F80"/>
    <w:rsid w:val="00506485"/>
    <w:rsid w:val="00513DA7"/>
    <w:rsid w:val="00516C82"/>
    <w:rsid w:val="005238CB"/>
    <w:rsid w:val="00526F0E"/>
    <w:rsid w:val="0055453E"/>
    <w:rsid w:val="00594258"/>
    <w:rsid w:val="005A24DF"/>
    <w:rsid w:val="005C2AD9"/>
    <w:rsid w:val="005D3508"/>
    <w:rsid w:val="005E4363"/>
    <w:rsid w:val="005F05CF"/>
    <w:rsid w:val="00600DC7"/>
    <w:rsid w:val="0060514F"/>
    <w:rsid w:val="0062068D"/>
    <w:rsid w:val="006317AA"/>
    <w:rsid w:val="006473C3"/>
    <w:rsid w:val="006708D7"/>
    <w:rsid w:val="00673296"/>
    <w:rsid w:val="006837E0"/>
    <w:rsid w:val="006B7262"/>
    <w:rsid w:val="006C3E5F"/>
    <w:rsid w:val="006C48FF"/>
    <w:rsid w:val="006D10E5"/>
    <w:rsid w:val="006D52FE"/>
    <w:rsid w:val="006E5CBA"/>
    <w:rsid w:val="006F6D37"/>
    <w:rsid w:val="00724248"/>
    <w:rsid w:val="00732186"/>
    <w:rsid w:val="00737049"/>
    <w:rsid w:val="007879B5"/>
    <w:rsid w:val="00794D24"/>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8FC"/>
    <w:rsid w:val="009769CD"/>
    <w:rsid w:val="009915D0"/>
    <w:rsid w:val="00997D98"/>
    <w:rsid w:val="009C22C8"/>
    <w:rsid w:val="009C6B2E"/>
    <w:rsid w:val="009E5F2A"/>
    <w:rsid w:val="009E6E1A"/>
    <w:rsid w:val="00A01AF7"/>
    <w:rsid w:val="00A2703B"/>
    <w:rsid w:val="00A315CB"/>
    <w:rsid w:val="00A3579D"/>
    <w:rsid w:val="00A55356"/>
    <w:rsid w:val="00A557BB"/>
    <w:rsid w:val="00A8520D"/>
    <w:rsid w:val="00AC2993"/>
    <w:rsid w:val="00AC43CF"/>
    <w:rsid w:val="00AD0EDC"/>
    <w:rsid w:val="00AE64CB"/>
    <w:rsid w:val="00AF2CD6"/>
    <w:rsid w:val="00AF798E"/>
    <w:rsid w:val="00B023CC"/>
    <w:rsid w:val="00B0548B"/>
    <w:rsid w:val="00B30D2F"/>
    <w:rsid w:val="00B50AD7"/>
    <w:rsid w:val="00B64F2F"/>
    <w:rsid w:val="00B7092E"/>
    <w:rsid w:val="00B858F9"/>
    <w:rsid w:val="00B93A3C"/>
    <w:rsid w:val="00B96287"/>
    <w:rsid w:val="00B9756B"/>
    <w:rsid w:val="00BB3345"/>
    <w:rsid w:val="00BB7DE1"/>
    <w:rsid w:val="00BC19AF"/>
    <w:rsid w:val="00BC4A0D"/>
    <w:rsid w:val="00BF7FE3"/>
    <w:rsid w:val="00C0404B"/>
    <w:rsid w:val="00C24D50"/>
    <w:rsid w:val="00C273AD"/>
    <w:rsid w:val="00C72D10"/>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22A9"/>
    <w:rsid w:val="00DE0E35"/>
    <w:rsid w:val="00DF44AC"/>
    <w:rsid w:val="00E2529E"/>
    <w:rsid w:val="00E36906"/>
    <w:rsid w:val="00E648E9"/>
    <w:rsid w:val="00E67135"/>
    <w:rsid w:val="00E77596"/>
    <w:rsid w:val="00E964FD"/>
    <w:rsid w:val="00ED4D5E"/>
    <w:rsid w:val="00ED71C8"/>
    <w:rsid w:val="00F006B2"/>
    <w:rsid w:val="00F30BC0"/>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68C8"/>
  <w15:docId w15:val="{15F5A77F-74D0-4C21-A9F7-C75122A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Transmittal Sheet</Template>
  <TotalTime>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Dixson, Chiquita, VBAVACO</cp:lastModifiedBy>
  <cp:revision>2</cp:revision>
  <dcterms:created xsi:type="dcterms:W3CDTF">2020-03-18T12:58:00Z</dcterms:created>
  <dcterms:modified xsi:type="dcterms:W3CDTF">2020-03-18T12:58:00Z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