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80" w:rsidRDefault="00504F80" w:rsidP="00504F80">
      <w:pPr>
        <w:pStyle w:val="Heading4"/>
        <w:tabs>
          <w:tab w:val="left" w:pos="6840"/>
        </w:tabs>
        <w:spacing w:after="0"/>
        <w:ind w:right="-720"/>
        <w:rPr>
          <w:rFonts w:ascii="Times New Roman" w:hAnsi="Times New Roman"/>
          <w:sz w:val="20"/>
        </w:rPr>
      </w:pPr>
      <w:bookmarkStart w:id="0" w:name="_GoBack"/>
      <w:bookmarkEnd w:id="0"/>
      <w:r>
        <w:rPr>
          <w:rFonts w:ascii="Times New Roman" w:hAnsi="Times New Roman"/>
          <w:sz w:val="20"/>
        </w:rPr>
        <w:t xml:space="preserve">Department </w:t>
      </w:r>
      <w:r w:rsidR="00311F26">
        <w:rPr>
          <w:rFonts w:ascii="Times New Roman" w:hAnsi="Times New Roman"/>
          <w:sz w:val="20"/>
        </w:rPr>
        <w:t>o</w:t>
      </w:r>
      <w:r w:rsidR="00834EBA">
        <w:rPr>
          <w:rFonts w:ascii="Times New Roman" w:hAnsi="Times New Roman"/>
          <w:sz w:val="20"/>
        </w:rPr>
        <w:t>f Veterans Affairs</w:t>
      </w:r>
      <w:r w:rsidR="00834EBA">
        <w:rPr>
          <w:rFonts w:ascii="Times New Roman" w:hAnsi="Times New Roman"/>
          <w:sz w:val="20"/>
        </w:rPr>
        <w:tab/>
        <w:t>M29-1, Part 5</w:t>
      </w:r>
      <w:r w:rsidR="00311F26">
        <w:rPr>
          <w:rFonts w:ascii="Times New Roman" w:hAnsi="Times New Roman"/>
          <w:sz w:val="20"/>
        </w:rPr>
        <w:t>, Chapter 1</w:t>
      </w:r>
    </w:p>
    <w:p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5F7636">
        <w:rPr>
          <w:b/>
          <w:bCs/>
          <w:sz w:val="20"/>
        </w:rPr>
        <w:t>January 7, 2020</w:t>
      </w:r>
      <w:r>
        <w:rPr>
          <w:b/>
          <w:bCs/>
          <w:sz w:val="20"/>
        </w:rPr>
        <w:tab/>
      </w:r>
    </w:p>
    <w:p w:rsidR="00504F80" w:rsidRDefault="00504F80" w:rsidP="00504F80">
      <w:pPr>
        <w:rPr>
          <w:b/>
          <w:bCs/>
          <w:sz w:val="20"/>
        </w:rPr>
      </w:pPr>
      <w:r>
        <w:rPr>
          <w:b/>
          <w:bCs/>
          <w:sz w:val="20"/>
        </w:rPr>
        <w:t>Washington, DC  20420</w:t>
      </w:r>
    </w:p>
    <w:p w:rsidR="00504F80" w:rsidRDefault="00504F80" w:rsidP="00504F80">
      <w:pPr>
        <w:rPr>
          <w:b/>
          <w:bCs/>
          <w:sz w:val="20"/>
        </w:rPr>
      </w:pPr>
    </w:p>
    <w:p w:rsidR="00504F80" w:rsidRDefault="00AE64CB" w:rsidP="00504F80">
      <w:pPr>
        <w:pStyle w:val="Heading4"/>
      </w:pPr>
      <w:r>
        <w:t>Key Changes</w:t>
      </w:r>
    </w:p>
    <w:p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rsidTr="00C24D50">
        <w:tc>
          <w:tcPr>
            <w:tcW w:w="1728" w:type="dxa"/>
          </w:tcPr>
          <w:p w:rsidR="00504F80" w:rsidRDefault="00504F80" w:rsidP="00237C22">
            <w:pPr>
              <w:pStyle w:val="Heading5"/>
            </w:pPr>
            <w:r>
              <w:t>Changes Included in This Revision</w:t>
            </w:r>
          </w:p>
        </w:tc>
        <w:tc>
          <w:tcPr>
            <w:tcW w:w="7740" w:type="dxa"/>
          </w:tcPr>
          <w:p w:rsidR="00504F80" w:rsidRDefault="00504F80" w:rsidP="00237C22">
            <w:pPr>
              <w:pStyle w:val="BlockText"/>
            </w:pPr>
            <w:r>
              <w:t>The table below describes the changes included in this revision of Veter</w:t>
            </w:r>
            <w:r w:rsidR="00311F26">
              <w:t>ans Benefits Insurance Manual M29-</w:t>
            </w:r>
            <w:r w:rsidR="00834EBA">
              <w:t>1, Part 5</w:t>
            </w:r>
            <w:r w:rsidR="00794D24">
              <w:t>, Chapter 1 Introducti</w:t>
            </w:r>
            <w:r w:rsidR="00311F26">
              <w:t>on</w:t>
            </w:r>
            <w:r w:rsidR="00793EAE">
              <w:t>.</w:t>
            </w:r>
          </w:p>
          <w:p w:rsidR="00504F80" w:rsidRPr="00450FD6" w:rsidRDefault="00504F80" w:rsidP="00237C22">
            <w:pPr>
              <w:pStyle w:val="BulletText1"/>
              <w:numPr>
                <w:ilvl w:val="0"/>
                <w:numId w:val="0"/>
              </w:numPr>
            </w:pPr>
          </w:p>
          <w:p w:rsidR="00504F80" w:rsidRDefault="00504F80" w:rsidP="00237C22">
            <w:pPr>
              <w:pStyle w:val="BulletText1"/>
              <w:numPr>
                <w:ilvl w:val="0"/>
                <w:numId w:val="0"/>
              </w:numPr>
            </w:pPr>
            <w:r>
              <w:rPr>
                <w:b/>
                <w:i/>
              </w:rPr>
              <w:t>Notes</w:t>
            </w:r>
            <w:r>
              <w:t xml:space="preserve">:  </w:t>
            </w:r>
          </w:p>
          <w:p w:rsidR="0027298D" w:rsidRDefault="00834EBA" w:rsidP="00311F26">
            <w:pPr>
              <w:pStyle w:val="BulletText1"/>
            </w:pPr>
            <w:r>
              <w:rPr>
                <w:b/>
              </w:rPr>
              <w:t>M29-1, Part 5</w:t>
            </w:r>
            <w:r w:rsidR="00311F26">
              <w:rPr>
                <w:b/>
              </w:rPr>
              <w:t>, Chapter 1</w:t>
            </w:r>
            <w:r w:rsidR="00793EAE">
              <w:rPr>
                <w:b/>
              </w:rPr>
              <w:t>,</w:t>
            </w:r>
            <w:r w:rsidR="00311F26">
              <w:rPr>
                <w:b/>
              </w:rPr>
              <w:t xml:space="preserve"> Introduction</w:t>
            </w:r>
            <w:r w:rsidR="00DD22A9">
              <w:t xml:space="preserve"> </w:t>
            </w:r>
            <w:r w:rsidR="00DD22A9" w:rsidRPr="00DD22A9">
              <w:t>has been rewritten in its entirety for the purpose of improving clarity and readability</w:t>
            </w:r>
            <w:r w:rsidR="00DD22A9">
              <w:t xml:space="preserve">.  </w:t>
            </w:r>
            <w:r w:rsidR="00DD22A9" w:rsidRPr="00DD22A9">
              <w:t>Any substantive changes are itemized in the table below.</w:t>
            </w:r>
          </w:p>
          <w:p w:rsidR="00504F80" w:rsidRDefault="00504F80" w:rsidP="00C24D50">
            <w:pPr>
              <w:pStyle w:val="BulletText1"/>
            </w:pPr>
            <w:r>
              <w:t xml:space="preserve">Minor editorial changes have also been made to </w:t>
            </w:r>
          </w:p>
          <w:p w:rsidR="00DD22A9" w:rsidRDefault="00DD22A9" w:rsidP="00237C22">
            <w:pPr>
              <w:pStyle w:val="BulletText2"/>
              <w:tabs>
                <w:tab w:val="num" w:pos="547"/>
              </w:tabs>
            </w:pPr>
            <w:r>
              <w:t>improve clarity and readability</w:t>
            </w:r>
          </w:p>
          <w:p w:rsidR="00B858F9" w:rsidRDefault="00B858F9" w:rsidP="00B858F9">
            <w:pPr>
              <w:pStyle w:val="BulletText2"/>
              <w:tabs>
                <w:tab w:val="num" w:pos="547"/>
              </w:tabs>
            </w:pPr>
            <w:r>
              <w:t>add references</w:t>
            </w:r>
          </w:p>
          <w:p w:rsidR="00504F80" w:rsidRDefault="00504F80" w:rsidP="00237C22">
            <w:pPr>
              <w:pStyle w:val="BulletText2"/>
              <w:tabs>
                <w:tab w:val="num" w:pos="547"/>
              </w:tabs>
            </w:pPr>
            <w:r>
              <w:t>update incorrect or obsolete references</w:t>
            </w:r>
          </w:p>
          <w:p w:rsidR="00504F80" w:rsidRDefault="00504F80" w:rsidP="00237C22">
            <w:pPr>
              <w:pStyle w:val="BulletText2"/>
              <w:tabs>
                <w:tab w:val="num" w:pos="547"/>
              </w:tabs>
            </w:pPr>
            <w:r>
              <w:t>update obsolete terminology, where appropriate</w:t>
            </w:r>
          </w:p>
          <w:p w:rsidR="00311F26" w:rsidRDefault="009E5F2A" w:rsidP="00311F26">
            <w:pPr>
              <w:pStyle w:val="BulletText2"/>
              <w:tabs>
                <w:tab w:val="num" w:pos="547"/>
              </w:tabs>
            </w:pPr>
            <w:r w:rsidRPr="009E5F2A">
              <w:t xml:space="preserve">reorganize/relocate content within </w:t>
            </w:r>
            <w:r w:rsidR="00793EAE">
              <w:rPr>
                <w:b/>
              </w:rPr>
              <w:t>M29-1, Part 5</w:t>
            </w:r>
            <w:r w:rsidR="00311F26">
              <w:rPr>
                <w:b/>
              </w:rPr>
              <w:t>, Chapter 1 Introduction</w:t>
            </w:r>
            <w:r w:rsidRPr="009E5F2A">
              <w:t xml:space="preserve"> so that it flows more logically</w:t>
            </w:r>
          </w:p>
          <w:p w:rsidR="003E2CA2" w:rsidRDefault="003E2CA2" w:rsidP="00237C22">
            <w:pPr>
              <w:pStyle w:val="BulletText2"/>
              <w:tabs>
                <w:tab w:val="num" w:pos="547"/>
              </w:tabs>
            </w:pPr>
            <w:r>
              <w:t>reassign alphabetical designations to individual blocks, where necessary, to account for new and/or deleted blocks within a topic</w:t>
            </w:r>
          </w:p>
          <w:p w:rsidR="00504F80" w:rsidRDefault="00A557BB" w:rsidP="00DD22A9">
            <w:pPr>
              <w:pStyle w:val="BulletText2"/>
              <w:tabs>
                <w:tab w:val="num" w:pos="547"/>
              </w:tabs>
            </w:pPr>
            <w:r>
              <w:t xml:space="preserve">update </w:t>
            </w:r>
            <w:r w:rsidR="00DD22A9">
              <w:t xml:space="preserve">the labels of individual blocks and the titles of </w:t>
            </w:r>
            <w:r>
              <w:t>section</w:t>
            </w:r>
            <w:r w:rsidR="00DD22A9">
              <w:t>s</w:t>
            </w:r>
            <w:r>
              <w:t xml:space="preserve"> and topic</w:t>
            </w:r>
            <w:r w:rsidR="00DD22A9">
              <w:t>s</w:t>
            </w:r>
            <w:r>
              <w:t xml:space="preserve"> to more accurately reflect their content</w:t>
            </w:r>
            <w:r w:rsidR="00504F80">
              <w:t xml:space="preserve">, and </w:t>
            </w:r>
          </w:p>
          <w:p w:rsidR="00504F80" w:rsidRPr="00EA3A57" w:rsidRDefault="00504F80" w:rsidP="00120103">
            <w:pPr>
              <w:pStyle w:val="BulletText2"/>
            </w:pPr>
            <w:r>
              <w:t>bring the document into conformance with M2</w:t>
            </w:r>
            <w:r w:rsidR="00311F26">
              <w:t>9</w:t>
            </w:r>
            <w:r>
              <w:t>-1 standards.</w:t>
            </w:r>
          </w:p>
        </w:tc>
      </w:tr>
    </w:tbl>
    <w:p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60514F" w:rsidRPr="004221F2"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Reason(s) for Notable Change</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Citation</w:t>
            </w:r>
          </w:p>
        </w:tc>
      </w:tr>
      <w:tr w:rsidR="0060514F"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480F23" w:rsidRDefault="00A009F2" w:rsidP="00673296">
            <w:pPr>
              <w:pStyle w:val="TableHeaderText"/>
              <w:jc w:val="left"/>
              <w:rPr>
                <w:b w:val="0"/>
              </w:rPr>
            </w:pPr>
            <w:r w:rsidRPr="00480F23">
              <w:rPr>
                <w:b w:val="0"/>
              </w:rPr>
              <w:t>Removes</w:t>
            </w:r>
            <w:r w:rsidR="003B7723" w:rsidRPr="00480F23">
              <w:rPr>
                <w:b w:val="0"/>
              </w:rPr>
              <w:t xml:space="preserve"> language referri</w:t>
            </w:r>
            <w:r w:rsidR="00075648" w:rsidRPr="00480F23">
              <w:rPr>
                <w:b w:val="0"/>
              </w:rPr>
              <w:t>ng to physical examination repor</w:t>
            </w:r>
            <w:r w:rsidR="003B7723" w:rsidRPr="00480F23">
              <w:rPr>
                <w:b w:val="0"/>
              </w:rPr>
              <w:t>ts and other medical evidence as no longer applicable to the insurance programs</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480F23" w:rsidRDefault="003B7723" w:rsidP="00673296">
            <w:pPr>
              <w:pStyle w:val="TableHeaderText"/>
              <w:jc w:val="left"/>
              <w:rPr>
                <w:b w:val="0"/>
              </w:rPr>
            </w:pPr>
            <w:r w:rsidRPr="00480F23">
              <w:rPr>
                <w:b w:val="0"/>
              </w:rPr>
              <w:t>Subchapter 1.01</w:t>
            </w:r>
          </w:p>
        </w:tc>
      </w:tr>
      <w:tr w:rsidR="002A1D3E" w:rsidTr="002220F1">
        <w:trPr>
          <w:trHeight w:val="180"/>
        </w:trPr>
        <w:tc>
          <w:tcPr>
            <w:tcW w:w="3942" w:type="pct"/>
            <w:shd w:val="clear" w:color="auto" w:fill="auto"/>
          </w:tcPr>
          <w:p w:rsidR="002A1D3E" w:rsidRPr="0060514F" w:rsidRDefault="00A009F2" w:rsidP="00673296">
            <w:pPr>
              <w:pStyle w:val="TableHeaderText"/>
              <w:jc w:val="left"/>
              <w:rPr>
                <w:b w:val="0"/>
              </w:rPr>
            </w:pPr>
            <w:r>
              <w:rPr>
                <w:b w:val="0"/>
              </w:rPr>
              <w:t>Changes</w:t>
            </w:r>
            <w:r w:rsidR="003B7723">
              <w:rPr>
                <w:b w:val="0"/>
              </w:rPr>
              <w:t xml:space="preserve"> from 140 to 300 t</w:t>
            </w:r>
            <w:r w:rsidR="00A35793">
              <w:rPr>
                <w:b w:val="0"/>
              </w:rPr>
              <w:t>he number of debits available to applicants for the purpose of meeting the good health requirements standard</w:t>
            </w:r>
            <w:r w:rsidR="00E3012B" w:rsidRPr="0078030C">
              <w:rPr>
                <w:b w:val="0"/>
              </w:rPr>
              <w:t>; and eliminates language stating favorable debits are subtracted from the total number of debits as no longer part of the medical underwriting process</w:t>
            </w:r>
          </w:p>
        </w:tc>
        <w:tc>
          <w:tcPr>
            <w:tcW w:w="1058" w:type="pct"/>
            <w:shd w:val="clear" w:color="auto" w:fill="auto"/>
          </w:tcPr>
          <w:p w:rsidR="002A1D3E" w:rsidRPr="0060514F" w:rsidRDefault="003B7723" w:rsidP="00673296">
            <w:pPr>
              <w:pStyle w:val="TableHeaderText"/>
              <w:jc w:val="left"/>
              <w:rPr>
                <w:b w:val="0"/>
              </w:rPr>
            </w:pPr>
            <w:r>
              <w:rPr>
                <w:b w:val="0"/>
              </w:rPr>
              <w:t>Subchapter 1.01</w:t>
            </w:r>
          </w:p>
        </w:tc>
      </w:tr>
      <w:tr w:rsidR="002A1D3E" w:rsidTr="002220F1">
        <w:trPr>
          <w:trHeight w:val="180"/>
        </w:trPr>
        <w:tc>
          <w:tcPr>
            <w:tcW w:w="3942" w:type="pct"/>
            <w:shd w:val="clear" w:color="auto" w:fill="auto"/>
          </w:tcPr>
          <w:p w:rsidR="002A1D3E" w:rsidRPr="0060514F" w:rsidRDefault="00203CC4" w:rsidP="00673296">
            <w:pPr>
              <w:pStyle w:val="TableText"/>
            </w:pPr>
            <w:r>
              <w:t>Clarifies that the claim examiner’s chief role is to determine if an applicant has met the standards of good health (underwriting) and that additional medical evidence shoul</w:t>
            </w:r>
            <w:r w:rsidR="00CA08E3">
              <w:t xml:space="preserve">d be requested, if it is needed; </w:t>
            </w:r>
            <w:r w:rsidR="00CA08E3" w:rsidRPr="0078030C">
              <w:t xml:space="preserve">removes language referring to a lay medical approver’s role in the medical underwriting process </w:t>
            </w:r>
            <w:r w:rsidR="002976B5" w:rsidRPr="0078030C">
              <w:t>as no longer applicable to the insurance programs</w:t>
            </w:r>
          </w:p>
        </w:tc>
        <w:tc>
          <w:tcPr>
            <w:tcW w:w="1058" w:type="pct"/>
            <w:shd w:val="clear" w:color="auto" w:fill="auto"/>
          </w:tcPr>
          <w:p w:rsidR="002A1D3E" w:rsidRPr="0060514F" w:rsidRDefault="00203CC4" w:rsidP="00673296">
            <w:pPr>
              <w:pStyle w:val="TableText"/>
            </w:pPr>
            <w:r>
              <w:t>Subchapter 1.02</w:t>
            </w:r>
          </w:p>
        </w:tc>
      </w:tr>
      <w:tr w:rsidR="002A1D3E" w:rsidTr="002220F1">
        <w:trPr>
          <w:trHeight w:val="180"/>
        </w:trPr>
        <w:tc>
          <w:tcPr>
            <w:tcW w:w="3942" w:type="pct"/>
            <w:shd w:val="clear" w:color="auto" w:fill="auto"/>
          </w:tcPr>
          <w:p w:rsidR="002A1D3E" w:rsidRPr="00E95873" w:rsidRDefault="00A009F2" w:rsidP="00673296">
            <w:pPr>
              <w:pStyle w:val="TableText"/>
              <w:rPr>
                <w:highlight w:val="green"/>
              </w:rPr>
            </w:pPr>
            <w:r w:rsidRPr="00480F23">
              <w:t>Removes l</w:t>
            </w:r>
            <w:r w:rsidR="001B7960" w:rsidRPr="00480F23">
              <w:t>anguage regarding the role of the medi</w:t>
            </w:r>
            <w:r w:rsidRPr="00480F23">
              <w:t xml:space="preserve">cal consultants </w:t>
            </w:r>
            <w:r w:rsidR="001B7960" w:rsidRPr="00480F23">
              <w:t>as no longer applicable to the insurance programs</w:t>
            </w:r>
          </w:p>
        </w:tc>
        <w:tc>
          <w:tcPr>
            <w:tcW w:w="1058" w:type="pct"/>
            <w:shd w:val="clear" w:color="auto" w:fill="auto"/>
          </w:tcPr>
          <w:p w:rsidR="002A1D3E" w:rsidRPr="00127FA2" w:rsidRDefault="00E95873" w:rsidP="00673296">
            <w:pPr>
              <w:pStyle w:val="TableText"/>
              <w:rPr>
                <w:highlight w:val="yellow"/>
              </w:rPr>
            </w:pPr>
            <w:r w:rsidRPr="0078030C">
              <w:t xml:space="preserve">Prior </w:t>
            </w:r>
            <w:r w:rsidR="001B7960" w:rsidRPr="0078030C">
              <w:t>Subchapter 1.03</w:t>
            </w:r>
          </w:p>
        </w:tc>
      </w:tr>
      <w:tr w:rsidR="002A1D3E" w:rsidTr="002220F1">
        <w:trPr>
          <w:trHeight w:val="180"/>
        </w:trPr>
        <w:tc>
          <w:tcPr>
            <w:tcW w:w="3942" w:type="pct"/>
            <w:shd w:val="clear" w:color="auto" w:fill="auto"/>
          </w:tcPr>
          <w:p w:rsidR="002A1D3E" w:rsidRPr="0060514F" w:rsidRDefault="0040132A" w:rsidP="00673296">
            <w:pPr>
              <w:pStyle w:val="TableText"/>
            </w:pPr>
            <w:r>
              <w:t xml:space="preserve">Clarifies that </w:t>
            </w:r>
            <w:r w:rsidR="00214CE0">
              <w:t xml:space="preserve">additional medical information should be requested if needed, but only if the evidence needed is not available in VA records; clarifies how to rate for cause (RFC) of a condition; </w:t>
            </w:r>
            <w:r w:rsidR="003F6A72">
              <w:t xml:space="preserve">explains that the preferred procedures for contacting applicants for additional information should be first by phone, then by mail, if needed; removes language regarding the medical review process that is no longer applicable to the insurance programs </w:t>
            </w:r>
          </w:p>
        </w:tc>
        <w:tc>
          <w:tcPr>
            <w:tcW w:w="1058" w:type="pct"/>
            <w:shd w:val="clear" w:color="auto" w:fill="auto"/>
          </w:tcPr>
          <w:p w:rsidR="002A1D3E" w:rsidRPr="00127FA2" w:rsidRDefault="00127FA2" w:rsidP="00673296">
            <w:pPr>
              <w:pStyle w:val="TableText"/>
              <w:rPr>
                <w:highlight w:val="yellow"/>
              </w:rPr>
            </w:pPr>
            <w:r w:rsidRPr="0078030C">
              <w:t xml:space="preserve">Prior </w:t>
            </w:r>
            <w:r w:rsidR="003F6A72" w:rsidRPr="0078030C">
              <w:t>Subchapter 1.04</w:t>
            </w:r>
            <w:r w:rsidRPr="0078030C">
              <w:t>/New Subchapter 1.03</w:t>
            </w:r>
          </w:p>
        </w:tc>
      </w:tr>
      <w:tr w:rsidR="003F6A72" w:rsidTr="002220F1">
        <w:trPr>
          <w:trHeight w:val="180"/>
        </w:trPr>
        <w:tc>
          <w:tcPr>
            <w:tcW w:w="3942" w:type="pct"/>
            <w:shd w:val="clear" w:color="auto" w:fill="auto"/>
          </w:tcPr>
          <w:p w:rsidR="003F6A72" w:rsidRDefault="004470D9" w:rsidP="00673296">
            <w:pPr>
              <w:pStyle w:val="TableText"/>
            </w:pPr>
            <w:r>
              <w:lastRenderedPageBreak/>
              <w:t>Removed language regarding special examination reports as no longer applicable to the insurance programs</w:t>
            </w:r>
          </w:p>
        </w:tc>
        <w:tc>
          <w:tcPr>
            <w:tcW w:w="1058" w:type="pct"/>
            <w:shd w:val="clear" w:color="auto" w:fill="auto"/>
          </w:tcPr>
          <w:p w:rsidR="003F6A72" w:rsidRDefault="00127FA2" w:rsidP="00673296">
            <w:pPr>
              <w:pStyle w:val="TableText"/>
            </w:pPr>
            <w:r w:rsidRPr="0078030C">
              <w:t xml:space="preserve">Prior </w:t>
            </w:r>
            <w:r w:rsidR="004470D9" w:rsidRPr="0078030C">
              <w:t>Subchapter 1.05</w:t>
            </w:r>
          </w:p>
        </w:tc>
      </w:tr>
      <w:tr w:rsidR="00E27F80" w:rsidTr="002220F1">
        <w:trPr>
          <w:trHeight w:val="180"/>
        </w:trPr>
        <w:tc>
          <w:tcPr>
            <w:tcW w:w="3942" w:type="pct"/>
            <w:shd w:val="clear" w:color="auto" w:fill="auto"/>
          </w:tcPr>
          <w:p w:rsidR="00E27F80" w:rsidRDefault="00E27F80" w:rsidP="00673296">
            <w:pPr>
              <w:pStyle w:val="TableText"/>
            </w:pPr>
            <w:r w:rsidRPr="0078030C">
              <w:t xml:space="preserve">Clarifies that </w:t>
            </w:r>
            <w:r w:rsidR="00D766BD" w:rsidRPr="0078030C">
              <w:t>additional medical evidence, which may be obtained from VA systems, rather than an Attending Physician Statement</w:t>
            </w:r>
            <w:r w:rsidR="00E2384C" w:rsidRPr="0078030C">
              <w:t>, will be requested in cases where the condition is temporary, minor, or of short duration.</w:t>
            </w:r>
          </w:p>
        </w:tc>
        <w:tc>
          <w:tcPr>
            <w:tcW w:w="1058" w:type="pct"/>
            <w:shd w:val="clear" w:color="auto" w:fill="auto"/>
          </w:tcPr>
          <w:p w:rsidR="00E27F80" w:rsidRPr="00127FA2" w:rsidRDefault="00127FA2" w:rsidP="00673296">
            <w:pPr>
              <w:pStyle w:val="TableText"/>
              <w:rPr>
                <w:highlight w:val="yellow"/>
              </w:rPr>
            </w:pPr>
            <w:r w:rsidRPr="0078030C">
              <w:t xml:space="preserve">Prior </w:t>
            </w:r>
            <w:r w:rsidR="00E27F80" w:rsidRPr="0078030C">
              <w:t>Subchapter 1.06</w:t>
            </w:r>
            <w:r w:rsidRPr="0078030C">
              <w:t>/New Subchapter 1.04</w:t>
            </w:r>
          </w:p>
        </w:tc>
      </w:tr>
      <w:tr w:rsidR="004470D9" w:rsidTr="002220F1">
        <w:trPr>
          <w:trHeight w:val="180"/>
        </w:trPr>
        <w:tc>
          <w:tcPr>
            <w:tcW w:w="3942" w:type="pct"/>
            <w:shd w:val="clear" w:color="auto" w:fill="auto"/>
          </w:tcPr>
          <w:p w:rsidR="004470D9" w:rsidRDefault="00022C56" w:rsidP="00673296">
            <w:pPr>
              <w:pStyle w:val="TableText"/>
            </w:pPr>
            <w:r>
              <w:t>Clarifies that a basic rating should be obtained first using the debit manual</w:t>
            </w:r>
            <w:r w:rsidR="00F3066B" w:rsidRPr="002604BD">
              <w:t>, rather than build chart which is no longer used</w:t>
            </w:r>
            <w:r w:rsidRPr="002604BD">
              <w:t>;</w:t>
            </w:r>
            <w:r>
              <w:t xml:space="preserve"> also clarifies that </w:t>
            </w:r>
            <w:r w:rsidR="001E6290">
              <w:t>any additional debits should</w:t>
            </w:r>
            <w:r w:rsidR="00075648">
              <w:t xml:space="preserve"> </w:t>
            </w:r>
            <w:r w:rsidR="001E6290">
              <w:t xml:space="preserve"> </w:t>
            </w:r>
            <w:r w:rsidR="00075648">
              <w:t>b</w:t>
            </w:r>
            <w:r w:rsidR="001E6290">
              <w:t>e obtained by using the debit manual guidance for complicating factors or RFC; clarifies that a list of debits is provided in the manual for each impairment;</w:t>
            </w:r>
            <w:r w:rsidR="00FF1EB9">
              <w:t xml:space="preserve"> </w:t>
            </w:r>
            <w:r w:rsidR="00F3066B" w:rsidRPr="002604BD">
              <w:t>changes from 140 to 300 the number of debits available to applicants for the purpose of meeting the good health requirements standard;</w:t>
            </w:r>
            <w:r w:rsidR="00F3066B">
              <w:t xml:space="preserve">  </w:t>
            </w:r>
            <w:r w:rsidR="00FF1EB9">
              <w:t xml:space="preserve">clarifies that medical underwriting debit calculations should be prepared for all applications, except for those </w:t>
            </w:r>
            <w:r w:rsidR="0042272D">
              <w:t>denied for non-medical reasons</w:t>
            </w:r>
          </w:p>
        </w:tc>
        <w:tc>
          <w:tcPr>
            <w:tcW w:w="1058" w:type="pct"/>
            <w:shd w:val="clear" w:color="auto" w:fill="auto"/>
          </w:tcPr>
          <w:p w:rsidR="004470D9" w:rsidRDefault="00455CA1" w:rsidP="00673296">
            <w:pPr>
              <w:pStyle w:val="TableText"/>
            </w:pPr>
            <w:r w:rsidRPr="0078030C">
              <w:t xml:space="preserve">Prior </w:t>
            </w:r>
            <w:r w:rsidR="00E27F80" w:rsidRPr="0078030C">
              <w:t>Subchapter 1.0</w:t>
            </w:r>
            <w:r w:rsidR="00022C56" w:rsidRPr="0078030C">
              <w:t>7</w:t>
            </w:r>
            <w:r w:rsidRPr="0078030C">
              <w:t>/New Subchapter 1.05</w:t>
            </w:r>
          </w:p>
        </w:tc>
      </w:tr>
      <w:tr w:rsidR="00965A98" w:rsidTr="002220F1">
        <w:trPr>
          <w:trHeight w:val="180"/>
        </w:trPr>
        <w:tc>
          <w:tcPr>
            <w:tcW w:w="3942" w:type="pct"/>
            <w:shd w:val="clear" w:color="auto" w:fill="auto"/>
          </w:tcPr>
          <w:p w:rsidR="00965A98" w:rsidRPr="002604BD" w:rsidRDefault="00965A98" w:rsidP="00673296">
            <w:pPr>
              <w:pStyle w:val="TableText"/>
            </w:pPr>
            <w:r w:rsidRPr="002604BD">
              <w:t>Removes medical consultant and lay medical approver roles as no longer applicable to the insurance programs</w:t>
            </w:r>
          </w:p>
        </w:tc>
        <w:tc>
          <w:tcPr>
            <w:tcW w:w="1058" w:type="pct"/>
            <w:shd w:val="clear" w:color="auto" w:fill="auto"/>
          </w:tcPr>
          <w:p w:rsidR="00965A98" w:rsidRPr="002604BD" w:rsidRDefault="00965A98" w:rsidP="00673296">
            <w:pPr>
              <w:pStyle w:val="TableText"/>
            </w:pPr>
            <w:r w:rsidRPr="002604BD">
              <w:t>Prior Subchapter 1.07/New Subchapter 1.05</w:t>
            </w:r>
          </w:p>
        </w:tc>
      </w:tr>
      <w:tr w:rsidR="00F3066B" w:rsidTr="002220F1">
        <w:trPr>
          <w:trHeight w:val="180"/>
        </w:trPr>
        <w:tc>
          <w:tcPr>
            <w:tcW w:w="3942" w:type="pct"/>
            <w:shd w:val="clear" w:color="auto" w:fill="auto"/>
          </w:tcPr>
          <w:p w:rsidR="00F3066B" w:rsidRPr="002604BD" w:rsidRDefault="00F3066B" w:rsidP="00673296">
            <w:pPr>
              <w:pStyle w:val="TableText"/>
            </w:pPr>
            <w:r w:rsidRPr="002604BD">
              <w:t>Eliminates class rating chart based on numerical debit rating as no longer applicable to</w:t>
            </w:r>
            <w:r w:rsidR="00965A98" w:rsidRPr="002604BD">
              <w:t xml:space="preserve"> </w:t>
            </w:r>
            <w:r w:rsidRPr="002604BD">
              <w:t xml:space="preserve">insurance </w:t>
            </w:r>
          </w:p>
        </w:tc>
        <w:tc>
          <w:tcPr>
            <w:tcW w:w="1058" w:type="pct"/>
            <w:shd w:val="clear" w:color="auto" w:fill="auto"/>
          </w:tcPr>
          <w:p w:rsidR="00F3066B" w:rsidRPr="002604BD" w:rsidRDefault="00F3066B" w:rsidP="00673296">
            <w:pPr>
              <w:pStyle w:val="TableText"/>
            </w:pPr>
            <w:r w:rsidRPr="002604BD">
              <w:t>Prior Subchapter 1.07/New Subchapter 1.05</w:t>
            </w:r>
          </w:p>
        </w:tc>
      </w:tr>
      <w:tr w:rsidR="00965A98" w:rsidTr="002220F1">
        <w:trPr>
          <w:trHeight w:val="180"/>
        </w:trPr>
        <w:tc>
          <w:tcPr>
            <w:tcW w:w="3942" w:type="pct"/>
            <w:shd w:val="clear" w:color="auto" w:fill="auto"/>
          </w:tcPr>
          <w:p w:rsidR="00965A98" w:rsidRDefault="00965A98" w:rsidP="00673296">
            <w:pPr>
              <w:pStyle w:val="TableText"/>
            </w:pPr>
            <w:r>
              <w:t>Removes language regarding VA forms that are no longer used as part of the application process</w:t>
            </w:r>
          </w:p>
        </w:tc>
        <w:tc>
          <w:tcPr>
            <w:tcW w:w="1058" w:type="pct"/>
            <w:shd w:val="clear" w:color="auto" w:fill="auto"/>
          </w:tcPr>
          <w:p w:rsidR="00965A98" w:rsidRDefault="00965A98" w:rsidP="00673296">
            <w:pPr>
              <w:pStyle w:val="TableText"/>
            </w:pPr>
            <w:r w:rsidRPr="009C0850">
              <w:t>Prior Subchapter 1.07/New Subchapter 1.05</w:t>
            </w:r>
          </w:p>
        </w:tc>
      </w:tr>
      <w:tr w:rsidR="00EF49F6" w:rsidRPr="0042272D" w:rsidTr="002220F1">
        <w:trPr>
          <w:trHeight w:val="180"/>
        </w:trPr>
        <w:tc>
          <w:tcPr>
            <w:tcW w:w="3942" w:type="pct"/>
            <w:shd w:val="clear" w:color="auto" w:fill="auto"/>
          </w:tcPr>
          <w:p w:rsidR="00EF49F6" w:rsidRPr="009C0850" w:rsidRDefault="00DB538F" w:rsidP="00673296">
            <w:pPr>
              <w:pStyle w:val="TableText"/>
            </w:pPr>
            <w:r w:rsidRPr="009C0850">
              <w:t>Clarifies that any debits needed for the rating of impairments will be added together to ob</w:t>
            </w:r>
            <w:r w:rsidR="00EB697A" w:rsidRPr="009C0850">
              <w:t>tain the final number of debits; removes reference to build charts as no longer used in the medical underwriting process</w:t>
            </w:r>
            <w:r w:rsidR="00685724" w:rsidRPr="009C0850">
              <w:t>; updates example used to illustrate the adding of debits</w:t>
            </w:r>
          </w:p>
        </w:tc>
        <w:tc>
          <w:tcPr>
            <w:tcW w:w="1058" w:type="pct"/>
            <w:shd w:val="clear" w:color="auto" w:fill="auto"/>
          </w:tcPr>
          <w:p w:rsidR="00EF49F6" w:rsidRPr="009C0850" w:rsidRDefault="0042272D" w:rsidP="00673296">
            <w:pPr>
              <w:pStyle w:val="TableText"/>
            </w:pPr>
            <w:r w:rsidRPr="009C0850">
              <w:t xml:space="preserve">Prior </w:t>
            </w:r>
            <w:r w:rsidR="00DB538F" w:rsidRPr="009C0850">
              <w:t>Subchapter 1.08</w:t>
            </w:r>
            <w:r w:rsidRPr="009C0850">
              <w:t>/New Subchapter 1.06</w:t>
            </w:r>
          </w:p>
        </w:tc>
      </w:tr>
      <w:tr w:rsidR="00AC5781" w:rsidTr="002220F1">
        <w:trPr>
          <w:trHeight w:val="180"/>
        </w:trPr>
        <w:tc>
          <w:tcPr>
            <w:tcW w:w="3942" w:type="pct"/>
            <w:shd w:val="clear" w:color="auto" w:fill="auto"/>
          </w:tcPr>
          <w:p w:rsidR="00AC5781" w:rsidRPr="0060514F" w:rsidRDefault="00AC5781" w:rsidP="00AC5781">
            <w:r>
              <w:t xml:space="preserve">Removes language </w:t>
            </w:r>
            <w:r w:rsidR="00D6615C">
              <w:t>regarding requesting in-service medical records for incomplete or informal applications from members who are currently serving as no longer applicable to insurance programs</w:t>
            </w:r>
            <w:r>
              <w:t xml:space="preserve"> </w:t>
            </w:r>
          </w:p>
        </w:tc>
        <w:tc>
          <w:tcPr>
            <w:tcW w:w="1058" w:type="pct"/>
            <w:shd w:val="clear" w:color="auto" w:fill="auto"/>
          </w:tcPr>
          <w:p w:rsidR="00AC5781" w:rsidRPr="0060514F" w:rsidRDefault="00AC5781" w:rsidP="00AC5781">
            <w:r>
              <w:t>Subchapter 1.09</w:t>
            </w:r>
          </w:p>
        </w:tc>
      </w:tr>
      <w:tr w:rsidR="00181876" w:rsidTr="002220F1">
        <w:trPr>
          <w:trHeight w:val="180"/>
        </w:trPr>
        <w:tc>
          <w:tcPr>
            <w:tcW w:w="3942" w:type="pct"/>
            <w:shd w:val="clear" w:color="auto" w:fill="auto"/>
          </w:tcPr>
          <w:p w:rsidR="00181876" w:rsidRPr="0060514F" w:rsidRDefault="00181876" w:rsidP="00181876">
            <w:r>
              <w:t xml:space="preserve">Removes language regarding the Total Disability Income Provision (TDIP) as no longer applicable to the insurance programs  </w:t>
            </w:r>
          </w:p>
        </w:tc>
        <w:tc>
          <w:tcPr>
            <w:tcW w:w="1058" w:type="pct"/>
            <w:shd w:val="clear" w:color="auto" w:fill="auto"/>
          </w:tcPr>
          <w:p w:rsidR="00181876" w:rsidRPr="0060514F" w:rsidRDefault="00181876" w:rsidP="00181876">
            <w:r>
              <w:t>Subchapter 1.10</w:t>
            </w:r>
          </w:p>
        </w:tc>
      </w:tr>
      <w:tr w:rsidR="00181876" w:rsidTr="002220F1">
        <w:trPr>
          <w:trHeight w:val="180"/>
        </w:trPr>
        <w:tc>
          <w:tcPr>
            <w:tcW w:w="3942" w:type="pct"/>
            <w:shd w:val="clear" w:color="auto" w:fill="auto"/>
          </w:tcPr>
          <w:p w:rsidR="00181876" w:rsidRPr="0060514F" w:rsidRDefault="00181876" w:rsidP="00181876">
            <w:r>
              <w:t>Removes language regarding the charging of an extra monthly premium in the Veterans Non-</w:t>
            </w:r>
            <w:proofErr w:type="gramStart"/>
            <w:r>
              <w:t>Service Disabled</w:t>
            </w:r>
            <w:proofErr w:type="gramEnd"/>
            <w:r>
              <w:t xml:space="preserve"> Insurance Program (JS) as no longer applicable to the insurance programs </w:t>
            </w:r>
          </w:p>
        </w:tc>
        <w:tc>
          <w:tcPr>
            <w:tcW w:w="1058" w:type="pct"/>
            <w:shd w:val="clear" w:color="auto" w:fill="auto"/>
          </w:tcPr>
          <w:p w:rsidR="00181876" w:rsidRPr="0060514F" w:rsidRDefault="00181876" w:rsidP="00181876">
            <w:r>
              <w:t>Subchapter 1.11</w:t>
            </w:r>
          </w:p>
        </w:tc>
      </w:tr>
      <w:tr w:rsidR="00181876" w:rsidTr="002220F1">
        <w:trPr>
          <w:trHeight w:val="180"/>
        </w:trPr>
        <w:tc>
          <w:tcPr>
            <w:tcW w:w="3942" w:type="pct"/>
            <w:shd w:val="clear" w:color="auto" w:fill="auto"/>
          </w:tcPr>
          <w:p w:rsidR="00181876" w:rsidRDefault="00181876" w:rsidP="00181876">
            <w:pPr>
              <w:pStyle w:val="TableText"/>
            </w:pPr>
            <w:r>
              <w:t>Clarifies that wh</w:t>
            </w:r>
            <w:r w:rsidR="00764EEC">
              <w:t>en evaluating an RH application</w:t>
            </w:r>
            <w:r>
              <w:t xml:space="preserve"> the examiner should use all VA records available to evaluate both service-connected and non-service connected conditions; explains that for additional evidence, if needed, the applicant should be contacted first by phone, then by mail; explains that the debit limit for non-service connected conditions may not exceed 300 debits;  explains that non-service conditions should not be developed if it is clear that they will never exceed 0 debits; explains that the examiner should following the debit manual for evaluation of non-service connected conditions and should not associate service-connected with non-service connected conditions</w:t>
            </w:r>
          </w:p>
        </w:tc>
        <w:tc>
          <w:tcPr>
            <w:tcW w:w="1058" w:type="pct"/>
            <w:shd w:val="clear" w:color="auto" w:fill="auto"/>
          </w:tcPr>
          <w:p w:rsidR="00181876" w:rsidRDefault="00764EEC" w:rsidP="00181876">
            <w:pPr>
              <w:pStyle w:val="TableText"/>
            </w:pPr>
            <w:r w:rsidRPr="009C0850">
              <w:t xml:space="preserve">Prior </w:t>
            </w:r>
            <w:r w:rsidR="00181876" w:rsidRPr="009C0850">
              <w:t>Subchapter 1.12</w:t>
            </w:r>
            <w:r w:rsidRPr="009C0850">
              <w:t>/New Subchapter 1.07</w:t>
            </w:r>
          </w:p>
        </w:tc>
      </w:tr>
      <w:tr w:rsidR="00764EEC" w:rsidTr="002220F1">
        <w:trPr>
          <w:trHeight w:val="180"/>
        </w:trPr>
        <w:tc>
          <w:tcPr>
            <w:tcW w:w="3942" w:type="pct"/>
            <w:shd w:val="clear" w:color="auto" w:fill="auto"/>
          </w:tcPr>
          <w:p w:rsidR="00764EEC" w:rsidRPr="009C0850" w:rsidRDefault="00764EEC" w:rsidP="00181876">
            <w:pPr>
              <w:pStyle w:val="TableText"/>
            </w:pPr>
            <w:r w:rsidRPr="009C0850">
              <w:lastRenderedPageBreak/>
              <w:t xml:space="preserve">Removes </w:t>
            </w:r>
            <w:r w:rsidR="00F60521" w:rsidRPr="009C0850">
              <w:t xml:space="preserve">language requiring </w:t>
            </w:r>
            <w:r w:rsidRPr="009C0850">
              <w:t>referrals to medical consultant and lay medical approver for certain conditions as no longer applicable to the insurance programs</w:t>
            </w:r>
            <w:r w:rsidR="00F60521" w:rsidRPr="009C0850">
              <w:t>; removes language requiring medical consultant to review all medical rejects as no longer applicable to the insurance programs</w:t>
            </w:r>
          </w:p>
        </w:tc>
        <w:tc>
          <w:tcPr>
            <w:tcW w:w="1058" w:type="pct"/>
            <w:shd w:val="clear" w:color="auto" w:fill="auto"/>
          </w:tcPr>
          <w:p w:rsidR="00764EEC" w:rsidRPr="009C0850" w:rsidRDefault="00764EEC" w:rsidP="00181876">
            <w:pPr>
              <w:pStyle w:val="TableText"/>
            </w:pPr>
            <w:r w:rsidRPr="009C0850">
              <w:t>Prior Subchapter 1.12/New Subchapter 1.07</w:t>
            </w:r>
          </w:p>
        </w:tc>
      </w:tr>
      <w:tr w:rsidR="00181876" w:rsidTr="002220F1">
        <w:trPr>
          <w:trHeight w:val="180"/>
        </w:trPr>
        <w:tc>
          <w:tcPr>
            <w:tcW w:w="3942" w:type="pct"/>
            <w:shd w:val="clear" w:color="auto" w:fill="auto"/>
          </w:tcPr>
          <w:p w:rsidR="00181876" w:rsidRPr="009C0850" w:rsidRDefault="00181876" w:rsidP="00181876">
            <w:pPr>
              <w:pStyle w:val="TableText"/>
            </w:pPr>
            <w:r w:rsidRPr="009C0850">
              <w:t>Explains the process for reinstatement of insurance that has been lapsed for less than 6 months; also clarifies how comparative health statements from the applicant should be evaluated during the application process</w:t>
            </w:r>
            <w:r w:rsidR="00C97C0B" w:rsidRPr="009C0850">
              <w:t>; removes language involving medical consultant’s role in the application process as no longer applicable to insurance</w:t>
            </w:r>
          </w:p>
        </w:tc>
        <w:tc>
          <w:tcPr>
            <w:tcW w:w="1058" w:type="pct"/>
            <w:shd w:val="clear" w:color="auto" w:fill="auto"/>
          </w:tcPr>
          <w:p w:rsidR="00181876" w:rsidRPr="009C0850" w:rsidRDefault="00897B99" w:rsidP="00181876">
            <w:pPr>
              <w:pStyle w:val="TableText"/>
            </w:pPr>
            <w:r w:rsidRPr="009C0850">
              <w:t xml:space="preserve">Prior </w:t>
            </w:r>
            <w:r w:rsidR="00181876" w:rsidRPr="009C0850">
              <w:t>Subchapter 1.13</w:t>
            </w:r>
            <w:r w:rsidRPr="009C0850">
              <w:t>/New Subchapter 1.08</w:t>
            </w:r>
          </w:p>
        </w:tc>
      </w:tr>
      <w:tr w:rsidR="00181876" w:rsidTr="002220F1">
        <w:trPr>
          <w:trHeight w:val="180"/>
        </w:trPr>
        <w:tc>
          <w:tcPr>
            <w:tcW w:w="3942" w:type="pct"/>
            <w:shd w:val="clear" w:color="auto" w:fill="auto"/>
          </w:tcPr>
          <w:p w:rsidR="00181876" w:rsidRDefault="00181876" w:rsidP="00181876">
            <w:pPr>
              <w:pStyle w:val="TableText"/>
            </w:pPr>
            <w:r>
              <w:t xml:space="preserve">Explains the process for reinstatement of insurance that has been lapsed for more than 6 months, clarifies how an applicant’s health statement should be evaluated during the application process </w:t>
            </w:r>
          </w:p>
        </w:tc>
        <w:tc>
          <w:tcPr>
            <w:tcW w:w="1058" w:type="pct"/>
            <w:shd w:val="clear" w:color="auto" w:fill="auto"/>
          </w:tcPr>
          <w:p w:rsidR="00181876" w:rsidRPr="009C0850" w:rsidRDefault="00A91194" w:rsidP="00181876">
            <w:pPr>
              <w:pStyle w:val="TableText"/>
            </w:pPr>
            <w:r w:rsidRPr="009C0850">
              <w:t xml:space="preserve">Prior </w:t>
            </w:r>
            <w:r w:rsidR="00181876" w:rsidRPr="009C0850">
              <w:t>Subchapter 1.14</w:t>
            </w:r>
            <w:r w:rsidRPr="009C0850">
              <w:t>/New Subchapter 1.09</w:t>
            </w:r>
          </w:p>
        </w:tc>
      </w:tr>
      <w:tr w:rsidR="00181876" w:rsidTr="00BF6E9C">
        <w:trPr>
          <w:trHeight w:val="849"/>
        </w:trPr>
        <w:tc>
          <w:tcPr>
            <w:tcW w:w="3942" w:type="pct"/>
            <w:shd w:val="clear" w:color="auto" w:fill="auto"/>
          </w:tcPr>
          <w:p w:rsidR="00181876" w:rsidRDefault="00181876" w:rsidP="00181876">
            <w:pPr>
              <w:pStyle w:val="TableText"/>
            </w:pPr>
            <w:r>
              <w:t>Clarifies that an applicant should be permitted at least 31 days to submit supplementary medical evidence if needed during the application process</w:t>
            </w:r>
          </w:p>
        </w:tc>
        <w:tc>
          <w:tcPr>
            <w:tcW w:w="1058" w:type="pct"/>
            <w:shd w:val="clear" w:color="auto" w:fill="auto"/>
          </w:tcPr>
          <w:p w:rsidR="00181876" w:rsidRPr="009C0850" w:rsidRDefault="00A91194" w:rsidP="00181876">
            <w:pPr>
              <w:pStyle w:val="TableText"/>
            </w:pPr>
            <w:r w:rsidRPr="009C0850">
              <w:t xml:space="preserve">Prior </w:t>
            </w:r>
            <w:r w:rsidR="00181876" w:rsidRPr="009C0850">
              <w:t>Subchapter 1.15</w:t>
            </w:r>
            <w:r w:rsidRPr="009C0850">
              <w:t>/New Subchapter 1.10</w:t>
            </w:r>
          </w:p>
        </w:tc>
      </w:tr>
      <w:tr w:rsidR="00181876" w:rsidTr="002220F1">
        <w:trPr>
          <w:trHeight w:val="180"/>
        </w:trPr>
        <w:tc>
          <w:tcPr>
            <w:tcW w:w="3942" w:type="pct"/>
            <w:shd w:val="clear" w:color="auto" w:fill="auto"/>
          </w:tcPr>
          <w:p w:rsidR="00181876" w:rsidRDefault="00181876" w:rsidP="00181876">
            <w:pPr>
              <w:pStyle w:val="TableText"/>
            </w:pPr>
            <w:r>
              <w:t>Clarifies the reasons why an application may be disapproved, including untimely submission (more than 2 years after the date of the applicant’s notification of receipt of a new service-connected disability</w:t>
            </w:r>
            <w:r w:rsidRPr="009C0850">
              <w:t>)</w:t>
            </w:r>
            <w:r w:rsidR="00E51756" w:rsidRPr="009C0850">
              <w:t>; removes reasons that no longer</w:t>
            </w:r>
            <w:r w:rsidR="0068436B" w:rsidRPr="009C0850">
              <w:t xml:space="preserve"> apply to the Insurance programs and reference to physical examinations that are no longer required</w:t>
            </w:r>
          </w:p>
        </w:tc>
        <w:tc>
          <w:tcPr>
            <w:tcW w:w="1058" w:type="pct"/>
            <w:shd w:val="clear" w:color="auto" w:fill="auto"/>
          </w:tcPr>
          <w:p w:rsidR="00181876" w:rsidRDefault="00BF6E9C" w:rsidP="00181876">
            <w:pPr>
              <w:pStyle w:val="TableText"/>
            </w:pPr>
            <w:r w:rsidRPr="009C0850">
              <w:t xml:space="preserve">Prior </w:t>
            </w:r>
            <w:r w:rsidR="00181876" w:rsidRPr="009C0850">
              <w:t>Subchapter 1.17</w:t>
            </w:r>
            <w:r w:rsidRPr="009C0850">
              <w:t>/New Subchapter 1.11</w:t>
            </w:r>
          </w:p>
        </w:tc>
      </w:tr>
      <w:tr w:rsidR="00181876" w:rsidTr="002220F1">
        <w:trPr>
          <w:trHeight w:val="180"/>
        </w:trPr>
        <w:tc>
          <w:tcPr>
            <w:tcW w:w="3942" w:type="pct"/>
            <w:shd w:val="clear" w:color="auto" w:fill="auto"/>
          </w:tcPr>
          <w:p w:rsidR="00181876" w:rsidRDefault="00181876" w:rsidP="00181876">
            <w:pPr>
              <w:pStyle w:val="TableText"/>
            </w:pPr>
            <w:r>
              <w:t xml:space="preserve">States that procedures for handling the issues of notice and waiver should </w:t>
            </w:r>
            <w:r w:rsidR="003265C5">
              <w:t>are in</w:t>
            </w:r>
            <w:r>
              <w:t xml:space="preserve"> M-29-1, Part 1, Chapter 31, Subchapter 5; </w:t>
            </w:r>
            <w:r w:rsidR="003265C5" w:rsidRPr="009C0850">
              <w:t>removed reference to lay medical approvers and medical consultants as no longer applicable to the insurance programs,</w:t>
            </w:r>
            <w:r w:rsidR="003265C5">
              <w:t xml:space="preserve"> </w:t>
            </w:r>
            <w:r>
              <w:t>explains that a</w:t>
            </w:r>
            <w:r w:rsidR="003265C5">
              <w:t>n</w:t>
            </w:r>
            <w:r>
              <w:t xml:space="preserve"> application should be developed for potential fraud if information is submitted that conflicts with information already on file; if an examiner determines that potential fraud may exist, the procedures outlined in M-29-1, Part 1, Chapter 28.02 should be followed </w:t>
            </w:r>
          </w:p>
        </w:tc>
        <w:tc>
          <w:tcPr>
            <w:tcW w:w="1058" w:type="pct"/>
            <w:shd w:val="clear" w:color="auto" w:fill="auto"/>
          </w:tcPr>
          <w:p w:rsidR="00181876" w:rsidRDefault="00480F23" w:rsidP="00181876">
            <w:pPr>
              <w:pStyle w:val="TableText"/>
            </w:pPr>
            <w:r w:rsidRPr="009C0850">
              <w:t xml:space="preserve">Prior </w:t>
            </w:r>
            <w:r w:rsidR="00181876" w:rsidRPr="009C0850">
              <w:t>Subchapter 1.18</w:t>
            </w:r>
            <w:r w:rsidRPr="009C0850">
              <w:t>/New Subchapter 1.12</w:t>
            </w:r>
          </w:p>
        </w:tc>
      </w:tr>
      <w:tr w:rsidR="003265C5" w:rsidTr="002220F1">
        <w:trPr>
          <w:trHeight w:val="180"/>
        </w:trPr>
        <w:tc>
          <w:tcPr>
            <w:tcW w:w="3942" w:type="pct"/>
            <w:shd w:val="clear" w:color="auto" w:fill="auto"/>
          </w:tcPr>
          <w:p w:rsidR="003265C5" w:rsidRPr="006A0568" w:rsidRDefault="003265C5" w:rsidP="003265C5">
            <w:r w:rsidRPr="006A0568">
              <w:t>Removes language regarding the role of the examining physicians in the application process as no longer applicable to the insurance programs</w:t>
            </w:r>
          </w:p>
        </w:tc>
        <w:tc>
          <w:tcPr>
            <w:tcW w:w="1058" w:type="pct"/>
            <w:shd w:val="clear" w:color="auto" w:fill="auto"/>
          </w:tcPr>
          <w:p w:rsidR="003265C5" w:rsidRPr="006A0568" w:rsidRDefault="003265C5" w:rsidP="003265C5">
            <w:r w:rsidRPr="006A0568">
              <w:t xml:space="preserve">Subchapter 1.19 </w:t>
            </w:r>
          </w:p>
        </w:tc>
      </w:tr>
      <w:tr w:rsidR="003265C5" w:rsidTr="002220F1">
        <w:trPr>
          <w:trHeight w:val="180"/>
        </w:trPr>
        <w:tc>
          <w:tcPr>
            <w:tcW w:w="3942" w:type="pct"/>
            <w:shd w:val="clear" w:color="auto" w:fill="auto"/>
          </w:tcPr>
          <w:p w:rsidR="003265C5" w:rsidRDefault="003265C5" w:rsidP="003265C5">
            <w:pPr>
              <w:pStyle w:val="TableText"/>
            </w:pPr>
            <w:r>
              <w:t>Explains that when processing an application that provides current disability status, staff should first review VA systems for additional information, and then request supplementary medical information from the applicant, if needed</w:t>
            </w:r>
            <w:r w:rsidR="006A0568">
              <w:t>,</w:t>
            </w:r>
            <w:r>
              <w:t xml:space="preserve"> to properly evaluate the application in its entirety</w:t>
            </w:r>
          </w:p>
        </w:tc>
        <w:tc>
          <w:tcPr>
            <w:tcW w:w="1058" w:type="pct"/>
            <w:shd w:val="clear" w:color="auto" w:fill="auto"/>
          </w:tcPr>
          <w:p w:rsidR="003265C5" w:rsidRDefault="006A0568" w:rsidP="003265C5">
            <w:pPr>
              <w:pStyle w:val="TableText"/>
            </w:pPr>
            <w:r w:rsidRPr="009C0850">
              <w:t xml:space="preserve">Prior </w:t>
            </w:r>
            <w:r w:rsidR="003265C5" w:rsidRPr="009C0850">
              <w:t>Subchapter 1.21</w:t>
            </w:r>
            <w:r w:rsidRPr="009C0850">
              <w:t>/New Subchapter 1.14</w:t>
            </w:r>
          </w:p>
        </w:tc>
      </w:tr>
      <w:tr w:rsidR="003265C5" w:rsidTr="002220F1">
        <w:trPr>
          <w:trHeight w:val="180"/>
        </w:trPr>
        <w:tc>
          <w:tcPr>
            <w:tcW w:w="3942" w:type="pct"/>
            <w:shd w:val="clear" w:color="auto" w:fill="auto"/>
          </w:tcPr>
          <w:p w:rsidR="003265C5" w:rsidRPr="00AF78A6" w:rsidRDefault="003265C5" w:rsidP="003265C5">
            <w:pPr>
              <w:pStyle w:val="TableText"/>
            </w:pPr>
            <w:r w:rsidRPr="00AF78A6">
              <w:t xml:space="preserve">Eliminates section on the disposition of clinical medical and dental records as no longer applicable to the insurance programs </w:t>
            </w:r>
          </w:p>
        </w:tc>
        <w:tc>
          <w:tcPr>
            <w:tcW w:w="1058" w:type="pct"/>
            <w:shd w:val="clear" w:color="auto" w:fill="auto"/>
          </w:tcPr>
          <w:p w:rsidR="003265C5" w:rsidRPr="00AF78A6" w:rsidRDefault="003265C5" w:rsidP="003265C5">
            <w:pPr>
              <w:pStyle w:val="TableText"/>
            </w:pPr>
            <w:r w:rsidRPr="00AF78A6">
              <w:t>Subchapter 1.22</w:t>
            </w:r>
          </w:p>
        </w:tc>
      </w:tr>
      <w:tr w:rsidR="003265C5" w:rsidTr="002220F1">
        <w:trPr>
          <w:trHeight w:val="180"/>
        </w:trPr>
        <w:tc>
          <w:tcPr>
            <w:tcW w:w="3942" w:type="pct"/>
            <w:shd w:val="clear" w:color="auto" w:fill="auto"/>
          </w:tcPr>
          <w:p w:rsidR="003265C5" w:rsidRPr="00AF78A6" w:rsidRDefault="003265C5" w:rsidP="003265C5">
            <w:pPr>
              <w:pStyle w:val="TableText"/>
            </w:pPr>
            <w:r w:rsidRPr="00AF78A6">
              <w:t xml:space="preserve">Eliminates section on insurance paper claims folders as no longer applicable to the insurance programs </w:t>
            </w:r>
          </w:p>
        </w:tc>
        <w:tc>
          <w:tcPr>
            <w:tcW w:w="1058" w:type="pct"/>
            <w:shd w:val="clear" w:color="auto" w:fill="auto"/>
          </w:tcPr>
          <w:p w:rsidR="003265C5" w:rsidRPr="00AF78A6" w:rsidRDefault="003265C5" w:rsidP="003265C5">
            <w:pPr>
              <w:pStyle w:val="TableText"/>
            </w:pPr>
            <w:r w:rsidRPr="00AF78A6">
              <w:t>Subchapter 1.23</w:t>
            </w:r>
          </w:p>
        </w:tc>
      </w:tr>
      <w:tr w:rsidR="003265C5" w:rsidTr="002220F1">
        <w:trPr>
          <w:trHeight w:val="180"/>
        </w:trPr>
        <w:tc>
          <w:tcPr>
            <w:tcW w:w="3942" w:type="pct"/>
            <w:shd w:val="clear" w:color="auto" w:fill="auto"/>
          </w:tcPr>
          <w:p w:rsidR="003265C5" w:rsidRPr="009C0850" w:rsidRDefault="003265C5" w:rsidP="003265C5">
            <w:pPr>
              <w:pStyle w:val="TableText"/>
            </w:pPr>
            <w:r w:rsidRPr="009C0850">
              <w:t xml:space="preserve">Explains that a determination by the Live Claims Section staff of the Insurance Center as to whether an applicant is totally disabled will be final; </w:t>
            </w:r>
            <w:r w:rsidR="00FB3717" w:rsidRPr="009C0850">
              <w:t>removes</w:t>
            </w:r>
            <w:r w:rsidR="00A95959" w:rsidRPr="009C0850">
              <w:t xml:space="preserve"> requirement for memorandum in case of referral for disability benefits</w:t>
            </w:r>
          </w:p>
        </w:tc>
        <w:tc>
          <w:tcPr>
            <w:tcW w:w="1058" w:type="pct"/>
            <w:shd w:val="clear" w:color="auto" w:fill="auto"/>
          </w:tcPr>
          <w:p w:rsidR="003265C5" w:rsidRDefault="00FE44B4" w:rsidP="003265C5">
            <w:pPr>
              <w:pStyle w:val="TableText"/>
            </w:pPr>
            <w:r w:rsidRPr="009C0850">
              <w:t xml:space="preserve">Prior </w:t>
            </w:r>
            <w:r w:rsidR="003265C5" w:rsidRPr="009C0850">
              <w:t>Subchapter</w:t>
            </w:r>
            <w:r w:rsidRPr="009C0850">
              <w:t xml:space="preserve"> </w:t>
            </w:r>
            <w:r w:rsidR="003265C5" w:rsidRPr="009C0850">
              <w:t>1.24</w:t>
            </w:r>
            <w:r w:rsidRPr="009C0850">
              <w:t>/New Subchapter 1.15</w:t>
            </w:r>
          </w:p>
        </w:tc>
      </w:tr>
      <w:tr w:rsidR="003265C5" w:rsidTr="002220F1">
        <w:trPr>
          <w:trHeight w:val="180"/>
        </w:trPr>
        <w:tc>
          <w:tcPr>
            <w:tcW w:w="3942" w:type="pct"/>
            <w:shd w:val="clear" w:color="auto" w:fill="auto"/>
          </w:tcPr>
          <w:p w:rsidR="003265C5" w:rsidRPr="009C0850" w:rsidRDefault="003265C5" w:rsidP="003265C5">
            <w:pPr>
              <w:pStyle w:val="TableText"/>
            </w:pPr>
            <w:r w:rsidRPr="009C0850">
              <w:t>Explains that in death claims where medical review was still pending at the time of the insured’s death, the case will be fully developed if the insured’s death was due t</w:t>
            </w:r>
            <w:r w:rsidR="00826EE9" w:rsidRPr="009C0850">
              <w:t xml:space="preserve">o a non-service-connected cause; eliminates retail credit reports, in-service records, etc. as part of the development process; eliminates the necessity for a medical consultant opinion on </w:t>
            </w:r>
            <w:r w:rsidR="00826EE9" w:rsidRPr="009C0850">
              <w:lastRenderedPageBreak/>
              <w:t>contributory causes of death as no longer applicable to insurance programs</w:t>
            </w:r>
          </w:p>
        </w:tc>
        <w:tc>
          <w:tcPr>
            <w:tcW w:w="1058" w:type="pct"/>
            <w:shd w:val="clear" w:color="auto" w:fill="auto"/>
          </w:tcPr>
          <w:p w:rsidR="003265C5" w:rsidRDefault="00826EE9" w:rsidP="003265C5">
            <w:pPr>
              <w:pStyle w:val="TableText"/>
            </w:pPr>
            <w:r w:rsidRPr="009C0850">
              <w:lastRenderedPageBreak/>
              <w:t xml:space="preserve">Prior </w:t>
            </w:r>
            <w:r w:rsidR="003265C5" w:rsidRPr="009C0850">
              <w:t>Subchapter 1.25</w:t>
            </w:r>
            <w:r w:rsidRPr="009C0850">
              <w:t>/New Subchapter 1.16</w:t>
            </w:r>
          </w:p>
        </w:tc>
      </w:tr>
      <w:tr w:rsidR="002B3588" w:rsidRPr="002F11B4" w:rsidTr="002220F1">
        <w:trPr>
          <w:trHeight w:val="180"/>
        </w:trPr>
        <w:tc>
          <w:tcPr>
            <w:tcW w:w="3942" w:type="pct"/>
            <w:shd w:val="clear" w:color="auto" w:fill="auto"/>
          </w:tcPr>
          <w:p w:rsidR="002B3588" w:rsidRPr="002F11B4" w:rsidRDefault="002B3588" w:rsidP="003265C5">
            <w:pPr>
              <w:pStyle w:val="TableText"/>
            </w:pPr>
            <w:r w:rsidRPr="002F11B4">
              <w:t>Removes the following reasons for referring cases to the Assistant Director, Program Management for action:  1) when they would be in best position to obtain documents, 2) Gratuitous S-DVI, and 3) upon disagreement between reviewer and medical consultant.  These situations are no longer applicable to the insurance programs.</w:t>
            </w:r>
          </w:p>
        </w:tc>
        <w:tc>
          <w:tcPr>
            <w:tcW w:w="1058" w:type="pct"/>
            <w:shd w:val="clear" w:color="auto" w:fill="auto"/>
          </w:tcPr>
          <w:p w:rsidR="002B3588" w:rsidRPr="002F11B4" w:rsidRDefault="002B3588" w:rsidP="003265C5">
            <w:pPr>
              <w:pStyle w:val="TableText"/>
            </w:pPr>
            <w:r w:rsidRPr="002F11B4">
              <w:t>Prior Subchapter 1.26/New Subchapter 1.17</w:t>
            </w:r>
          </w:p>
        </w:tc>
      </w:tr>
      <w:tr w:rsidR="003265C5" w:rsidRPr="002F11B4" w:rsidTr="002220F1">
        <w:trPr>
          <w:trHeight w:val="180"/>
        </w:trPr>
        <w:tc>
          <w:tcPr>
            <w:tcW w:w="3942" w:type="pct"/>
            <w:shd w:val="clear" w:color="auto" w:fill="auto"/>
          </w:tcPr>
          <w:p w:rsidR="003265C5" w:rsidRPr="002F11B4" w:rsidRDefault="00E47C87" w:rsidP="003265C5">
            <w:pPr>
              <w:pStyle w:val="TableText"/>
            </w:pPr>
            <w:r w:rsidRPr="002F11B4">
              <w:t>R</w:t>
            </w:r>
            <w:r w:rsidR="000E10B1" w:rsidRPr="002F11B4">
              <w:t>em</w:t>
            </w:r>
            <w:r w:rsidRPr="002F11B4">
              <w:t>oves references to lay medical approver, medical consultant, and physical examination report as no longer applicable to insurance programs; eliminates reference to lay terms for certain medical conditions, eliminates reference to TDIP and waiting periods as no longer applicable to the insurance programs</w:t>
            </w:r>
          </w:p>
        </w:tc>
        <w:tc>
          <w:tcPr>
            <w:tcW w:w="1058" w:type="pct"/>
            <w:shd w:val="clear" w:color="auto" w:fill="auto"/>
          </w:tcPr>
          <w:p w:rsidR="003265C5" w:rsidRPr="002F11B4" w:rsidRDefault="00206082" w:rsidP="003265C5">
            <w:pPr>
              <w:pStyle w:val="TableText"/>
            </w:pPr>
            <w:r w:rsidRPr="002F11B4">
              <w:t xml:space="preserve">Prior </w:t>
            </w:r>
            <w:r w:rsidR="003265C5" w:rsidRPr="002F11B4">
              <w:t>Subchapter 1.27</w:t>
            </w:r>
            <w:r w:rsidRPr="002F11B4">
              <w:t>/New Subchapter 1.1</w:t>
            </w:r>
            <w:r w:rsidR="002B3588" w:rsidRPr="002F11B4">
              <w:t>8</w:t>
            </w:r>
          </w:p>
        </w:tc>
      </w:tr>
      <w:tr w:rsidR="0007098C" w:rsidRPr="002F11B4" w:rsidTr="002220F1">
        <w:trPr>
          <w:trHeight w:val="180"/>
        </w:trPr>
        <w:tc>
          <w:tcPr>
            <w:tcW w:w="3942" w:type="pct"/>
            <w:shd w:val="clear" w:color="auto" w:fill="auto"/>
          </w:tcPr>
          <w:p w:rsidR="0007098C" w:rsidRPr="002F11B4" w:rsidRDefault="0007098C" w:rsidP="0007098C">
            <w:pPr>
              <w:pStyle w:val="TableText"/>
            </w:pPr>
            <w:r w:rsidRPr="002F11B4">
              <w:t>Removes references to physical examination report as no longer applicable to insurance programs</w:t>
            </w:r>
          </w:p>
        </w:tc>
        <w:tc>
          <w:tcPr>
            <w:tcW w:w="1058" w:type="pct"/>
            <w:shd w:val="clear" w:color="auto" w:fill="auto"/>
          </w:tcPr>
          <w:p w:rsidR="0007098C" w:rsidRPr="002F11B4" w:rsidRDefault="0007098C" w:rsidP="0007098C">
            <w:pPr>
              <w:pStyle w:val="TableText"/>
            </w:pPr>
            <w:r w:rsidRPr="002F11B4">
              <w:t>Prior Subchapter 1.28/New Subchapter 1.19</w:t>
            </w:r>
          </w:p>
        </w:tc>
      </w:tr>
      <w:tr w:rsidR="0007098C" w:rsidTr="002220F1">
        <w:trPr>
          <w:trHeight w:val="180"/>
        </w:trPr>
        <w:tc>
          <w:tcPr>
            <w:tcW w:w="3942" w:type="pct"/>
            <w:shd w:val="clear" w:color="auto" w:fill="auto"/>
          </w:tcPr>
          <w:p w:rsidR="0007098C" w:rsidRPr="00E47C87" w:rsidRDefault="0007098C" w:rsidP="0007098C">
            <w:pPr>
              <w:pStyle w:val="TableText"/>
              <w:rPr>
                <w:highlight w:val="yellow"/>
              </w:rPr>
            </w:pPr>
          </w:p>
        </w:tc>
        <w:tc>
          <w:tcPr>
            <w:tcW w:w="1058" w:type="pct"/>
            <w:shd w:val="clear" w:color="auto" w:fill="auto"/>
          </w:tcPr>
          <w:p w:rsidR="0007098C" w:rsidRPr="00206082" w:rsidRDefault="0007098C" w:rsidP="0007098C">
            <w:pPr>
              <w:pStyle w:val="TableText"/>
              <w:rPr>
                <w:highlight w:val="yellow"/>
              </w:rPr>
            </w:pPr>
          </w:p>
        </w:tc>
      </w:tr>
    </w:tbl>
    <w:p w:rsidR="0060514F" w:rsidRDefault="0060514F" w:rsidP="0060514F">
      <w:pPr>
        <w:pStyle w:val="BlockLine"/>
        <w:pBdr>
          <w:top w:val="single" w:sz="6" w:space="0" w:color="000000"/>
        </w:pBdr>
      </w:pPr>
    </w:p>
    <w:tbl>
      <w:tblPr>
        <w:tblStyle w:val="TableGrid"/>
        <w:tblW w:w="9360" w:type="dxa"/>
        <w:tblInd w:w="108" w:type="dxa"/>
        <w:tblLook w:val="04A0" w:firstRow="1" w:lastRow="0" w:firstColumn="1" w:lastColumn="0" w:noHBand="0" w:noVBand="1"/>
      </w:tblPr>
      <w:tblGrid>
        <w:gridCol w:w="7380"/>
        <w:gridCol w:w="1980"/>
      </w:tblGrid>
      <w:tr w:rsidR="0060514F" w:rsidRPr="004221F2" w:rsidTr="0060514F">
        <w:trPr>
          <w:trHeight w:val="330"/>
        </w:trPr>
        <w:tc>
          <w:tcPr>
            <w:tcW w:w="7380" w:type="dxa"/>
          </w:tcPr>
          <w:p w:rsidR="0060514F" w:rsidRPr="004221F2" w:rsidRDefault="0060514F" w:rsidP="002B755D">
            <w:pPr>
              <w:jc w:val="center"/>
              <w:rPr>
                <w:b/>
                <w:sz w:val="28"/>
                <w:szCs w:val="28"/>
              </w:rPr>
            </w:pPr>
            <w:r>
              <w:rPr>
                <w:b/>
                <w:sz w:val="28"/>
                <w:szCs w:val="28"/>
              </w:rPr>
              <w:t>Reason(s) for Change</w:t>
            </w:r>
          </w:p>
        </w:tc>
        <w:tc>
          <w:tcPr>
            <w:tcW w:w="1980" w:type="dxa"/>
          </w:tcPr>
          <w:p w:rsidR="0060514F" w:rsidRPr="004221F2" w:rsidRDefault="0060514F" w:rsidP="002B755D">
            <w:pPr>
              <w:jc w:val="center"/>
              <w:rPr>
                <w:b/>
                <w:sz w:val="28"/>
                <w:szCs w:val="28"/>
              </w:rPr>
            </w:pPr>
            <w:r w:rsidRPr="004221F2">
              <w:rPr>
                <w:b/>
                <w:sz w:val="28"/>
                <w:szCs w:val="28"/>
              </w:rPr>
              <w:t>Citation</w:t>
            </w:r>
          </w:p>
        </w:tc>
      </w:tr>
      <w:tr w:rsidR="00F9217D" w:rsidRPr="004221F2" w:rsidTr="00673296">
        <w:trPr>
          <w:trHeight w:val="187"/>
        </w:trPr>
        <w:tc>
          <w:tcPr>
            <w:tcW w:w="7380" w:type="dxa"/>
          </w:tcPr>
          <w:p w:rsidR="00F9217D" w:rsidRPr="00CD6F95" w:rsidRDefault="00075648" w:rsidP="00673296">
            <w:r w:rsidRPr="00CD6F95">
              <w:t>Eliminates this subchapter</w:t>
            </w:r>
            <w:r w:rsidR="002F507D" w:rsidRPr="00CD6F95">
              <w:t xml:space="preserve"> as providing information about supplementary </w:t>
            </w:r>
            <w:r w:rsidR="00A111DA" w:rsidRPr="00CD6F95">
              <w:t>data</w:t>
            </w:r>
            <w:r w:rsidR="002F507D" w:rsidRPr="00CD6F95">
              <w:t xml:space="preserve"> </w:t>
            </w:r>
            <w:r w:rsidR="00B51A45" w:rsidRPr="00CD6F95">
              <w:t xml:space="preserve">requests </w:t>
            </w:r>
            <w:r w:rsidR="00D15E2B" w:rsidRPr="00CD6F95">
              <w:t xml:space="preserve">is already </w:t>
            </w:r>
            <w:r w:rsidR="00074E73" w:rsidRPr="00CD6F95">
              <w:t>in M29-1, Part 1, Chapter 4.</w:t>
            </w:r>
          </w:p>
        </w:tc>
        <w:tc>
          <w:tcPr>
            <w:tcW w:w="1980" w:type="dxa"/>
          </w:tcPr>
          <w:p w:rsidR="00F9217D" w:rsidRDefault="002F507D" w:rsidP="00673296">
            <w:r>
              <w:t>Subchapter 1.16</w:t>
            </w:r>
          </w:p>
        </w:tc>
      </w:tr>
      <w:tr w:rsidR="00117DBE" w:rsidRPr="004221F2" w:rsidTr="00673296">
        <w:trPr>
          <w:trHeight w:val="187"/>
        </w:trPr>
        <w:tc>
          <w:tcPr>
            <w:tcW w:w="7380" w:type="dxa"/>
          </w:tcPr>
          <w:p w:rsidR="00117DBE" w:rsidRDefault="00A54A9B" w:rsidP="00673296">
            <w:r>
              <w:t xml:space="preserve">Updates the statutory and regulatory citations that refer to the acceptance or rejection of an application </w:t>
            </w:r>
          </w:p>
        </w:tc>
        <w:tc>
          <w:tcPr>
            <w:tcW w:w="1980" w:type="dxa"/>
          </w:tcPr>
          <w:p w:rsidR="00117DBE" w:rsidRDefault="006A0568" w:rsidP="00673296">
            <w:r w:rsidRPr="00CD6F95">
              <w:t xml:space="preserve">Prior </w:t>
            </w:r>
            <w:r w:rsidR="00A54A9B" w:rsidRPr="00CD6F95">
              <w:t>Subchapter 1.20</w:t>
            </w:r>
            <w:r w:rsidRPr="00CD6F95">
              <w:t>/New Subchapter 1.13</w:t>
            </w:r>
          </w:p>
        </w:tc>
      </w:tr>
      <w:tr w:rsidR="00E9119F" w:rsidRPr="004221F2" w:rsidTr="00673296">
        <w:trPr>
          <w:trHeight w:val="187"/>
        </w:trPr>
        <w:tc>
          <w:tcPr>
            <w:tcW w:w="7380" w:type="dxa"/>
          </w:tcPr>
          <w:p w:rsidR="00E9119F" w:rsidRDefault="00E9119F" w:rsidP="00673296">
            <w:r>
              <w:t xml:space="preserve">Eliminates this subchapter as duplicative of information on comparative health statements previously provided in this section </w:t>
            </w:r>
          </w:p>
        </w:tc>
        <w:tc>
          <w:tcPr>
            <w:tcW w:w="1980" w:type="dxa"/>
          </w:tcPr>
          <w:p w:rsidR="00E9119F" w:rsidRDefault="00E9119F" w:rsidP="00673296">
            <w:r>
              <w:t>Subchapter 1.29</w:t>
            </w:r>
          </w:p>
        </w:tc>
      </w:tr>
    </w:tbl>
    <w:p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Rescissions</w:t>
            </w:r>
          </w:p>
        </w:tc>
        <w:tc>
          <w:tcPr>
            <w:tcW w:w="7740" w:type="dxa"/>
          </w:tcPr>
          <w:p w:rsidR="00504F80" w:rsidRPr="00B4163A" w:rsidRDefault="00504F80" w:rsidP="00237C22">
            <w:pPr>
              <w:pStyle w:val="BlockText"/>
            </w:pPr>
            <w:r w:rsidRPr="00B4163A">
              <w:t>None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Authority</w:t>
            </w:r>
          </w:p>
        </w:tc>
        <w:tc>
          <w:tcPr>
            <w:tcW w:w="7740" w:type="dxa"/>
          </w:tcPr>
          <w:p w:rsidR="00504F80" w:rsidRPr="00B4163A" w:rsidRDefault="00504F80" w:rsidP="00237C22">
            <w:pPr>
              <w:pStyle w:val="BlockText"/>
            </w:pPr>
            <w:r w:rsidRPr="00B4163A">
              <w:t>By Direction of the Under Secretary for Benefits</w:t>
            </w:r>
          </w:p>
        </w:tc>
      </w:tr>
    </w:tbl>
    <w:p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Signature</w:t>
            </w:r>
          </w:p>
        </w:tc>
        <w:tc>
          <w:tcPr>
            <w:tcW w:w="7740" w:type="dxa"/>
          </w:tcPr>
          <w:p w:rsidR="00504F80" w:rsidRPr="00B4163A" w:rsidRDefault="00504F80" w:rsidP="00237C22">
            <w:pPr>
              <w:pStyle w:val="BlockText"/>
            </w:pPr>
          </w:p>
          <w:p w:rsidR="00504F80" w:rsidRPr="00B4163A" w:rsidRDefault="00504F80" w:rsidP="00237C22">
            <w:pPr>
              <w:pStyle w:val="MemoLine"/>
              <w:ind w:left="-18" w:right="612"/>
            </w:pPr>
          </w:p>
          <w:p w:rsidR="005C2AD9" w:rsidRDefault="00311F26" w:rsidP="005C2AD9">
            <w:r>
              <w:t>Vincent E. Markey</w:t>
            </w:r>
            <w:r w:rsidR="00BC4A0D">
              <w:t>, Director</w:t>
            </w:r>
          </w:p>
          <w:p w:rsidR="00504F80" w:rsidRPr="00B4163A" w:rsidRDefault="00311F26" w:rsidP="00BC4A0D">
            <w:pPr>
              <w:pStyle w:val="BlockText"/>
            </w:pPr>
            <w:r>
              <w:t>Insurance</w:t>
            </w:r>
            <w:r w:rsidR="00504F80" w:rsidRPr="00B4163A">
              <w:t xml:space="preserve"> Service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Tr="00237C22">
        <w:tc>
          <w:tcPr>
            <w:tcW w:w="1728" w:type="dxa"/>
          </w:tcPr>
          <w:p w:rsidR="00504F80" w:rsidRPr="00B4163A" w:rsidRDefault="00504F80" w:rsidP="00237C22">
            <w:pPr>
              <w:pStyle w:val="Heading5"/>
              <w:rPr>
                <w:sz w:val="24"/>
              </w:rPr>
            </w:pPr>
            <w:r w:rsidRPr="00B4163A">
              <w:rPr>
                <w:sz w:val="24"/>
              </w:rPr>
              <w:t>Distribution</w:t>
            </w:r>
          </w:p>
        </w:tc>
        <w:tc>
          <w:tcPr>
            <w:tcW w:w="7740" w:type="dxa"/>
          </w:tcPr>
          <w:p w:rsidR="00504F80" w:rsidRDefault="00504F80" w:rsidP="00237C22">
            <w:pPr>
              <w:pStyle w:val="BlockText"/>
              <w:jc w:val="center"/>
            </w:pPr>
            <w:r w:rsidRPr="00B4163A">
              <w:t>LOCAL REPRODUCTION AUTHORIZED</w:t>
            </w:r>
          </w:p>
        </w:tc>
      </w:tr>
    </w:tbl>
    <w:p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1"/>
      <w:footerReference w:type="default" r:id="rId1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F31" w:rsidRDefault="00884F31" w:rsidP="00C765C7">
      <w:r>
        <w:separator/>
      </w:r>
    </w:p>
  </w:endnote>
  <w:endnote w:type="continuationSeparator" w:id="0">
    <w:p w:rsidR="00884F31" w:rsidRDefault="00884F31"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C22" w:rsidRDefault="0023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Pr="00BB7DE1" w:rsidRDefault="00237C22">
    <w:pPr>
      <w:pStyle w:val="Footer"/>
      <w:framePr w:wrap="around" w:vAnchor="text" w:hAnchor="margin" w:xAlign="center" w:y="1"/>
      <w:rPr>
        <w:rStyle w:val="PageNumber"/>
        <w:lang w:val="en-US"/>
      </w:rPr>
    </w:pPr>
  </w:p>
  <w:p w:rsidR="00237C22" w:rsidRDefault="00237C22" w:rsidP="0023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F31" w:rsidRDefault="00884F31" w:rsidP="00C765C7">
      <w:r>
        <w:separator/>
      </w:r>
    </w:p>
  </w:footnote>
  <w:footnote w:type="continuationSeparator" w:id="0">
    <w:p w:rsidR="00884F31" w:rsidRDefault="00884F31" w:rsidP="00C7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fspro_2columns"/>
      </v:shape>
    </w:pict>
  </w:numPicBullet>
  <w:numPicBullet w:numPicBulletId="1">
    <w:pict>
      <v:shape id="_x0000_i1031" type="#_x0000_t75" style="width:12pt;height:12pt" o:bullet="t">
        <v:imagedata r:id="rId2" o:title="advanced"/>
      </v:shape>
    </w:pict>
  </w:numPicBullet>
  <w:numPicBullet w:numPicBulletId="2">
    <w:pict>
      <v:shape id="_x0000_i1032" type="#_x0000_t75" style="width:12pt;height:12pt" o:bullet="t">
        <v:imagedata r:id="rId3" o:title="continue"/>
      </v:shape>
    </w:pict>
  </w:numPicBullet>
  <w:numPicBullet w:numPicBulletId="3">
    <w:pict>
      <v:shape id="_x0000_i1033"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emp1Var" w:val="Traditional"/>
    <w:docVar w:name="FontSet" w:val="imistyles.xml"/>
  </w:docVars>
  <w:rsids>
    <w:rsidRoot w:val="00FF26A6"/>
    <w:rsid w:val="00002A1E"/>
    <w:rsid w:val="00014A89"/>
    <w:rsid w:val="00022C56"/>
    <w:rsid w:val="000252C6"/>
    <w:rsid w:val="000256FB"/>
    <w:rsid w:val="00042FC8"/>
    <w:rsid w:val="000635DE"/>
    <w:rsid w:val="0007098C"/>
    <w:rsid w:val="00074E73"/>
    <w:rsid w:val="00075648"/>
    <w:rsid w:val="00093228"/>
    <w:rsid w:val="000A1A8A"/>
    <w:rsid w:val="000A7776"/>
    <w:rsid w:val="000B3BA1"/>
    <w:rsid w:val="000D1F57"/>
    <w:rsid w:val="000E032E"/>
    <w:rsid w:val="000E10B1"/>
    <w:rsid w:val="000E1696"/>
    <w:rsid w:val="000E320F"/>
    <w:rsid w:val="00100433"/>
    <w:rsid w:val="0010215F"/>
    <w:rsid w:val="00106EEF"/>
    <w:rsid w:val="001162FB"/>
    <w:rsid w:val="00117DBE"/>
    <w:rsid w:val="00120103"/>
    <w:rsid w:val="00123973"/>
    <w:rsid w:val="001253ED"/>
    <w:rsid w:val="00127FA2"/>
    <w:rsid w:val="00181876"/>
    <w:rsid w:val="00186D46"/>
    <w:rsid w:val="001B3F58"/>
    <w:rsid w:val="001B7960"/>
    <w:rsid w:val="001C3AE3"/>
    <w:rsid w:val="001C3EB5"/>
    <w:rsid w:val="001E6290"/>
    <w:rsid w:val="00201804"/>
    <w:rsid w:val="00203CC4"/>
    <w:rsid w:val="002041BE"/>
    <w:rsid w:val="00205C50"/>
    <w:rsid w:val="00206082"/>
    <w:rsid w:val="00214CE0"/>
    <w:rsid w:val="002220F1"/>
    <w:rsid w:val="00237C22"/>
    <w:rsid w:val="00240624"/>
    <w:rsid w:val="002604BD"/>
    <w:rsid w:val="00264204"/>
    <w:rsid w:val="0026498F"/>
    <w:rsid w:val="00271962"/>
    <w:rsid w:val="0027298D"/>
    <w:rsid w:val="002976B5"/>
    <w:rsid w:val="002A1D3E"/>
    <w:rsid w:val="002B3588"/>
    <w:rsid w:val="002B7A7E"/>
    <w:rsid w:val="002C2374"/>
    <w:rsid w:val="002F11B4"/>
    <w:rsid w:val="002F507D"/>
    <w:rsid w:val="002F5B21"/>
    <w:rsid w:val="002F7397"/>
    <w:rsid w:val="00311F26"/>
    <w:rsid w:val="003212D7"/>
    <w:rsid w:val="003265C5"/>
    <w:rsid w:val="0033087A"/>
    <w:rsid w:val="00332B80"/>
    <w:rsid w:val="00341981"/>
    <w:rsid w:val="0036416D"/>
    <w:rsid w:val="00366D36"/>
    <w:rsid w:val="00386999"/>
    <w:rsid w:val="003B2927"/>
    <w:rsid w:val="003B7723"/>
    <w:rsid w:val="003D47AF"/>
    <w:rsid w:val="003D5F3E"/>
    <w:rsid w:val="003E2CA2"/>
    <w:rsid w:val="003F3021"/>
    <w:rsid w:val="003F6048"/>
    <w:rsid w:val="003F672A"/>
    <w:rsid w:val="003F6A72"/>
    <w:rsid w:val="0040132A"/>
    <w:rsid w:val="00401EAD"/>
    <w:rsid w:val="0040351B"/>
    <w:rsid w:val="00406EB1"/>
    <w:rsid w:val="0041026E"/>
    <w:rsid w:val="00421403"/>
    <w:rsid w:val="0042272D"/>
    <w:rsid w:val="00422836"/>
    <w:rsid w:val="00435BA5"/>
    <w:rsid w:val="00437647"/>
    <w:rsid w:val="004470D9"/>
    <w:rsid w:val="00450800"/>
    <w:rsid w:val="00450FD6"/>
    <w:rsid w:val="00455CA1"/>
    <w:rsid w:val="00455EF7"/>
    <w:rsid w:val="004562CC"/>
    <w:rsid w:val="00471ECA"/>
    <w:rsid w:val="00480F23"/>
    <w:rsid w:val="00482FA3"/>
    <w:rsid w:val="0048559D"/>
    <w:rsid w:val="00494175"/>
    <w:rsid w:val="004A0832"/>
    <w:rsid w:val="004D037A"/>
    <w:rsid w:val="004E3AF3"/>
    <w:rsid w:val="004F375E"/>
    <w:rsid w:val="00504F80"/>
    <w:rsid w:val="00506485"/>
    <w:rsid w:val="00513DA7"/>
    <w:rsid w:val="00516C82"/>
    <w:rsid w:val="005238CB"/>
    <w:rsid w:val="00526F0E"/>
    <w:rsid w:val="00545145"/>
    <w:rsid w:val="0055453E"/>
    <w:rsid w:val="00594258"/>
    <w:rsid w:val="005A24DF"/>
    <w:rsid w:val="005C19D7"/>
    <w:rsid w:val="005C2AD9"/>
    <w:rsid w:val="005D3508"/>
    <w:rsid w:val="005E4363"/>
    <w:rsid w:val="005F7636"/>
    <w:rsid w:val="00600DC7"/>
    <w:rsid w:val="0060514F"/>
    <w:rsid w:val="0062068D"/>
    <w:rsid w:val="006317AA"/>
    <w:rsid w:val="006473C3"/>
    <w:rsid w:val="00664D0E"/>
    <w:rsid w:val="006708D7"/>
    <w:rsid w:val="00673296"/>
    <w:rsid w:val="006837E0"/>
    <w:rsid w:val="0068436B"/>
    <w:rsid w:val="00685724"/>
    <w:rsid w:val="006951CA"/>
    <w:rsid w:val="006A0568"/>
    <w:rsid w:val="006B7262"/>
    <w:rsid w:val="006C3E5F"/>
    <w:rsid w:val="006C48FF"/>
    <w:rsid w:val="006D10E5"/>
    <w:rsid w:val="006D52FE"/>
    <w:rsid w:val="006E5CBA"/>
    <w:rsid w:val="006E7FCD"/>
    <w:rsid w:val="006F6D37"/>
    <w:rsid w:val="00706282"/>
    <w:rsid w:val="007066B7"/>
    <w:rsid w:val="00724248"/>
    <w:rsid w:val="00732186"/>
    <w:rsid w:val="00737049"/>
    <w:rsid w:val="00764EEC"/>
    <w:rsid w:val="0078030C"/>
    <w:rsid w:val="00790A7A"/>
    <w:rsid w:val="00793EAE"/>
    <w:rsid w:val="00794D24"/>
    <w:rsid w:val="007A0C5F"/>
    <w:rsid w:val="007C0AA7"/>
    <w:rsid w:val="007D5B97"/>
    <w:rsid w:val="007E5515"/>
    <w:rsid w:val="0080590C"/>
    <w:rsid w:val="008069E7"/>
    <w:rsid w:val="008102F5"/>
    <w:rsid w:val="008144E7"/>
    <w:rsid w:val="00822A16"/>
    <w:rsid w:val="00826EE9"/>
    <w:rsid w:val="00834EBA"/>
    <w:rsid w:val="0086475B"/>
    <w:rsid w:val="00875AFA"/>
    <w:rsid w:val="00884F31"/>
    <w:rsid w:val="0088609E"/>
    <w:rsid w:val="00897B99"/>
    <w:rsid w:val="008B4CB5"/>
    <w:rsid w:val="008C3DB0"/>
    <w:rsid w:val="008C723F"/>
    <w:rsid w:val="008D12C3"/>
    <w:rsid w:val="008D458B"/>
    <w:rsid w:val="008E22CF"/>
    <w:rsid w:val="008E5824"/>
    <w:rsid w:val="008E589A"/>
    <w:rsid w:val="008F14EA"/>
    <w:rsid w:val="008F1D5B"/>
    <w:rsid w:val="00916AE6"/>
    <w:rsid w:val="00927491"/>
    <w:rsid w:val="00933BDB"/>
    <w:rsid w:val="00941255"/>
    <w:rsid w:val="00945950"/>
    <w:rsid w:val="00965A98"/>
    <w:rsid w:val="009769CD"/>
    <w:rsid w:val="009915D0"/>
    <w:rsid w:val="00997D98"/>
    <w:rsid w:val="009C0850"/>
    <w:rsid w:val="009C22C8"/>
    <w:rsid w:val="009C6B2E"/>
    <w:rsid w:val="009E33C7"/>
    <w:rsid w:val="009E5F2A"/>
    <w:rsid w:val="009E6E1A"/>
    <w:rsid w:val="009F60A7"/>
    <w:rsid w:val="00A009F2"/>
    <w:rsid w:val="00A01AF7"/>
    <w:rsid w:val="00A111DA"/>
    <w:rsid w:val="00A2703B"/>
    <w:rsid w:val="00A315CB"/>
    <w:rsid w:val="00A35793"/>
    <w:rsid w:val="00A3579D"/>
    <w:rsid w:val="00A54A9B"/>
    <w:rsid w:val="00A55356"/>
    <w:rsid w:val="00A557BB"/>
    <w:rsid w:val="00A84C13"/>
    <w:rsid w:val="00A8520D"/>
    <w:rsid w:val="00A91194"/>
    <w:rsid w:val="00A95959"/>
    <w:rsid w:val="00AC1931"/>
    <w:rsid w:val="00AC2993"/>
    <w:rsid w:val="00AC43CF"/>
    <w:rsid w:val="00AC5781"/>
    <w:rsid w:val="00AD0EDC"/>
    <w:rsid w:val="00AE64CB"/>
    <w:rsid w:val="00AF2CD6"/>
    <w:rsid w:val="00AF78A6"/>
    <w:rsid w:val="00B023CC"/>
    <w:rsid w:val="00B0548B"/>
    <w:rsid w:val="00B16D0E"/>
    <w:rsid w:val="00B24898"/>
    <w:rsid w:val="00B30D2F"/>
    <w:rsid w:val="00B50AD7"/>
    <w:rsid w:val="00B51A45"/>
    <w:rsid w:val="00B5644E"/>
    <w:rsid w:val="00B64F2F"/>
    <w:rsid w:val="00B858F9"/>
    <w:rsid w:val="00B93A3C"/>
    <w:rsid w:val="00B96287"/>
    <w:rsid w:val="00B9756B"/>
    <w:rsid w:val="00BB3345"/>
    <w:rsid w:val="00BB7DE1"/>
    <w:rsid w:val="00BC4A0D"/>
    <w:rsid w:val="00BF280D"/>
    <w:rsid w:val="00BF6E9C"/>
    <w:rsid w:val="00BF7FE3"/>
    <w:rsid w:val="00C0404B"/>
    <w:rsid w:val="00C05E83"/>
    <w:rsid w:val="00C24D50"/>
    <w:rsid w:val="00C273AD"/>
    <w:rsid w:val="00C4056D"/>
    <w:rsid w:val="00C40BBE"/>
    <w:rsid w:val="00C72D10"/>
    <w:rsid w:val="00C765C7"/>
    <w:rsid w:val="00C97C0B"/>
    <w:rsid w:val="00CA08E3"/>
    <w:rsid w:val="00CD2D08"/>
    <w:rsid w:val="00CD6F95"/>
    <w:rsid w:val="00D15E2B"/>
    <w:rsid w:val="00D27FD3"/>
    <w:rsid w:val="00D33A6E"/>
    <w:rsid w:val="00D36508"/>
    <w:rsid w:val="00D57B91"/>
    <w:rsid w:val="00D61497"/>
    <w:rsid w:val="00D6615C"/>
    <w:rsid w:val="00D766BD"/>
    <w:rsid w:val="00D77146"/>
    <w:rsid w:val="00D823AF"/>
    <w:rsid w:val="00D87741"/>
    <w:rsid w:val="00D9207B"/>
    <w:rsid w:val="00DA11C2"/>
    <w:rsid w:val="00DB074F"/>
    <w:rsid w:val="00DB1D29"/>
    <w:rsid w:val="00DB2902"/>
    <w:rsid w:val="00DB538F"/>
    <w:rsid w:val="00DB743E"/>
    <w:rsid w:val="00DD22A9"/>
    <w:rsid w:val="00DE0E35"/>
    <w:rsid w:val="00DF44AC"/>
    <w:rsid w:val="00E2384C"/>
    <w:rsid w:val="00E2529E"/>
    <w:rsid w:val="00E27F80"/>
    <w:rsid w:val="00E3012B"/>
    <w:rsid w:val="00E36906"/>
    <w:rsid w:val="00E47C87"/>
    <w:rsid w:val="00E51756"/>
    <w:rsid w:val="00E648E9"/>
    <w:rsid w:val="00E67135"/>
    <w:rsid w:val="00E7277E"/>
    <w:rsid w:val="00E77596"/>
    <w:rsid w:val="00E9119F"/>
    <w:rsid w:val="00E95873"/>
    <w:rsid w:val="00E964FD"/>
    <w:rsid w:val="00EB697A"/>
    <w:rsid w:val="00ED4D5E"/>
    <w:rsid w:val="00ED71C8"/>
    <w:rsid w:val="00EF49F6"/>
    <w:rsid w:val="00F006B2"/>
    <w:rsid w:val="00F3066B"/>
    <w:rsid w:val="00F43DFA"/>
    <w:rsid w:val="00F60521"/>
    <w:rsid w:val="00F87670"/>
    <w:rsid w:val="00F87F72"/>
    <w:rsid w:val="00F90609"/>
    <w:rsid w:val="00F9217D"/>
    <w:rsid w:val="00FB3717"/>
    <w:rsid w:val="00FB6AD1"/>
    <w:rsid w:val="00FC50BC"/>
    <w:rsid w:val="00FE44B4"/>
    <w:rsid w:val="00FF1EB9"/>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02C70-73C4-4681-8EE6-9ADB22B3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qFormat/>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9">
      <w:bodyDiv w:val="1"/>
      <w:marLeft w:val="0"/>
      <w:marRight w:val="0"/>
      <w:marTop w:val="0"/>
      <w:marBottom w:val="0"/>
      <w:divBdr>
        <w:top w:val="none" w:sz="0" w:space="0" w:color="auto"/>
        <w:left w:val="none" w:sz="0" w:space="0" w:color="auto"/>
        <w:bottom w:val="none" w:sz="0" w:space="0" w:color="auto"/>
        <w:right w:val="none" w:sz="0" w:space="0" w:color="auto"/>
      </w:divBdr>
    </w:div>
    <w:div w:id="1598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E48CB5B765743BA7A98E3D3FC7AD9" ma:contentTypeVersion="0" ma:contentTypeDescription="Create a new document." ma:contentTypeScope="" ma:versionID="12dac2f692321332116df27b05dd9c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095C8F6-39DD-428C-BF62-64E1083D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BB3262-7E72-4827-AF20-6F4868708A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4.xml><?xml version="1.0" encoding="utf-8"?>
<ds:datastoreItem xmlns:ds="http://schemas.openxmlformats.org/officeDocument/2006/customXml" ds:itemID="{25F55FE2-175B-4D19-B4BB-51FFB039E2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Transmittal Sheet</Template>
  <TotalTime>1</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capktibb</dc:creator>
  <cp:lastModifiedBy>Dixson, Chiquita, VBAVACO</cp:lastModifiedBy>
  <cp:revision>2</cp:revision>
  <dcterms:created xsi:type="dcterms:W3CDTF">2020-01-21T18:19:00Z</dcterms:created>
  <dcterms:modified xsi:type="dcterms:W3CDTF">2020-01-21T18:19:00Z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0x0101005BFE48CB5B765743BA7A98E3D3FC7AD9</vt:lpwstr>
  </property>
</Properties>
</file>