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80" w:rsidRDefault="00504F80" w:rsidP="00504F80">
      <w:pPr>
        <w:pStyle w:val="Heading4"/>
        <w:tabs>
          <w:tab w:val="left" w:pos="6840"/>
        </w:tabs>
        <w:spacing w:after="0"/>
        <w:ind w:right="-720"/>
        <w:rPr>
          <w:rFonts w:ascii="Times New Roman" w:hAnsi="Times New Roman"/>
          <w:sz w:val="20"/>
        </w:rPr>
      </w:pPr>
      <w:bookmarkStart w:id="0" w:name="_GoBack"/>
      <w:bookmarkEnd w:id="0"/>
      <w:r>
        <w:rPr>
          <w:rFonts w:ascii="Times New Roman" w:hAnsi="Times New Roman"/>
          <w:sz w:val="20"/>
        </w:rPr>
        <w:t xml:space="preserve">Department </w:t>
      </w:r>
      <w:r w:rsidR="00311F26">
        <w:rPr>
          <w:rFonts w:ascii="Times New Roman" w:hAnsi="Times New Roman"/>
          <w:sz w:val="20"/>
        </w:rPr>
        <w:t xml:space="preserve">of Veterans </w:t>
      </w:r>
      <w:r w:rsidR="00F93A11">
        <w:rPr>
          <w:rFonts w:ascii="Times New Roman" w:hAnsi="Times New Roman"/>
          <w:sz w:val="20"/>
        </w:rPr>
        <w:t>Affairs</w:t>
      </w:r>
      <w:r w:rsidR="00F93A11">
        <w:rPr>
          <w:rFonts w:ascii="Times New Roman" w:hAnsi="Times New Roman"/>
          <w:sz w:val="20"/>
        </w:rPr>
        <w:tab/>
        <w:t>M29-1, Part 3, Chapter 9</w:t>
      </w:r>
    </w:p>
    <w:p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r>
      <w:r w:rsidR="005A64BD">
        <w:rPr>
          <w:b/>
          <w:bCs/>
          <w:sz w:val="20"/>
        </w:rPr>
        <w:t xml:space="preserve">                 </w:t>
      </w:r>
      <w:r w:rsidR="005A64BD" w:rsidRPr="005A64BD">
        <w:rPr>
          <w:b/>
          <w:bCs/>
          <w:sz w:val="20"/>
        </w:rPr>
        <w:t>September 19, 2019</w:t>
      </w:r>
      <w:r>
        <w:rPr>
          <w:b/>
          <w:bCs/>
          <w:sz w:val="20"/>
        </w:rPr>
        <w:tab/>
      </w:r>
    </w:p>
    <w:p w:rsidR="00504F80" w:rsidRDefault="00504F80" w:rsidP="00504F80">
      <w:pPr>
        <w:rPr>
          <w:b/>
          <w:bCs/>
          <w:sz w:val="20"/>
        </w:rPr>
      </w:pPr>
      <w:r>
        <w:rPr>
          <w:b/>
          <w:bCs/>
          <w:sz w:val="20"/>
        </w:rPr>
        <w:t>Washington, DC  20420</w:t>
      </w:r>
    </w:p>
    <w:p w:rsidR="00504F80" w:rsidRDefault="00504F80" w:rsidP="00504F80">
      <w:pPr>
        <w:rPr>
          <w:b/>
          <w:bCs/>
          <w:sz w:val="20"/>
        </w:rPr>
      </w:pPr>
    </w:p>
    <w:p w:rsidR="00504F80" w:rsidRDefault="00AE64CB" w:rsidP="00504F80">
      <w:pPr>
        <w:pStyle w:val="Heading4"/>
      </w:pPr>
      <w:r>
        <w:t>Key Changes</w:t>
      </w:r>
    </w:p>
    <w:p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rsidTr="00C24D50">
        <w:tc>
          <w:tcPr>
            <w:tcW w:w="1728" w:type="dxa"/>
          </w:tcPr>
          <w:p w:rsidR="00504F80" w:rsidRDefault="00504F80" w:rsidP="00237C22">
            <w:pPr>
              <w:pStyle w:val="Heading5"/>
            </w:pPr>
            <w:r>
              <w:t>Changes Included in This Revision</w:t>
            </w:r>
          </w:p>
        </w:tc>
        <w:tc>
          <w:tcPr>
            <w:tcW w:w="7740" w:type="dxa"/>
          </w:tcPr>
          <w:p w:rsidR="00504F80" w:rsidRDefault="00504F80" w:rsidP="00237C22">
            <w:pPr>
              <w:pStyle w:val="BlockText"/>
            </w:pPr>
            <w:r>
              <w:t>The table below describes the changes included in this revision of Veter</w:t>
            </w:r>
            <w:r w:rsidR="00311F26">
              <w:t>ans Benefits Insurance Manual M29-</w:t>
            </w:r>
            <w:r w:rsidR="00F93A11">
              <w:t>1, Part 3, Chapter 9</w:t>
            </w:r>
            <w:r w:rsidR="00075A91">
              <w:t>.</w:t>
            </w:r>
          </w:p>
          <w:p w:rsidR="00504F80" w:rsidRPr="00450FD6" w:rsidRDefault="00504F80" w:rsidP="00237C22">
            <w:pPr>
              <w:pStyle w:val="BulletText1"/>
              <w:numPr>
                <w:ilvl w:val="0"/>
                <w:numId w:val="0"/>
              </w:numPr>
            </w:pPr>
          </w:p>
          <w:p w:rsidR="00504F80" w:rsidRDefault="00504F80" w:rsidP="00237C22">
            <w:pPr>
              <w:pStyle w:val="BulletText1"/>
              <w:numPr>
                <w:ilvl w:val="0"/>
                <w:numId w:val="0"/>
              </w:numPr>
            </w:pPr>
            <w:r>
              <w:rPr>
                <w:b/>
                <w:i/>
              </w:rPr>
              <w:t>Notes</w:t>
            </w:r>
            <w:r>
              <w:t xml:space="preserve">:  </w:t>
            </w:r>
          </w:p>
          <w:p w:rsidR="0027298D" w:rsidRDefault="00311F26" w:rsidP="00311F26">
            <w:pPr>
              <w:pStyle w:val="BulletText1"/>
            </w:pPr>
            <w:r>
              <w:rPr>
                <w:b/>
              </w:rPr>
              <w:t>M29-1</w:t>
            </w:r>
            <w:r w:rsidR="00F93A11">
              <w:rPr>
                <w:b/>
              </w:rPr>
              <w:t>, Part 3, Chapter 9</w:t>
            </w:r>
            <w:r w:rsidR="00DD22A9">
              <w:t xml:space="preserve"> </w:t>
            </w:r>
            <w:r w:rsidR="00DD22A9" w:rsidRPr="00DD22A9">
              <w:t>has been rewritten in its entirety for the purpose of improving clarity and readability</w:t>
            </w:r>
            <w:r w:rsidR="00DD22A9">
              <w:t xml:space="preserve">.  </w:t>
            </w:r>
            <w:r w:rsidR="00DD22A9" w:rsidRPr="00DD22A9">
              <w:t>Any substantive changes are itemized in the table below.</w:t>
            </w:r>
          </w:p>
          <w:p w:rsidR="00504F80" w:rsidRDefault="00504F80" w:rsidP="00C24D50">
            <w:pPr>
              <w:pStyle w:val="BulletText1"/>
            </w:pPr>
            <w:r>
              <w:t xml:space="preserve">Minor editorial changes have also been made to </w:t>
            </w:r>
          </w:p>
          <w:p w:rsidR="00DD22A9" w:rsidRDefault="00DD22A9" w:rsidP="00237C22">
            <w:pPr>
              <w:pStyle w:val="BulletText2"/>
              <w:tabs>
                <w:tab w:val="num" w:pos="547"/>
              </w:tabs>
            </w:pPr>
            <w:r>
              <w:t>improve clarity and readability</w:t>
            </w:r>
          </w:p>
          <w:p w:rsidR="00B858F9" w:rsidRDefault="00B858F9" w:rsidP="00B858F9">
            <w:pPr>
              <w:pStyle w:val="BulletText2"/>
              <w:tabs>
                <w:tab w:val="num" w:pos="547"/>
              </w:tabs>
            </w:pPr>
            <w:r>
              <w:t>add references</w:t>
            </w:r>
          </w:p>
          <w:p w:rsidR="00504F80" w:rsidRDefault="00504F80" w:rsidP="00237C22">
            <w:pPr>
              <w:pStyle w:val="BulletText2"/>
              <w:tabs>
                <w:tab w:val="num" w:pos="547"/>
              </w:tabs>
            </w:pPr>
            <w:r>
              <w:t>update incorrect or obsolete references</w:t>
            </w:r>
          </w:p>
          <w:p w:rsidR="00504F80" w:rsidRDefault="00504F80" w:rsidP="00237C22">
            <w:pPr>
              <w:pStyle w:val="BulletText2"/>
              <w:tabs>
                <w:tab w:val="num" w:pos="547"/>
              </w:tabs>
            </w:pPr>
            <w:r>
              <w:t>update obsolete terminology, where appropriate</w:t>
            </w:r>
          </w:p>
          <w:p w:rsidR="00311F26" w:rsidRDefault="009E5F2A" w:rsidP="00311F26">
            <w:pPr>
              <w:pStyle w:val="BulletText2"/>
              <w:tabs>
                <w:tab w:val="num" w:pos="547"/>
              </w:tabs>
            </w:pPr>
            <w:r w:rsidRPr="009E5F2A">
              <w:t xml:space="preserve">reorganize/relocate content within </w:t>
            </w:r>
            <w:r w:rsidR="00075A91">
              <w:rPr>
                <w:b/>
              </w:rPr>
              <w:t>M29-1,</w:t>
            </w:r>
            <w:r w:rsidR="00F93A11">
              <w:rPr>
                <w:b/>
              </w:rPr>
              <w:t xml:space="preserve"> Part 3, Chapter 9</w:t>
            </w:r>
            <w:r w:rsidRPr="009E5F2A">
              <w:t xml:space="preserve"> so that it flows more logically</w:t>
            </w:r>
          </w:p>
          <w:p w:rsidR="003E2CA2" w:rsidRDefault="003E2CA2" w:rsidP="00237C22">
            <w:pPr>
              <w:pStyle w:val="BulletText2"/>
              <w:tabs>
                <w:tab w:val="num" w:pos="547"/>
              </w:tabs>
            </w:pPr>
            <w:r>
              <w:t>reassign alphabetical designations to individual blocks, where necessary, to account for new and/or deleted blocks within a topic</w:t>
            </w:r>
          </w:p>
          <w:p w:rsidR="00504F80" w:rsidRDefault="00A557BB" w:rsidP="00DD22A9">
            <w:pPr>
              <w:pStyle w:val="BulletText2"/>
              <w:tabs>
                <w:tab w:val="num" w:pos="547"/>
              </w:tabs>
            </w:pPr>
            <w:r>
              <w:t xml:space="preserve">update </w:t>
            </w:r>
            <w:r w:rsidR="00DD22A9">
              <w:t xml:space="preserve">the labels of individual blocks and the titles of </w:t>
            </w:r>
            <w:r>
              <w:t>section</w:t>
            </w:r>
            <w:r w:rsidR="00DD22A9">
              <w:t>s</w:t>
            </w:r>
            <w:r>
              <w:t xml:space="preserve"> and topic</w:t>
            </w:r>
            <w:r w:rsidR="00DD22A9">
              <w:t>s</w:t>
            </w:r>
            <w:r>
              <w:t xml:space="preserve"> to more accurately reflect their content</w:t>
            </w:r>
            <w:r w:rsidR="00504F80">
              <w:t xml:space="preserve">, and </w:t>
            </w:r>
          </w:p>
          <w:p w:rsidR="00504F80" w:rsidRPr="00EA3A57" w:rsidRDefault="00504F80" w:rsidP="00120103">
            <w:pPr>
              <w:pStyle w:val="BulletText2"/>
            </w:pPr>
            <w:r>
              <w:t>bring the document into conformance with M2</w:t>
            </w:r>
            <w:r w:rsidR="00311F26">
              <w:t>9</w:t>
            </w:r>
            <w:r>
              <w:t>-1 standards.</w:t>
            </w:r>
          </w:p>
        </w:tc>
      </w:tr>
    </w:tbl>
    <w:p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60514F" w:rsidRPr="004221F2"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Reason(s) for Notable Change</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Citation</w:t>
            </w:r>
          </w:p>
        </w:tc>
      </w:tr>
      <w:tr w:rsidR="0060514F" w:rsidRPr="00A94EA2"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A94EA2" w:rsidRDefault="00D51F24" w:rsidP="00673296">
            <w:pPr>
              <w:pStyle w:val="TableHeaderText"/>
              <w:jc w:val="left"/>
              <w:rPr>
                <w:b w:val="0"/>
              </w:rPr>
            </w:pPr>
            <w:r w:rsidRPr="00A94EA2">
              <w:rPr>
                <w:b w:val="0"/>
              </w:rPr>
              <w:t xml:space="preserve">Clarifies that the Insurance Claims Division makes determinations as to fraud issues in cases of total disability; clarifies that </w:t>
            </w:r>
            <w:r w:rsidR="0082625D" w:rsidRPr="00A94EA2">
              <w:rPr>
                <w:b w:val="0"/>
              </w:rPr>
              <w:t xml:space="preserve">the </w:t>
            </w:r>
            <w:r w:rsidRPr="00A94EA2">
              <w:rPr>
                <w:b w:val="0"/>
              </w:rPr>
              <w:t>Insurance Deputy Director renders the final decision in complex cases of alleged fraud</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A94EA2" w:rsidRDefault="00D51F24" w:rsidP="00673296">
            <w:pPr>
              <w:pStyle w:val="TableHeaderText"/>
              <w:jc w:val="left"/>
              <w:rPr>
                <w:b w:val="0"/>
              </w:rPr>
            </w:pPr>
            <w:r w:rsidRPr="00A94EA2">
              <w:rPr>
                <w:b w:val="0"/>
              </w:rPr>
              <w:t xml:space="preserve">Subchapter </w:t>
            </w:r>
            <w:r w:rsidR="0082625D" w:rsidRPr="00A94EA2">
              <w:rPr>
                <w:b w:val="0"/>
              </w:rPr>
              <w:t>9</w:t>
            </w:r>
            <w:r w:rsidRPr="00A94EA2">
              <w:rPr>
                <w:b w:val="0"/>
              </w:rPr>
              <w:t>.01</w:t>
            </w:r>
          </w:p>
        </w:tc>
      </w:tr>
      <w:tr w:rsidR="002A1D3E" w:rsidRPr="00A94EA2" w:rsidTr="00AB58C5">
        <w:trPr>
          <w:trHeight w:val="1470"/>
        </w:trPr>
        <w:tc>
          <w:tcPr>
            <w:tcW w:w="3942" w:type="pct"/>
            <w:shd w:val="clear" w:color="auto" w:fill="auto"/>
          </w:tcPr>
          <w:p w:rsidR="002A1D3E" w:rsidRPr="00A94EA2" w:rsidRDefault="00BD5EB3" w:rsidP="00673296">
            <w:pPr>
              <w:pStyle w:val="TableHeaderText"/>
              <w:jc w:val="left"/>
              <w:rPr>
                <w:b w:val="0"/>
              </w:rPr>
            </w:pPr>
            <w:r w:rsidRPr="00A94EA2">
              <w:rPr>
                <w:b w:val="0"/>
              </w:rPr>
              <w:t xml:space="preserve">Explains that in cases of potential fraud being identified, the insurance electronic record will be updated to reflect the </w:t>
            </w:r>
            <w:r w:rsidR="00762F59" w:rsidRPr="00A94EA2">
              <w:rPr>
                <w:b w:val="0"/>
              </w:rPr>
              <w:t>status</w:t>
            </w:r>
            <w:r w:rsidRPr="00A94EA2">
              <w:rPr>
                <w:b w:val="0"/>
              </w:rPr>
              <w:t xml:space="preserve"> of the inquiry;</w:t>
            </w:r>
            <w:r w:rsidR="00CB7748" w:rsidRPr="00A94EA2">
              <w:rPr>
                <w:b w:val="0"/>
              </w:rPr>
              <w:t xml:space="preserve"> explains when processing fraud cases that pertain to i</w:t>
            </w:r>
            <w:r w:rsidR="0082625D" w:rsidRPr="00A94EA2">
              <w:rPr>
                <w:b w:val="0"/>
              </w:rPr>
              <w:t>ncompetent veterans, refer to M</w:t>
            </w:r>
            <w:r w:rsidR="00CB7748" w:rsidRPr="00A94EA2">
              <w:rPr>
                <w:b w:val="0"/>
              </w:rPr>
              <w:t xml:space="preserve">29-1, Part 1, Chapter 31, Paragraph 31.41; eliminates language no </w:t>
            </w:r>
            <w:r w:rsidR="007365C1" w:rsidRPr="00A94EA2">
              <w:rPr>
                <w:b w:val="0"/>
              </w:rPr>
              <w:t xml:space="preserve">longer </w:t>
            </w:r>
            <w:r w:rsidR="00CB7748" w:rsidRPr="00A94EA2">
              <w:rPr>
                <w:b w:val="0"/>
              </w:rPr>
              <w:t xml:space="preserve">applicable to the insurance programs </w:t>
            </w:r>
          </w:p>
        </w:tc>
        <w:tc>
          <w:tcPr>
            <w:tcW w:w="1058" w:type="pct"/>
            <w:shd w:val="clear" w:color="auto" w:fill="auto"/>
          </w:tcPr>
          <w:p w:rsidR="002A1D3E" w:rsidRPr="00A94EA2" w:rsidRDefault="00CB7748" w:rsidP="00673296">
            <w:pPr>
              <w:pStyle w:val="TableHeaderText"/>
              <w:jc w:val="left"/>
              <w:rPr>
                <w:b w:val="0"/>
              </w:rPr>
            </w:pPr>
            <w:r w:rsidRPr="00A94EA2">
              <w:rPr>
                <w:b w:val="0"/>
              </w:rPr>
              <w:t>Subchapter 9.02</w:t>
            </w:r>
          </w:p>
        </w:tc>
      </w:tr>
      <w:tr w:rsidR="002A1D3E" w:rsidRPr="00A94EA2" w:rsidTr="002220F1">
        <w:trPr>
          <w:trHeight w:val="180"/>
        </w:trPr>
        <w:tc>
          <w:tcPr>
            <w:tcW w:w="3942" w:type="pct"/>
            <w:shd w:val="clear" w:color="auto" w:fill="auto"/>
          </w:tcPr>
          <w:p w:rsidR="002A1D3E" w:rsidRPr="00A94EA2" w:rsidRDefault="00F847F6" w:rsidP="00673296">
            <w:pPr>
              <w:pStyle w:val="TableText"/>
            </w:pPr>
            <w:r w:rsidRPr="00A94EA2">
              <w:t>Explains the procedures that should be followed by Insurance staff when evaluating medical evidence that may have been relevant to the issue of acceptance of the application but was withheld by the insured</w:t>
            </w:r>
          </w:p>
        </w:tc>
        <w:tc>
          <w:tcPr>
            <w:tcW w:w="1058" w:type="pct"/>
            <w:shd w:val="clear" w:color="auto" w:fill="auto"/>
          </w:tcPr>
          <w:p w:rsidR="002A1D3E" w:rsidRPr="00A94EA2" w:rsidRDefault="00656414" w:rsidP="00673296">
            <w:pPr>
              <w:pStyle w:val="TableText"/>
            </w:pPr>
            <w:r>
              <w:t>Prior Subchapter 9.06/</w:t>
            </w:r>
            <w:r w:rsidR="00ED4818">
              <w:t xml:space="preserve">New </w:t>
            </w:r>
            <w:r w:rsidR="0074737D" w:rsidRPr="00A94EA2">
              <w:t>Subchapter 9.0</w:t>
            </w:r>
            <w:r w:rsidR="005A64BD">
              <w:t>3</w:t>
            </w:r>
          </w:p>
        </w:tc>
      </w:tr>
      <w:tr w:rsidR="00F847F6" w:rsidRPr="00A94EA2" w:rsidTr="002220F1">
        <w:trPr>
          <w:trHeight w:val="180"/>
        </w:trPr>
        <w:tc>
          <w:tcPr>
            <w:tcW w:w="3942" w:type="pct"/>
            <w:shd w:val="clear" w:color="auto" w:fill="auto"/>
          </w:tcPr>
          <w:p w:rsidR="00F847F6" w:rsidRPr="00A94EA2" w:rsidRDefault="009A6290" w:rsidP="00673296">
            <w:pPr>
              <w:pStyle w:val="TableText"/>
            </w:pPr>
            <w:r w:rsidRPr="00A94EA2">
              <w:t>Explains the procedures that should be followed by Insurance staff when a determination has been made that fraud was</w:t>
            </w:r>
            <w:r w:rsidR="005141F9" w:rsidRPr="00A94EA2">
              <w:t xml:space="preserve"> likely </w:t>
            </w:r>
            <w:r w:rsidRPr="00A94EA2">
              <w:t>committed by a living insured</w:t>
            </w:r>
            <w:r w:rsidR="005141F9" w:rsidRPr="00A94EA2">
              <w:t xml:space="preserve"> in their application for disability </w:t>
            </w:r>
            <w:r w:rsidR="00F04DEB" w:rsidRPr="00A94EA2">
              <w:t xml:space="preserve">insurance </w:t>
            </w:r>
            <w:r w:rsidR="005141F9" w:rsidRPr="00A94EA2">
              <w:t>benefits from VA</w:t>
            </w:r>
          </w:p>
        </w:tc>
        <w:tc>
          <w:tcPr>
            <w:tcW w:w="1058" w:type="pct"/>
            <w:shd w:val="clear" w:color="auto" w:fill="auto"/>
          </w:tcPr>
          <w:p w:rsidR="00F847F6" w:rsidRPr="00A94EA2" w:rsidRDefault="00656414" w:rsidP="00673296">
            <w:pPr>
              <w:pStyle w:val="TableText"/>
            </w:pPr>
            <w:r>
              <w:t>Prior Subchapter 9.07/</w:t>
            </w:r>
            <w:r w:rsidR="00157EAE">
              <w:t xml:space="preserve">New </w:t>
            </w:r>
            <w:r w:rsidR="005141F9" w:rsidRPr="00A94EA2">
              <w:t>Subchapter 9.0</w:t>
            </w:r>
            <w:r w:rsidR="00157EAE">
              <w:t>4</w:t>
            </w:r>
          </w:p>
        </w:tc>
      </w:tr>
      <w:tr w:rsidR="00157EAE" w:rsidRPr="00A94EA2" w:rsidTr="002220F1">
        <w:trPr>
          <w:trHeight w:val="180"/>
        </w:trPr>
        <w:tc>
          <w:tcPr>
            <w:tcW w:w="3942" w:type="pct"/>
            <w:shd w:val="clear" w:color="auto" w:fill="auto"/>
          </w:tcPr>
          <w:p w:rsidR="00157EAE" w:rsidRPr="00A94EA2" w:rsidRDefault="00157EAE" w:rsidP="00673296">
            <w:pPr>
              <w:pStyle w:val="TableText"/>
            </w:pPr>
            <w:r>
              <w:t>Moved and combined with M29-1, Part 1, Chapter 31.</w:t>
            </w:r>
          </w:p>
        </w:tc>
        <w:tc>
          <w:tcPr>
            <w:tcW w:w="1058" w:type="pct"/>
            <w:shd w:val="clear" w:color="auto" w:fill="auto"/>
          </w:tcPr>
          <w:p w:rsidR="00157EAE" w:rsidRPr="00A94EA2" w:rsidRDefault="00157EAE" w:rsidP="00673296">
            <w:pPr>
              <w:pStyle w:val="TableText"/>
            </w:pPr>
            <w:r>
              <w:t>Prior Subchapters 9.04/9.05</w:t>
            </w:r>
          </w:p>
        </w:tc>
      </w:tr>
      <w:tr w:rsidR="005141F9" w:rsidRPr="00A94EA2" w:rsidTr="002220F1">
        <w:trPr>
          <w:trHeight w:val="180"/>
        </w:trPr>
        <w:tc>
          <w:tcPr>
            <w:tcW w:w="3942" w:type="pct"/>
            <w:shd w:val="clear" w:color="auto" w:fill="auto"/>
          </w:tcPr>
          <w:p w:rsidR="005141F9" w:rsidRPr="00A94EA2" w:rsidRDefault="00351355" w:rsidP="00673296">
            <w:pPr>
              <w:pStyle w:val="TableText"/>
            </w:pPr>
            <w:r w:rsidRPr="00A94EA2">
              <w:t>Explains that evidence from VA systems and other medical records that an insured was being treated for a condition should be</w:t>
            </w:r>
            <w:r w:rsidR="00707B66" w:rsidRPr="00A94EA2">
              <w:t xml:space="preserve"> considered when evaluating </w:t>
            </w:r>
            <w:r w:rsidRPr="00A94EA2">
              <w:t xml:space="preserve">potential intent to commit fraud </w:t>
            </w:r>
          </w:p>
        </w:tc>
        <w:tc>
          <w:tcPr>
            <w:tcW w:w="1058" w:type="pct"/>
            <w:shd w:val="clear" w:color="auto" w:fill="auto"/>
          </w:tcPr>
          <w:p w:rsidR="005141F9" w:rsidRPr="00A94EA2" w:rsidRDefault="003378C8" w:rsidP="00673296">
            <w:pPr>
              <w:pStyle w:val="TableText"/>
            </w:pPr>
            <w:r>
              <w:t xml:space="preserve">New </w:t>
            </w:r>
            <w:r w:rsidR="00351355" w:rsidRPr="00A94EA2">
              <w:t>Subchapter 9.0</w:t>
            </w:r>
            <w:r>
              <w:t>5</w:t>
            </w:r>
          </w:p>
        </w:tc>
      </w:tr>
      <w:tr w:rsidR="00351355" w:rsidRPr="00A94EA2" w:rsidTr="002220F1">
        <w:trPr>
          <w:trHeight w:val="180"/>
        </w:trPr>
        <w:tc>
          <w:tcPr>
            <w:tcW w:w="3942" w:type="pct"/>
            <w:shd w:val="clear" w:color="auto" w:fill="auto"/>
          </w:tcPr>
          <w:p w:rsidR="00351355" w:rsidRPr="00A94EA2" w:rsidRDefault="006B3594" w:rsidP="00673296">
            <w:pPr>
              <w:pStyle w:val="TableText"/>
            </w:pPr>
            <w:r w:rsidRPr="00A94EA2">
              <w:t>Eliminated language pertaining to potential fraud</w:t>
            </w:r>
            <w:r w:rsidR="009C6E5A" w:rsidRPr="00A94EA2">
              <w:t xml:space="preserve"> on TDIP benefits </w:t>
            </w:r>
            <w:r w:rsidRPr="00A94EA2">
              <w:lastRenderedPageBreak/>
              <w:t xml:space="preserve">committed by a deceased insured as no longer applicable to the insurance programs </w:t>
            </w:r>
          </w:p>
        </w:tc>
        <w:tc>
          <w:tcPr>
            <w:tcW w:w="1058" w:type="pct"/>
            <w:shd w:val="clear" w:color="auto" w:fill="auto"/>
          </w:tcPr>
          <w:p w:rsidR="00351355" w:rsidRPr="00A94EA2" w:rsidRDefault="003378C8" w:rsidP="00673296">
            <w:pPr>
              <w:pStyle w:val="TableText"/>
            </w:pPr>
            <w:r>
              <w:lastRenderedPageBreak/>
              <w:t xml:space="preserve">Prior </w:t>
            </w:r>
            <w:r w:rsidR="006B3594" w:rsidRPr="00A94EA2">
              <w:t xml:space="preserve">Subchapter </w:t>
            </w:r>
            <w:r w:rsidR="006B3594" w:rsidRPr="00A94EA2">
              <w:lastRenderedPageBreak/>
              <w:t>9.0</w:t>
            </w:r>
            <w:r>
              <w:t>6</w:t>
            </w:r>
          </w:p>
        </w:tc>
      </w:tr>
      <w:tr w:rsidR="006B3594" w:rsidRPr="00A94EA2" w:rsidTr="002220F1">
        <w:trPr>
          <w:trHeight w:val="180"/>
        </w:trPr>
        <w:tc>
          <w:tcPr>
            <w:tcW w:w="3942" w:type="pct"/>
            <w:shd w:val="clear" w:color="auto" w:fill="auto"/>
          </w:tcPr>
          <w:p w:rsidR="006B3594" w:rsidRPr="00A94EA2" w:rsidRDefault="00C05FB5" w:rsidP="00673296">
            <w:pPr>
              <w:pStyle w:val="TableText"/>
            </w:pPr>
            <w:r w:rsidRPr="00A94EA2">
              <w:lastRenderedPageBreak/>
              <w:t xml:space="preserve">Clarifies how a </w:t>
            </w:r>
            <w:r w:rsidR="009A0075" w:rsidRPr="00A94EA2">
              <w:t xml:space="preserve">fraud </w:t>
            </w:r>
            <w:r w:rsidRPr="00A94EA2">
              <w:t xml:space="preserve">decision should be prepared </w:t>
            </w:r>
            <w:r w:rsidR="0014027C" w:rsidRPr="00A94EA2">
              <w:t>i</w:t>
            </w:r>
            <w:r w:rsidRPr="00A94EA2">
              <w:t xml:space="preserve">n VA </w:t>
            </w:r>
            <w:r w:rsidR="009A0075" w:rsidRPr="00A94EA2">
              <w:t xml:space="preserve">Insurance </w:t>
            </w:r>
            <w:r w:rsidRPr="00A94EA2">
              <w:t xml:space="preserve">systems </w:t>
            </w:r>
          </w:p>
        </w:tc>
        <w:tc>
          <w:tcPr>
            <w:tcW w:w="1058" w:type="pct"/>
            <w:shd w:val="clear" w:color="auto" w:fill="auto"/>
          </w:tcPr>
          <w:p w:rsidR="006B3594" w:rsidRPr="00A94EA2" w:rsidRDefault="00656414" w:rsidP="00673296">
            <w:pPr>
              <w:pStyle w:val="TableText"/>
            </w:pPr>
            <w:r>
              <w:t xml:space="preserve">Prior </w:t>
            </w:r>
            <w:r w:rsidR="00C05FB5" w:rsidRPr="00A94EA2">
              <w:t>Subchapter 9.10</w:t>
            </w:r>
            <w:r>
              <w:t>/New Subchapter 9.07</w:t>
            </w:r>
          </w:p>
        </w:tc>
      </w:tr>
      <w:tr w:rsidR="00306436" w:rsidRPr="00A94EA2" w:rsidTr="002220F1">
        <w:trPr>
          <w:trHeight w:val="180"/>
        </w:trPr>
        <w:tc>
          <w:tcPr>
            <w:tcW w:w="3942" w:type="pct"/>
            <w:shd w:val="clear" w:color="auto" w:fill="auto"/>
          </w:tcPr>
          <w:p w:rsidR="00306436" w:rsidRPr="00A94EA2" w:rsidRDefault="00306436" w:rsidP="00673296">
            <w:pPr>
              <w:pStyle w:val="TableText"/>
            </w:pPr>
            <w:r w:rsidRPr="00A94EA2">
              <w:t xml:space="preserve">Explains that in cases of fraud found in previous applications for </w:t>
            </w:r>
            <w:r w:rsidR="004348B0" w:rsidRPr="00A94EA2">
              <w:t xml:space="preserve">disability </w:t>
            </w:r>
            <w:r w:rsidRPr="00A94EA2">
              <w:t xml:space="preserve">insurance benefits, a reinstatement may be denied; however, in cases of an insured on extended insurance or with multiple policies, no additional action may be taken against such policies </w:t>
            </w:r>
          </w:p>
        </w:tc>
        <w:tc>
          <w:tcPr>
            <w:tcW w:w="1058" w:type="pct"/>
            <w:shd w:val="clear" w:color="auto" w:fill="auto"/>
          </w:tcPr>
          <w:p w:rsidR="00306436" w:rsidRPr="00A94EA2" w:rsidRDefault="00656414" w:rsidP="00673296">
            <w:pPr>
              <w:pStyle w:val="TableText"/>
            </w:pPr>
            <w:r>
              <w:t xml:space="preserve">Prior </w:t>
            </w:r>
            <w:r w:rsidR="00306436" w:rsidRPr="00A94EA2">
              <w:t>Subchapter 9.11</w:t>
            </w:r>
            <w:r>
              <w:t>/New Subchapter 9.08</w:t>
            </w:r>
          </w:p>
        </w:tc>
      </w:tr>
      <w:tr w:rsidR="00306436" w:rsidRPr="00A94EA2" w:rsidTr="002220F1">
        <w:trPr>
          <w:trHeight w:val="180"/>
        </w:trPr>
        <w:tc>
          <w:tcPr>
            <w:tcW w:w="3942" w:type="pct"/>
            <w:shd w:val="clear" w:color="auto" w:fill="auto"/>
          </w:tcPr>
          <w:p w:rsidR="00306436" w:rsidRPr="00A94EA2" w:rsidRDefault="0041069A" w:rsidP="00673296">
            <w:pPr>
              <w:pStyle w:val="TableText"/>
            </w:pPr>
            <w:r w:rsidRPr="00A94EA2">
              <w:t>Updates</w:t>
            </w:r>
            <w:r w:rsidR="004348B0" w:rsidRPr="00A94EA2">
              <w:t xml:space="preserve"> the procedures for referral of cases of potential fraud in applications not pertaining to disability benefits</w:t>
            </w:r>
          </w:p>
        </w:tc>
        <w:tc>
          <w:tcPr>
            <w:tcW w:w="1058" w:type="pct"/>
            <w:shd w:val="clear" w:color="auto" w:fill="auto"/>
          </w:tcPr>
          <w:p w:rsidR="00306436" w:rsidRPr="00A94EA2" w:rsidRDefault="00656414" w:rsidP="00673296">
            <w:pPr>
              <w:pStyle w:val="TableText"/>
            </w:pPr>
            <w:r>
              <w:t xml:space="preserve">Prior </w:t>
            </w:r>
            <w:r w:rsidR="004348B0" w:rsidRPr="00A94EA2">
              <w:t>Subchapter 9.12</w:t>
            </w:r>
            <w:r>
              <w:t>/New Subchapter 9.09</w:t>
            </w:r>
          </w:p>
        </w:tc>
      </w:tr>
      <w:tr w:rsidR="004348B0" w:rsidRPr="00A94EA2" w:rsidTr="002220F1">
        <w:trPr>
          <w:trHeight w:val="180"/>
        </w:trPr>
        <w:tc>
          <w:tcPr>
            <w:tcW w:w="3942" w:type="pct"/>
            <w:shd w:val="clear" w:color="auto" w:fill="auto"/>
          </w:tcPr>
          <w:p w:rsidR="004348B0" w:rsidRPr="00A94EA2" w:rsidRDefault="00367717" w:rsidP="00673296">
            <w:pPr>
              <w:pStyle w:val="TableText"/>
            </w:pPr>
            <w:r w:rsidRPr="00A94EA2">
              <w:t xml:space="preserve">Clarifies that all documents relevant to fraud determinations will be retained in the </w:t>
            </w:r>
            <w:r w:rsidR="00A71A60" w:rsidRPr="00A94EA2">
              <w:t>Insurance electronic systems record</w:t>
            </w:r>
          </w:p>
        </w:tc>
        <w:tc>
          <w:tcPr>
            <w:tcW w:w="1058" w:type="pct"/>
            <w:shd w:val="clear" w:color="auto" w:fill="auto"/>
          </w:tcPr>
          <w:p w:rsidR="004348B0" w:rsidRPr="00A94EA2" w:rsidRDefault="00656414" w:rsidP="00673296">
            <w:pPr>
              <w:pStyle w:val="TableText"/>
            </w:pPr>
            <w:r>
              <w:t xml:space="preserve">Prior </w:t>
            </w:r>
            <w:r w:rsidR="00A71A60" w:rsidRPr="00A94EA2">
              <w:t>Subchapter 9.13</w:t>
            </w:r>
            <w:r>
              <w:t>/New Subchapter 9.10</w:t>
            </w:r>
          </w:p>
        </w:tc>
      </w:tr>
      <w:tr w:rsidR="00A71A60" w:rsidTr="002220F1">
        <w:trPr>
          <w:trHeight w:val="180"/>
        </w:trPr>
        <w:tc>
          <w:tcPr>
            <w:tcW w:w="3942" w:type="pct"/>
            <w:shd w:val="clear" w:color="auto" w:fill="auto"/>
          </w:tcPr>
          <w:p w:rsidR="00A71A60" w:rsidRPr="00A94EA2" w:rsidRDefault="00596828" w:rsidP="00673296">
            <w:pPr>
              <w:pStyle w:val="TableText"/>
            </w:pPr>
            <w:r w:rsidRPr="00A94EA2">
              <w:t xml:space="preserve">Explains that </w:t>
            </w:r>
            <w:r w:rsidR="00FA7A0F" w:rsidRPr="00A94EA2">
              <w:t xml:space="preserve">when fraud has been found and the insurance cancelled, the case should then be handled </w:t>
            </w:r>
            <w:r w:rsidR="00A94EA2" w:rsidRPr="00A94EA2">
              <w:t xml:space="preserve">under </w:t>
            </w:r>
            <w:r w:rsidR="00FA7A0F" w:rsidRPr="00A94EA2">
              <w:t xml:space="preserve">current Insurance internal procedures </w:t>
            </w:r>
          </w:p>
        </w:tc>
        <w:tc>
          <w:tcPr>
            <w:tcW w:w="1058" w:type="pct"/>
            <w:shd w:val="clear" w:color="auto" w:fill="auto"/>
          </w:tcPr>
          <w:p w:rsidR="00A71A60" w:rsidRDefault="00A562AA" w:rsidP="00673296">
            <w:pPr>
              <w:pStyle w:val="TableText"/>
            </w:pPr>
            <w:r>
              <w:t xml:space="preserve">Prior </w:t>
            </w:r>
            <w:r w:rsidR="00FA7A0F" w:rsidRPr="00A94EA2">
              <w:t>Subchapter 9.17</w:t>
            </w:r>
            <w:r>
              <w:t>/New Subchapter 9.14</w:t>
            </w:r>
          </w:p>
        </w:tc>
      </w:tr>
    </w:tbl>
    <w:p w:rsidR="0060514F" w:rsidRDefault="0060514F" w:rsidP="0060514F">
      <w:pPr>
        <w:pStyle w:val="BlockLine"/>
        <w:pBdr>
          <w:top w:val="single" w:sz="6" w:space="0" w:color="000000"/>
        </w:pBdr>
      </w:pPr>
    </w:p>
    <w:tbl>
      <w:tblPr>
        <w:tblStyle w:val="TableGrid"/>
        <w:tblW w:w="9360" w:type="dxa"/>
        <w:tblInd w:w="108" w:type="dxa"/>
        <w:tblLook w:val="04A0" w:firstRow="1" w:lastRow="0" w:firstColumn="1" w:lastColumn="0" w:noHBand="0" w:noVBand="1"/>
      </w:tblPr>
      <w:tblGrid>
        <w:gridCol w:w="7380"/>
        <w:gridCol w:w="1980"/>
      </w:tblGrid>
      <w:tr w:rsidR="0060514F" w:rsidRPr="004221F2" w:rsidTr="0060514F">
        <w:trPr>
          <w:trHeight w:val="330"/>
        </w:trPr>
        <w:tc>
          <w:tcPr>
            <w:tcW w:w="7380" w:type="dxa"/>
          </w:tcPr>
          <w:p w:rsidR="0060514F" w:rsidRPr="004221F2" w:rsidRDefault="0060514F" w:rsidP="002B755D">
            <w:pPr>
              <w:jc w:val="center"/>
              <w:rPr>
                <w:b/>
                <w:sz w:val="28"/>
                <w:szCs w:val="28"/>
              </w:rPr>
            </w:pPr>
            <w:r>
              <w:rPr>
                <w:b/>
                <w:sz w:val="28"/>
                <w:szCs w:val="28"/>
              </w:rPr>
              <w:t>Reason(s) for Change</w:t>
            </w:r>
          </w:p>
        </w:tc>
        <w:tc>
          <w:tcPr>
            <w:tcW w:w="1980" w:type="dxa"/>
          </w:tcPr>
          <w:p w:rsidR="0060514F" w:rsidRPr="004221F2" w:rsidRDefault="0060514F" w:rsidP="002B755D">
            <w:pPr>
              <w:jc w:val="center"/>
              <w:rPr>
                <w:b/>
                <w:sz w:val="28"/>
                <w:szCs w:val="28"/>
              </w:rPr>
            </w:pPr>
            <w:r w:rsidRPr="004221F2">
              <w:rPr>
                <w:b/>
                <w:sz w:val="28"/>
                <w:szCs w:val="28"/>
              </w:rPr>
              <w:t>Citation</w:t>
            </w:r>
          </w:p>
        </w:tc>
      </w:tr>
      <w:tr w:rsidR="005F4BF9" w:rsidRPr="005F4BF9" w:rsidTr="00673296">
        <w:trPr>
          <w:trHeight w:val="187"/>
        </w:trPr>
        <w:tc>
          <w:tcPr>
            <w:tcW w:w="7380" w:type="dxa"/>
          </w:tcPr>
          <w:p w:rsidR="005F4BF9" w:rsidRPr="00473DBA" w:rsidRDefault="005F4BF9" w:rsidP="005F4BF9">
            <w:pPr>
              <w:pStyle w:val="TableText"/>
            </w:pPr>
            <w:r w:rsidRPr="00473DBA">
              <w:t>Updates personnel titles who handle fraud cases and have final or delegated authority on fraud decisions</w:t>
            </w:r>
          </w:p>
        </w:tc>
        <w:tc>
          <w:tcPr>
            <w:tcW w:w="1980" w:type="dxa"/>
          </w:tcPr>
          <w:p w:rsidR="005F4BF9" w:rsidRPr="00473DBA" w:rsidRDefault="00A562AA" w:rsidP="005F4BF9">
            <w:pPr>
              <w:pStyle w:val="TableText"/>
            </w:pPr>
            <w:r>
              <w:t xml:space="preserve">Prior </w:t>
            </w:r>
            <w:r w:rsidR="005F4BF9" w:rsidRPr="00473DBA">
              <w:t>Subchapter 9.11</w:t>
            </w:r>
            <w:r>
              <w:t>/New Subchapter 9.08</w:t>
            </w:r>
          </w:p>
        </w:tc>
      </w:tr>
      <w:tr w:rsidR="005F4BF9" w:rsidRPr="004221F2" w:rsidTr="00673296">
        <w:trPr>
          <w:trHeight w:val="187"/>
        </w:trPr>
        <w:tc>
          <w:tcPr>
            <w:tcW w:w="7380" w:type="dxa"/>
          </w:tcPr>
          <w:p w:rsidR="005F4BF9" w:rsidRPr="00D04389" w:rsidRDefault="005F4BF9" w:rsidP="005F4BF9">
            <w:r w:rsidRPr="00D04389">
              <w:t xml:space="preserve">Eliminates language regarding the </w:t>
            </w:r>
            <w:r w:rsidR="00D04389" w:rsidRPr="00D04389">
              <w:t xml:space="preserve">routing of the </w:t>
            </w:r>
            <w:r w:rsidRPr="00D04389">
              <w:t xml:space="preserve">insurance paper folder in cases in which no fraud </w:t>
            </w:r>
            <w:r w:rsidR="00D04389" w:rsidRPr="00D04389">
              <w:t>was determined to have occurred</w:t>
            </w:r>
            <w:r w:rsidRPr="00D04389">
              <w:t xml:space="preserve"> as no longer applicable to the insurance programs </w:t>
            </w:r>
          </w:p>
        </w:tc>
        <w:tc>
          <w:tcPr>
            <w:tcW w:w="1980" w:type="dxa"/>
          </w:tcPr>
          <w:p w:rsidR="005F4BF9" w:rsidRPr="00D04389" w:rsidRDefault="00A562AA" w:rsidP="005F4BF9">
            <w:r>
              <w:t xml:space="preserve">Prior </w:t>
            </w:r>
            <w:r w:rsidR="005F4BF9" w:rsidRPr="00D04389">
              <w:t>Subchapter 9.14</w:t>
            </w:r>
            <w:r>
              <w:t>/New Subchapter 9.11</w:t>
            </w:r>
          </w:p>
        </w:tc>
      </w:tr>
      <w:tr w:rsidR="005F4BF9" w:rsidRPr="004221F2" w:rsidTr="00673296">
        <w:trPr>
          <w:trHeight w:val="187"/>
        </w:trPr>
        <w:tc>
          <w:tcPr>
            <w:tcW w:w="7380" w:type="dxa"/>
          </w:tcPr>
          <w:p w:rsidR="005F4BF9" w:rsidRPr="00D04389" w:rsidRDefault="005F4BF9" w:rsidP="005F4BF9">
            <w:r w:rsidRPr="00D04389">
              <w:t xml:space="preserve">Explains which senior management staff is authorized to reverse a decision of fraud, and under what circumstances that reversal may be reconsidered </w:t>
            </w:r>
          </w:p>
        </w:tc>
        <w:tc>
          <w:tcPr>
            <w:tcW w:w="1980" w:type="dxa"/>
          </w:tcPr>
          <w:p w:rsidR="005F4BF9" w:rsidRPr="00D04389" w:rsidRDefault="00A562AA" w:rsidP="005F4BF9">
            <w:r>
              <w:t xml:space="preserve">Prior </w:t>
            </w:r>
            <w:r w:rsidR="005F4BF9" w:rsidRPr="00D04389">
              <w:t>Subchapter 9.15</w:t>
            </w:r>
            <w:r>
              <w:t>/New Subchapter 9.12</w:t>
            </w:r>
          </w:p>
        </w:tc>
      </w:tr>
    </w:tbl>
    <w:p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Rescissions</w:t>
            </w:r>
          </w:p>
        </w:tc>
        <w:tc>
          <w:tcPr>
            <w:tcW w:w="7740" w:type="dxa"/>
          </w:tcPr>
          <w:p w:rsidR="00504F80" w:rsidRPr="00B4163A" w:rsidRDefault="00504F80" w:rsidP="00237C22">
            <w:pPr>
              <w:pStyle w:val="BlockText"/>
            </w:pPr>
            <w:r w:rsidRPr="00B4163A">
              <w:t>None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Authority</w:t>
            </w:r>
          </w:p>
        </w:tc>
        <w:tc>
          <w:tcPr>
            <w:tcW w:w="7740" w:type="dxa"/>
          </w:tcPr>
          <w:p w:rsidR="00504F80" w:rsidRPr="00B4163A" w:rsidRDefault="00504F80" w:rsidP="00237C22">
            <w:pPr>
              <w:pStyle w:val="BlockText"/>
            </w:pPr>
            <w:r w:rsidRPr="00B4163A">
              <w:t>By Direction of the Under Secretary for Benefits</w:t>
            </w:r>
          </w:p>
        </w:tc>
      </w:tr>
    </w:tbl>
    <w:p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Signature</w:t>
            </w:r>
          </w:p>
        </w:tc>
        <w:tc>
          <w:tcPr>
            <w:tcW w:w="7740" w:type="dxa"/>
          </w:tcPr>
          <w:p w:rsidR="00504F80" w:rsidRPr="00B4163A" w:rsidRDefault="00504F80" w:rsidP="00237C22">
            <w:pPr>
              <w:pStyle w:val="BlockText"/>
            </w:pPr>
          </w:p>
          <w:p w:rsidR="00504F80" w:rsidRPr="00B4163A" w:rsidRDefault="00504F80" w:rsidP="00237C22">
            <w:pPr>
              <w:pStyle w:val="MemoLine"/>
              <w:ind w:left="-18" w:right="612"/>
            </w:pPr>
          </w:p>
          <w:p w:rsidR="005C2AD9" w:rsidRDefault="00311F26" w:rsidP="005C2AD9">
            <w:r>
              <w:t>Vincent E. Markey</w:t>
            </w:r>
            <w:r w:rsidR="00BC4A0D">
              <w:t>, Director</w:t>
            </w:r>
          </w:p>
          <w:p w:rsidR="00504F80" w:rsidRPr="00B4163A" w:rsidRDefault="00311F26" w:rsidP="00BC4A0D">
            <w:pPr>
              <w:pStyle w:val="BlockText"/>
            </w:pPr>
            <w:r>
              <w:t>Insurance</w:t>
            </w:r>
            <w:r w:rsidR="00504F80" w:rsidRPr="00B4163A">
              <w:t xml:space="preserve"> Service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Tr="00237C22">
        <w:tc>
          <w:tcPr>
            <w:tcW w:w="1728" w:type="dxa"/>
          </w:tcPr>
          <w:p w:rsidR="00504F80" w:rsidRPr="00B4163A" w:rsidRDefault="00504F80" w:rsidP="00237C22">
            <w:pPr>
              <w:pStyle w:val="Heading5"/>
              <w:rPr>
                <w:sz w:val="24"/>
              </w:rPr>
            </w:pPr>
            <w:r w:rsidRPr="00B4163A">
              <w:rPr>
                <w:sz w:val="24"/>
              </w:rPr>
              <w:t>Distribution</w:t>
            </w:r>
          </w:p>
        </w:tc>
        <w:tc>
          <w:tcPr>
            <w:tcW w:w="7740" w:type="dxa"/>
          </w:tcPr>
          <w:p w:rsidR="00504F80" w:rsidRDefault="00504F80" w:rsidP="00237C22">
            <w:pPr>
              <w:pStyle w:val="BlockText"/>
              <w:jc w:val="center"/>
            </w:pPr>
            <w:r w:rsidRPr="00B4163A">
              <w:t>LOCAL REPRODUCTION AUTHORIZED</w:t>
            </w:r>
          </w:p>
        </w:tc>
      </w:tr>
    </w:tbl>
    <w:p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1"/>
      <w:footerReference w:type="default" r:id="rId1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042" w:rsidRDefault="004E0042" w:rsidP="00C765C7">
      <w:r>
        <w:separator/>
      </w:r>
    </w:p>
  </w:endnote>
  <w:endnote w:type="continuationSeparator" w:id="0">
    <w:p w:rsidR="004E0042" w:rsidRDefault="004E0042"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C22" w:rsidRDefault="0023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Pr="00BB7DE1" w:rsidRDefault="00237C22">
    <w:pPr>
      <w:pStyle w:val="Footer"/>
      <w:framePr w:wrap="around" w:vAnchor="text" w:hAnchor="margin" w:xAlign="center" w:y="1"/>
      <w:rPr>
        <w:rStyle w:val="PageNumber"/>
        <w:lang w:val="en-US"/>
      </w:rPr>
    </w:pPr>
  </w:p>
  <w:p w:rsidR="00237C22" w:rsidRDefault="00237C22" w:rsidP="0023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042" w:rsidRDefault="004E0042" w:rsidP="00C765C7">
      <w:r>
        <w:separator/>
      </w:r>
    </w:p>
  </w:footnote>
  <w:footnote w:type="continuationSeparator" w:id="0">
    <w:p w:rsidR="004E0042" w:rsidRDefault="004E0042" w:rsidP="00C7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fspro_2columns"/>
      </v:shape>
    </w:pict>
  </w:numPicBullet>
  <w:numPicBullet w:numPicBulletId="1">
    <w:pict>
      <v:shape id="_x0000_i1031" type="#_x0000_t75" style="width:12pt;height:12pt" o:bullet="t">
        <v:imagedata r:id="rId2" o:title="advanced"/>
      </v:shape>
    </w:pict>
  </w:numPicBullet>
  <w:numPicBullet w:numPicBulletId="2">
    <w:pict>
      <v:shape id="_x0000_i1032" type="#_x0000_t75" style="width:12pt;height:12pt" o:bullet="t">
        <v:imagedata r:id="rId3" o:title="continue"/>
      </v:shape>
    </w:pict>
  </w:numPicBullet>
  <w:numPicBullet w:numPicBulletId="3">
    <w:pict>
      <v:shape id="_x0000_i1033"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1MDIwtDAwNbUwMDZR0lEKTi0uzszPAykwrAUAWsiAZSwAAAA="/>
    <w:docVar w:name="DocTemp1Var" w:val="Traditional"/>
    <w:docVar w:name="FontSet" w:val="imistyles.xml"/>
  </w:docVars>
  <w:rsids>
    <w:rsidRoot w:val="00FF26A6"/>
    <w:rsid w:val="00002A1E"/>
    <w:rsid w:val="00014A89"/>
    <w:rsid w:val="000252C6"/>
    <w:rsid w:val="000256FB"/>
    <w:rsid w:val="00075A91"/>
    <w:rsid w:val="00093228"/>
    <w:rsid w:val="000A1A8A"/>
    <w:rsid w:val="000A7776"/>
    <w:rsid w:val="000E1696"/>
    <w:rsid w:val="000E320F"/>
    <w:rsid w:val="00100433"/>
    <w:rsid w:val="0010215F"/>
    <w:rsid w:val="00106EEF"/>
    <w:rsid w:val="00120103"/>
    <w:rsid w:val="00123973"/>
    <w:rsid w:val="00124F00"/>
    <w:rsid w:val="001253ED"/>
    <w:rsid w:val="0014027C"/>
    <w:rsid w:val="00157EAE"/>
    <w:rsid w:val="0016389C"/>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06436"/>
    <w:rsid w:val="00311F26"/>
    <w:rsid w:val="00332B80"/>
    <w:rsid w:val="003378C8"/>
    <w:rsid w:val="00341981"/>
    <w:rsid w:val="00351355"/>
    <w:rsid w:val="00356811"/>
    <w:rsid w:val="00366D36"/>
    <w:rsid w:val="00367717"/>
    <w:rsid w:val="00386999"/>
    <w:rsid w:val="003B2927"/>
    <w:rsid w:val="003D47AF"/>
    <w:rsid w:val="003E188C"/>
    <w:rsid w:val="003E2CA2"/>
    <w:rsid w:val="003F3021"/>
    <w:rsid w:val="003F6048"/>
    <w:rsid w:val="003F672A"/>
    <w:rsid w:val="00401EAD"/>
    <w:rsid w:val="0040351B"/>
    <w:rsid w:val="0041026E"/>
    <w:rsid w:val="0041069A"/>
    <w:rsid w:val="00421403"/>
    <w:rsid w:val="00422836"/>
    <w:rsid w:val="004348B0"/>
    <w:rsid w:val="00435BA5"/>
    <w:rsid w:val="00437647"/>
    <w:rsid w:val="00450FD6"/>
    <w:rsid w:val="00455EF7"/>
    <w:rsid w:val="004562CC"/>
    <w:rsid w:val="00471ECA"/>
    <w:rsid w:val="00473DBA"/>
    <w:rsid w:val="004824AD"/>
    <w:rsid w:val="00482FA3"/>
    <w:rsid w:val="0048559D"/>
    <w:rsid w:val="00494175"/>
    <w:rsid w:val="004A0832"/>
    <w:rsid w:val="004E0042"/>
    <w:rsid w:val="004E3AF3"/>
    <w:rsid w:val="004F375E"/>
    <w:rsid w:val="00504F80"/>
    <w:rsid w:val="00506485"/>
    <w:rsid w:val="00513DA7"/>
    <w:rsid w:val="005141F9"/>
    <w:rsid w:val="00516C82"/>
    <w:rsid w:val="005238CB"/>
    <w:rsid w:val="00526F0E"/>
    <w:rsid w:val="00540889"/>
    <w:rsid w:val="0055453E"/>
    <w:rsid w:val="00594258"/>
    <w:rsid w:val="00596828"/>
    <w:rsid w:val="005A24DF"/>
    <w:rsid w:val="005A64BD"/>
    <w:rsid w:val="005C2AD9"/>
    <w:rsid w:val="005D3508"/>
    <w:rsid w:val="005E4363"/>
    <w:rsid w:val="005F4BF9"/>
    <w:rsid w:val="00600DC7"/>
    <w:rsid w:val="0060514F"/>
    <w:rsid w:val="0062068D"/>
    <w:rsid w:val="006317AA"/>
    <w:rsid w:val="006473C3"/>
    <w:rsid w:val="00656414"/>
    <w:rsid w:val="006708D7"/>
    <w:rsid w:val="00673296"/>
    <w:rsid w:val="006837E0"/>
    <w:rsid w:val="006B3594"/>
    <w:rsid w:val="006B7262"/>
    <w:rsid w:val="006C3E5F"/>
    <w:rsid w:val="006C48FF"/>
    <w:rsid w:val="006D10E5"/>
    <w:rsid w:val="006D52FE"/>
    <w:rsid w:val="006E5CBA"/>
    <w:rsid w:val="006F6D37"/>
    <w:rsid w:val="00707B66"/>
    <w:rsid w:val="00724248"/>
    <w:rsid w:val="00732186"/>
    <w:rsid w:val="007365C1"/>
    <w:rsid w:val="00737049"/>
    <w:rsid w:val="0074737D"/>
    <w:rsid w:val="00762F59"/>
    <w:rsid w:val="00794D24"/>
    <w:rsid w:val="007A0C5F"/>
    <w:rsid w:val="007D5B97"/>
    <w:rsid w:val="007E5515"/>
    <w:rsid w:val="0080590C"/>
    <w:rsid w:val="008144E7"/>
    <w:rsid w:val="00822A16"/>
    <w:rsid w:val="0082625D"/>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0E65"/>
    <w:rsid w:val="009769CD"/>
    <w:rsid w:val="009915D0"/>
    <w:rsid w:val="00997D98"/>
    <w:rsid w:val="009A0075"/>
    <w:rsid w:val="009A6290"/>
    <w:rsid w:val="009C22C8"/>
    <w:rsid w:val="009C6B2E"/>
    <w:rsid w:val="009C6E5A"/>
    <w:rsid w:val="009E5F2A"/>
    <w:rsid w:val="009E6E1A"/>
    <w:rsid w:val="00A01AF7"/>
    <w:rsid w:val="00A2703B"/>
    <w:rsid w:val="00A315CB"/>
    <w:rsid w:val="00A3579D"/>
    <w:rsid w:val="00A55356"/>
    <w:rsid w:val="00A557BB"/>
    <w:rsid w:val="00A562AA"/>
    <w:rsid w:val="00A71A60"/>
    <w:rsid w:val="00A8520D"/>
    <w:rsid w:val="00A94EA2"/>
    <w:rsid w:val="00AB58C5"/>
    <w:rsid w:val="00AC2993"/>
    <w:rsid w:val="00AC43CF"/>
    <w:rsid w:val="00AD0EDC"/>
    <w:rsid w:val="00AE64CB"/>
    <w:rsid w:val="00AF2CD6"/>
    <w:rsid w:val="00B023CC"/>
    <w:rsid w:val="00B0548B"/>
    <w:rsid w:val="00B30D2F"/>
    <w:rsid w:val="00B50AD7"/>
    <w:rsid w:val="00B64F2F"/>
    <w:rsid w:val="00B858F9"/>
    <w:rsid w:val="00B93A3C"/>
    <w:rsid w:val="00B96287"/>
    <w:rsid w:val="00B9756B"/>
    <w:rsid w:val="00BB3345"/>
    <w:rsid w:val="00BB7DE1"/>
    <w:rsid w:val="00BC4A0D"/>
    <w:rsid w:val="00BD5EB3"/>
    <w:rsid w:val="00BF7A0D"/>
    <w:rsid w:val="00BF7FE3"/>
    <w:rsid w:val="00C0404B"/>
    <w:rsid w:val="00C05FB5"/>
    <w:rsid w:val="00C24D50"/>
    <w:rsid w:val="00C273AD"/>
    <w:rsid w:val="00C72D10"/>
    <w:rsid w:val="00C765C7"/>
    <w:rsid w:val="00CB7748"/>
    <w:rsid w:val="00CD2D08"/>
    <w:rsid w:val="00CD4ECE"/>
    <w:rsid w:val="00D04389"/>
    <w:rsid w:val="00D33A6E"/>
    <w:rsid w:val="00D36508"/>
    <w:rsid w:val="00D51F24"/>
    <w:rsid w:val="00D57B91"/>
    <w:rsid w:val="00D61497"/>
    <w:rsid w:val="00D77146"/>
    <w:rsid w:val="00D823AF"/>
    <w:rsid w:val="00D87741"/>
    <w:rsid w:val="00D904EC"/>
    <w:rsid w:val="00D916D3"/>
    <w:rsid w:val="00D9207B"/>
    <w:rsid w:val="00DA11C2"/>
    <w:rsid w:val="00DB074F"/>
    <w:rsid w:val="00DB2902"/>
    <w:rsid w:val="00DB743E"/>
    <w:rsid w:val="00DC2862"/>
    <w:rsid w:val="00DD22A9"/>
    <w:rsid w:val="00DE0E35"/>
    <w:rsid w:val="00DF44AC"/>
    <w:rsid w:val="00E20D12"/>
    <w:rsid w:val="00E2529E"/>
    <w:rsid w:val="00E36906"/>
    <w:rsid w:val="00E648E9"/>
    <w:rsid w:val="00E67135"/>
    <w:rsid w:val="00E77596"/>
    <w:rsid w:val="00E964FD"/>
    <w:rsid w:val="00ED4818"/>
    <w:rsid w:val="00ED4D5E"/>
    <w:rsid w:val="00ED71C8"/>
    <w:rsid w:val="00F006B2"/>
    <w:rsid w:val="00F04DEB"/>
    <w:rsid w:val="00F43DFA"/>
    <w:rsid w:val="00F847F6"/>
    <w:rsid w:val="00F87670"/>
    <w:rsid w:val="00F87F72"/>
    <w:rsid w:val="00F90609"/>
    <w:rsid w:val="00F93A11"/>
    <w:rsid w:val="00FA7A0F"/>
    <w:rsid w:val="00FB6AD1"/>
    <w:rsid w:val="00FF0A93"/>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03BE4-605B-4E76-A5A9-02342BAE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qFormat/>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9">
      <w:bodyDiv w:val="1"/>
      <w:marLeft w:val="0"/>
      <w:marRight w:val="0"/>
      <w:marTop w:val="0"/>
      <w:marBottom w:val="0"/>
      <w:divBdr>
        <w:top w:val="none" w:sz="0" w:space="0" w:color="auto"/>
        <w:left w:val="none" w:sz="0" w:space="0" w:color="auto"/>
        <w:bottom w:val="none" w:sz="0" w:space="0" w:color="auto"/>
        <w:right w:val="none" w:sz="0" w:space="0" w:color="auto"/>
      </w:divBdr>
    </w:div>
    <w:div w:id="1598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E48CB5B765743BA7A98E3D3FC7AD9" ma:contentTypeVersion="0" ma:contentTypeDescription="Create a new document." ma:contentTypeScope="" ma:versionID="12dac2f692321332116df27b05dd9c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2.xml><?xml version="1.0" encoding="utf-8"?>
<ds:datastoreItem xmlns:ds="http://schemas.openxmlformats.org/officeDocument/2006/customXml" ds:itemID="{D0BB3262-7E72-4827-AF20-6F4868708A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5C8F6-39DD-428C-BF62-64E1083D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F55FE2-175B-4D19-B4BB-51FFB039E2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Transmittal Sheet</Template>
  <TotalTime>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capktibb</dc:creator>
  <cp:lastModifiedBy>Dixson, Chiquita, VBAVACO</cp:lastModifiedBy>
  <cp:revision>2</cp:revision>
  <dcterms:created xsi:type="dcterms:W3CDTF">2019-10-03T13:14:00Z</dcterms:created>
  <dcterms:modified xsi:type="dcterms:W3CDTF">2019-10-03T13:14:00Z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0x0101005BFE48CB5B765743BA7A98E3D3FC7AD9</vt:lpwstr>
  </property>
</Properties>
</file>