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0493" w14:textId="77777777"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190CD4">
        <w:rPr>
          <w:rFonts w:ascii="Times New Roman" w:hAnsi="Times New Roman"/>
          <w:sz w:val="20"/>
        </w:rPr>
        <w:t>Affairs</w:t>
      </w:r>
      <w:r w:rsidR="00190CD4">
        <w:rPr>
          <w:rFonts w:ascii="Times New Roman" w:hAnsi="Times New Roman"/>
          <w:sz w:val="20"/>
        </w:rPr>
        <w:tab/>
        <w:t>M29-1, Part 1, Chapter 7</w:t>
      </w:r>
    </w:p>
    <w:p w14:paraId="15054330" w14:textId="1C02B2D9"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8F1EED">
        <w:rPr>
          <w:b/>
          <w:bCs/>
          <w:sz w:val="20"/>
        </w:rPr>
        <w:t xml:space="preserve">                            April 9, 2019</w:t>
      </w:r>
      <w:r>
        <w:rPr>
          <w:b/>
          <w:bCs/>
          <w:sz w:val="20"/>
        </w:rPr>
        <w:tab/>
      </w:r>
    </w:p>
    <w:p w14:paraId="05EF3C5E" w14:textId="77777777" w:rsidR="00504F80" w:rsidRDefault="00504F80" w:rsidP="00504F80">
      <w:pPr>
        <w:rPr>
          <w:b/>
          <w:bCs/>
          <w:sz w:val="20"/>
        </w:rPr>
      </w:pPr>
      <w:r>
        <w:rPr>
          <w:b/>
          <w:bCs/>
          <w:sz w:val="20"/>
        </w:rPr>
        <w:t>Washington, DC  20420</w:t>
      </w:r>
    </w:p>
    <w:p w14:paraId="45EB90E7" w14:textId="77777777" w:rsidR="00504F80" w:rsidRDefault="00504F80" w:rsidP="00504F80">
      <w:pPr>
        <w:rPr>
          <w:b/>
          <w:bCs/>
          <w:sz w:val="20"/>
        </w:rPr>
      </w:pPr>
    </w:p>
    <w:p w14:paraId="7922D4F1" w14:textId="77777777" w:rsidR="00504F80" w:rsidRDefault="00AE64CB" w:rsidP="00504F80">
      <w:pPr>
        <w:pStyle w:val="Heading4"/>
      </w:pPr>
      <w:r>
        <w:t>Key Changes</w:t>
      </w:r>
    </w:p>
    <w:p w14:paraId="4850186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49BF15B7" w14:textId="77777777" w:rsidTr="00C24D50">
        <w:tc>
          <w:tcPr>
            <w:tcW w:w="1728" w:type="dxa"/>
          </w:tcPr>
          <w:p w14:paraId="43C46B1A" w14:textId="77777777" w:rsidR="00504F80" w:rsidRDefault="00504F80" w:rsidP="00237C22">
            <w:pPr>
              <w:pStyle w:val="Heading5"/>
            </w:pPr>
            <w:r>
              <w:t>Changes Included in This Revision</w:t>
            </w:r>
          </w:p>
        </w:tc>
        <w:tc>
          <w:tcPr>
            <w:tcW w:w="7740" w:type="dxa"/>
          </w:tcPr>
          <w:p w14:paraId="614D95D1" w14:textId="57410EC2" w:rsidR="00504F80" w:rsidRDefault="00504F80" w:rsidP="00237C22">
            <w:pPr>
              <w:pStyle w:val="BlockText"/>
            </w:pPr>
            <w:r>
              <w:t>The table below describes the changes included in this revision of Veter</w:t>
            </w:r>
            <w:r w:rsidR="00311F26">
              <w:t>ans Benefits Insurance Manual M29-</w:t>
            </w:r>
            <w:r w:rsidR="00190CD4">
              <w:t>1, Part 1, Chapter 7, Renewal of Term Insurance</w:t>
            </w:r>
            <w:r w:rsidR="00BF27B4">
              <w:t>.</w:t>
            </w:r>
          </w:p>
          <w:p w14:paraId="787956CD" w14:textId="77777777" w:rsidR="00504F80" w:rsidRPr="00450FD6" w:rsidRDefault="00504F80" w:rsidP="00237C22">
            <w:pPr>
              <w:pStyle w:val="BulletText1"/>
              <w:numPr>
                <w:ilvl w:val="0"/>
                <w:numId w:val="0"/>
              </w:numPr>
            </w:pPr>
          </w:p>
          <w:p w14:paraId="6203FB8B" w14:textId="77777777" w:rsidR="00504F80" w:rsidRDefault="00504F80" w:rsidP="00237C22">
            <w:pPr>
              <w:pStyle w:val="BulletText1"/>
              <w:numPr>
                <w:ilvl w:val="0"/>
                <w:numId w:val="0"/>
              </w:numPr>
            </w:pPr>
            <w:r>
              <w:rPr>
                <w:b/>
                <w:i/>
              </w:rPr>
              <w:t>Notes</w:t>
            </w:r>
            <w:r>
              <w:t xml:space="preserve">:  </w:t>
            </w:r>
          </w:p>
          <w:p w14:paraId="4DD5F41D" w14:textId="77777777" w:rsidR="0027298D" w:rsidRDefault="00311F26" w:rsidP="00311F26">
            <w:pPr>
              <w:pStyle w:val="BulletText1"/>
            </w:pPr>
            <w:r>
              <w:rPr>
                <w:b/>
              </w:rPr>
              <w:t>M29-1</w:t>
            </w:r>
            <w:r w:rsidR="00190CD4">
              <w:rPr>
                <w:b/>
              </w:rPr>
              <w:t>, Part 1, Chapter 7</w:t>
            </w:r>
            <w:r w:rsidR="007B3B93">
              <w:rPr>
                <w:b/>
              </w:rPr>
              <w:t xml:space="preserve"> </w:t>
            </w:r>
            <w:r w:rsidR="00DD22A9" w:rsidRPr="00DD22A9">
              <w:t xml:space="preserve">has been rewritten in its entirety </w:t>
            </w:r>
            <w:proofErr w:type="gramStart"/>
            <w:r w:rsidR="00DD22A9" w:rsidRPr="00DD22A9">
              <w:t>for the purpose of</w:t>
            </w:r>
            <w:proofErr w:type="gramEnd"/>
            <w:r w:rsidR="00DD22A9" w:rsidRPr="00DD22A9">
              <w:t xml:space="preserve"> improving clarity and readability</w:t>
            </w:r>
            <w:r w:rsidR="00DD22A9">
              <w:t xml:space="preserve">.  </w:t>
            </w:r>
            <w:r w:rsidR="00DD22A9" w:rsidRPr="00DD22A9">
              <w:t>Any substantive changes are itemized in the table below.</w:t>
            </w:r>
          </w:p>
          <w:p w14:paraId="2402D69A" w14:textId="77777777" w:rsidR="00504F80" w:rsidRDefault="00504F80" w:rsidP="00C24D50">
            <w:pPr>
              <w:pStyle w:val="BulletText1"/>
            </w:pPr>
            <w:r>
              <w:t xml:space="preserve">Minor editorial changes have also been made to </w:t>
            </w:r>
          </w:p>
          <w:p w14:paraId="1BEF9229" w14:textId="77777777" w:rsidR="00DD22A9" w:rsidRDefault="00DD22A9" w:rsidP="00237C22">
            <w:pPr>
              <w:pStyle w:val="BulletText2"/>
              <w:tabs>
                <w:tab w:val="num" w:pos="547"/>
              </w:tabs>
            </w:pPr>
            <w:r>
              <w:t>improve clarity and readability</w:t>
            </w:r>
          </w:p>
          <w:p w14:paraId="50C6FBEC" w14:textId="77777777" w:rsidR="00B858F9" w:rsidRDefault="00B858F9" w:rsidP="00B858F9">
            <w:pPr>
              <w:pStyle w:val="BulletText2"/>
              <w:tabs>
                <w:tab w:val="num" w:pos="547"/>
              </w:tabs>
            </w:pPr>
            <w:r>
              <w:t>add references</w:t>
            </w:r>
          </w:p>
          <w:p w14:paraId="7CBB5C14" w14:textId="77777777" w:rsidR="00504F80" w:rsidRDefault="00504F80" w:rsidP="00237C22">
            <w:pPr>
              <w:pStyle w:val="BulletText2"/>
              <w:tabs>
                <w:tab w:val="num" w:pos="547"/>
              </w:tabs>
            </w:pPr>
            <w:r>
              <w:t>update incorrect or obsolete references</w:t>
            </w:r>
          </w:p>
          <w:p w14:paraId="3AC8792E" w14:textId="77777777" w:rsidR="00504F80" w:rsidRDefault="00504F80" w:rsidP="00237C22">
            <w:pPr>
              <w:pStyle w:val="BulletText2"/>
              <w:tabs>
                <w:tab w:val="num" w:pos="547"/>
              </w:tabs>
            </w:pPr>
            <w:r>
              <w:t>update obsolete terminology, where appropriate</w:t>
            </w:r>
          </w:p>
          <w:p w14:paraId="37DDB4C0" w14:textId="2094BD80" w:rsidR="00311F26" w:rsidRDefault="009E5F2A" w:rsidP="00311F26">
            <w:pPr>
              <w:pStyle w:val="BulletText2"/>
              <w:tabs>
                <w:tab w:val="num" w:pos="547"/>
              </w:tabs>
            </w:pPr>
            <w:r w:rsidRPr="009E5F2A">
              <w:t xml:space="preserve">reorganize/relocate content within </w:t>
            </w:r>
            <w:r w:rsidR="008F1EED">
              <w:rPr>
                <w:b/>
              </w:rPr>
              <w:t>M29-1,</w:t>
            </w:r>
            <w:r w:rsidR="007B3B93">
              <w:rPr>
                <w:b/>
              </w:rPr>
              <w:t xml:space="preserve"> Part 1, Chapter 7 </w:t>
            </w:r>
            <w:r w:rsidRPr="009E5F2A">
              <w:t>so that it flows more logically</w:t>
            </w:r>
          </w:p>
          <w:p w14:paraId="4F6BF7D3"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7C0F3DD4" w14:textId="77777777"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14:paraId="6FC3E899" w14:textId="77777777" w:rsidR="00504F80" w:rsidRPr="00EA3A57" w:rsidRDefault="00504F80" w:rsidP="00120103">
            <w:pPr>
              <w:pStyle w:val="BulletText2"/>
            </w:pPr>
            <w:r>
              <w:t>bring the document into conformance with M2</w:t>
            </w:r>
            <w:r w:rsidR="00311F26">
              <w:t>9</w:t>
            </w:r>
            <w:r>
              <w:t>-1 standards.</w:t>
            </w:r>
          </w:p>
        </w:tc>
      </w:tr>
    </w:tbl>
    <w:p w14:paraId="42B0E91E"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14:paraId="28175512"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17EC035C" w14:textId="77777777" w:rsidR="0060514F" w:rsidRPr="0029678A" w:rsidRDefault="0060514F" w:rsidP="002B755D">
            <w:pPr>
              <w:pStyle w:val="TableHeaderText"/>
              <w:rPr>
                <w:sz w:val="28"/>
                <w:szCs w:val="28"/>
              </w:rPr>
            </w:pPr>
            <w:r w:rsidRPr="0029678A">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5449A3A2" w14:textId="77777777" w:rsidR="0060514F" w:rsidRPr="0029678A" w:rsidRDefault="0060514F" w:rsidP="002B755D">
            <w:pPr>
              <w:pStyle w:val="TableHeaderText"/>
              <w:rPr>
                <w:sz w:val="28"/>
                <w:szCs w:val="28"/>
              </w:rPr>
            </w:pPr>
            <w:r w:rsidRPr="0029678A">
              <w:rPr>
                <w:sz w:val="28"/>
                <w:szCs w:val="28"/>
              </w:rPr>
              <w:t>Citation</w:t>
            </w:r>
          </w:p>
        </w:tc>
      </w:tr>
      <w:tr w:rsidR="0060514F" w14:paraId="7A9842F5"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22275780" w14:textId="13F69D57" w:rsidR="0060514F" w:rsidRPr="0029678A" w:rsidRDefault="007B3B93" w:rsidP="00B34A4A">
            <w:pPr>
              <w:pStyle w:val="TableHeaderText"/>
              <w:jc w:val="left"/>
              <w:rPr>
                <w:b w:val="0"/>
              </w:rPr>
            </w:pPr>
            <w:r w:rsidRPr="0029678A">
              <w:rPr>
                <w:b w:val="0"/>
              </w:rPr>
              <w:t xml:space="preserve">Removes USGLI </w:t>
            </w:r>
            <w:r w:rsidR="00B34A4A" w:rsidRPr="0029678A">
              <w:rPr>
                <w:b w:val="0"/>
              </w:rPr>
              <w:t xml:space="preserve">Subchapter 7.01 as </w:t>
            </w:r>
            <w:r w:rsidR="00E83F1B">
              <w:rPr>
                <w:b w:val="0"/>
              </w:rPr>
              <w:t>the program is closing</w:t>
            </w:r>
            <w:r w:rsidR="00B471BA" w:rsidRPr="0029678A">
              <w:rPr>
                <w:b w:val="0"/>
              </w:rPr>
              <w:t xml:space="preserve"> </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5A5499AC" w14:textId="77777777" w:rsidR="0060514F" w:rsidRPr="0029678A" w:rsidRDefault="00B62176" w:rsidP="00673296">
            <w:pPr>
              <w:pStyle w:val="TableHeaderText"/>
              <w:jc w:val="left"/>
              <w:rPr>
                <w:b w:val="0"/>
              </w:rPr>
            </w:pPr>
            <w:r w:rsidRPr="0029678A">
              <w:rPr>
                <w:b w:val="0"/>
              </w:rPr>
              <w:t>Subchapter 7.01</w:t>
            </w:r>
          </w:p>
        </w:tc>
      </w:tr>
      <w:tr w:rsidR="00B34A4A" w14:paraId="54792320" w14:textId="77777777" w:rsidTr="002220F1">
        <w:trPr>
          <w:trHeight w:val="180"/>
        </w:trPr>
        <w:tc>
          <w:tcPr>
            <w:tcW w:w="3942" w:type="pct"/>
            <w:shd w:val="clear" w:color="auto" w:fill="auto"/>
          </w:tcPr>
          <w:p w14:paraId="3E4DAB4A" w14:textId="77777777" w:rsidR="00B34A4A" w:rsidRPr="0029678A" w:rsidRDefault="00B34A4A" w:rsidP="00142330">
            <w:r w:rsidRPr="0029678A">
              <w:t>Moves current NSLI Subchapter reference from 7.02 to 7.01</w:t>
            </w:r>
          </w:p>
        </w:tc>
        <w:tc>
          <w:tcPr>
            <w:tcW w:w="1058" w:type="pct"/>
            <w:shd w:val="clear" w:color="auto" w:fill="auto"/>
          </w:tcPr>
          <w:p w14:paraId="44B0FA24" w14:textId="77777777" w:rsidR="00B34A4A" w:rsidRPr="0029678A" w:rsidRDefault="00B34A4A" w:rsidP="00142330">
            <w:r w:rsidRPr="0029678A">
              <w:t>Subchapter 7.01/7.02</w:t>
            </w:r>
          </w:p>
        </w:tc>
      </w:tr>
      <w:tr w:rsidR="00B34A4A" w14:paraId="28E34977" w14:textId="77777777" w:rsidTr="002220F1">
        <w:trPr>
          <w:trHeight w:val="180"/>
        </w:trPr>
        <w:tc>
          <w:tcPr>
            <w:tcW w:w="3942" w:type="pct"/>
            <w:shd w:val="clear" w:color="auto" w:fill="auto"/>
          </w:tcPr>
          <w:p w14:paraId="4645599E" w14:textId="61AF495D" w:rsidR="00B34A4A" w:rsidRPr="0029678A" w:rsidRDefault="00B34A4A" w:rsidP="00673296">
            <w:pPr>
              <w:pStyle w:val="TableHeaderText"/>
              <w:jc w:val="left"/>
              <w:rPr>
                <w:b w:val="0"/>
              </w:rPr>
            </w:pPr>
            <w:r w:rsidRPr="0029678A">
              <w:rPr>
                <w:b w:val="0"/>
              </w:rPr>
              <w:t>Clarif</w:t>
            </w:r>
            <w:r w:rsidR="00F57905">
              <w:rPr>
                <w:b w:val="0"/>
              </w:rPr>
              <w:t>ies that premium rates on the five-</w:t>
            </w:r>
            <w:r w:rsidRPr="0029678A">
              <w:rPr>
                <w:b w:val="0"/>
              </w:rPr>
              <w:t xml:space="preserve">year level premium term (LPT) policies will not exceed renewal rates at age 70 term premium policies </w:t>
            </w:r>
          </w:p>
        </w:tc>
        <w:tc>
          <w:tcPr>
            <w:tcW w:w="1058" w:type="pct"/>
            <w:shd w:val="clear" w:color="auto" w:fill="auto"/>
          </w:tcPr>
          <w:p w14:paraId="6D8BD7D0" w14:textId="77777777" w:rsidR="00B34A4A" w:rsidRPr="0029678A" w:rsidRDefault="00B34A4A" w:rsidP="00673296">
            <w:pPr>
              <w:pStyle w:val="TableHeaderText"/>
              <w:jc w:val="left"/>
              <w:rPr>
                <w:b w:val="0"/>
              </w:rPr>
            </w:pPr>
            <w:r w:rsidRPr="0029678A">
              <w:rPr>
                <w:b w:val="0"/>
              </w:rPr>
              <w:t>Subchapter 7.01</w:t>
            </w:r>
          </w:p>
        </w:tc>
      </w:tr>
      <w:tr w:rsidR="00B34A4A" w14:paraId="1A746E9F" w14:textId="77777777" w:rsidTr="002220F1">
        <w:trPr>
          <w:trHeight w:val="180"/>
        </w:trPr>
        <w:tc>
          <w:tcPr>
            <w:tcW w:w="3942" w:type="pct"/>
            <w:shd w:val="clear" w:color="auto" w:fill="auto"/>
          </w:tcPr>
          <w:p w14:paraId="32861A4C" w14:textId="01FA1B0A" w:rsidR="00B34A4A" w:rsidRPr="0029678A" w:rsidRDefault="00F57905" w:rsidP="00B471BA">
            <w:pPr>
              <w:pStyle w:val="TableText"/>
            </w:pPr>
            <w:r>
              <w:t xml:space="preserve">Removes </w:t>
            </w:r>
            <w:r w:rsidR="00B34A4A" w:rsidRPr="0029678A">
              <w:t>references to the renewability of limited convertible term insurance (W) policies, including but not limited to the insured’s 50</w:t>
            </w:r>
            <w:r w:rsidR="00B34A4A" w:rsidRPr="0029678A">
              <w:rPr>
                <w:vertAlign w:val="superscript"/>
              </w:rPr>
              <w:t>th</w:t>
            </w:r>
            <w:r w:rsidR="00B34A4A" w:rsidRPr="0029678A">
              <w:t xml:space="preserve"> birthday as all policyholders have exceeded the age upon which such conversion/renewability could occur by law</w:t>
            </w:r>
          </w:p>
        </w:tc>
        <w:tc>
          <w:tcPr>
            <w:tcW w:w="1058" w:type="pct"/>
            <w:shd w:val="clear" w:color="auto" w:fill="auto"/>
          </w:tcPr>
          <w:p w14:paraId="5DAB94B3" w14:textId="77777777" w:rsidR="00B34A4A" w:rsidRPr="0029678A" w:rsidRDefault="00B34A4A" w:rsidP="00673296">
            <w:pPr>
              <w:pStyle w:val="TableText"/>
            </w:pPr>
            <w:r w:rsidRPr="0029678A">
              <w:t>Subchapter 7.01</w:t>
            </w:r>
          </w:p>
        </w:tc>
      </w:tr>
      <w:tr w:rsidR="00B34A4A" w14:paraId="5EA979ED" w14:textId="77777777" w:rsidTr="002220F1">
        <w:trPr>
          <w:trHeight w:val="180"/>
        </w:trPr>
        <w:tc>
          <w:tcPr>
            <w:tcW w:w="3942" w:type="pct"/>
            <w:shd w:val="clear" w:color="auto" w:fill="auto"/>
          </w:tcPr>
          <w:p w14:paraId="7FC48A32" w14:textId="77777777" w:rsidR="00B34A4A" w:rsidRPr="0029678A" w:rsidRDefault="00B34A4A" w:rsidP="00673296">
            <w:pPr>
              <w:pStyle w:val="TableText"/>
            </w:pPr>
            <w:r w:rsidRPr="0029678A">
              <w:t>Removes references to the total disability income provision (TDIP) when member is totally disabled and elects not to renew term insurance as all insureds impacted by this provision are now beyond the age limit where it would apply</w:t>
            </w:r>
          </w:p>
        </w:tc>
        <w:tc>
          <w:tcPr>
            <w:tcW w:w="1058" w:type="pct"/>
            <w:shd w:val="clear" w:color="auto" w:fill="auto"/>
          </w:tcPr>
          <w:p w14:paraId="31F6A876" w14:textId="77777777" w:rsidR="00B34A4A" w:rsidRPr="0029678A" w:rsidRDefault="00B34A4A" w:rsidP="00673296">
            <w:pPr>
              <w:pStyle w:val="TableText"/>
            </w:pPr>
            <w:r w:rsidRPr="0029678A">
              <w:t>Subchapter 7.01</w:t>
            </w:r>
          </w:p>
        </w:tc>
      </w:tr>
      <w:tr w:rsidR="00B34A4A" w14:paraId="7F1A397E" w14:textId="77777777" w:rsidTr="002220F1">
        <w:trPr>
          <w:trHeight w:val="180"/>
        </w:trPr>
        <w:tc>
          <w:tcPr>
            <w:tcW w:w="3942" w:type="pct"/>
            <w:shd w:val="clear" w:color="auto" w:fill="auto"/>
          </w:tcPr>
          <w:p w14:paraId="26B768BE" w14:textId="77777777" w:rsidR="00B34A4A" w:rsidRPr="0029678A" w:rsidRDefault="00B34A4A" w:rsidP="00673296">
            <w:pPr>
              <w:pStyle w:val="TableText"/>
            </w:pPr>
            <w:r w:rsidRPr="0029678A">
              <w:t>Adds reference to termination dividend now available to insureds whose policies lapse or are cancelled; explains that dividend may be received as a cash payment or can be used to buy paid-up insurance (PUA)</w:t>
            </w:r>
          </w:p>
        </w:tc>
        <w:tc>
          <w:tcPr>
            <w:tcW w:w="1058" w:type="pct"/>
            <w:shd w:val="clear" w:color="auto" w:fill="auto"/>
          </w:tcPr>
          <w:p w14:paraId="653A0D39" w14:textId="77777777" w:rsidR="00B34A4A" w:rsidRPr="0029678A" w:rsidRDefault="00B34A4A" w:rsidP="00673296">
            <w:pPr>
              <w:pStyle w:val="TableText"/>
            </w:pPr>
            <w:r w:rsidRPr="0029678A">
              <w:t>Subchapter 7.01</w:t>
            </w:r>
          </w:p>
        </w:tc>
      </w:tr>
      <w:tr w:rsidR="00B34A4A" w14:paraId="715CEAD6" w14:textId="77777777" w:rsidTr="002220F1">
        <w:trPr>
          <w:trHeight w:val="180"/>
        </w:trPr>
        <w:tc>
          <w:tcPr>
            <w:tcW w:w="3942" w:type="pct"/>
            <w:shd w:val="clear" w:color="auto" w:fill="auto"/>
          </w:tcPr>
          <w:p w14:paraId="2C1C854B" w14:textId="77777777" w:rsidR="00B34A4A" w:rsidRPr="0029678A" w:rsidRDefault="00B34A4A" w:rsidP="00673296">
            <w:pPr>
              <w:pStyle w:val="TableText"/>
            </w:pPr>
            <w:r w:rsidRPr="0029678A">
              <w:t>Explains that when an LPT policy on waiver is renewed at age 70, the policy is converted to either an ordinary or 20 payment life policy</w:t>
            </w:r>
          </w:p>
        </w:tc>
        <w:tc>
          <w:tcPr>
            <w:tcW w:w="1058" w:type="pct"/>
            <w:shd w:val="clear" w:color="auto" w:fill="auto"/>
          </w:tcPr>
          <w:p w14:paraId="5D326516" w14:textId="77777777" w:rsidR="00B34A4A" w:rsidRPr="0029678A" w:rsidRDefault="00B34A4A" w:rsidP="00673296">
            <w:pPr>
              <w:pStyle w:val="TableText"/>
            </w:pPr>
            <w:r w:rsidRPr="0029678A">
              <w:t xml:space="preserve">Subchapter 7.01 </w:t>
            </w:r>
          </w:p>
        </w:tc>
      </w:tr>
    </w:tbl>
    <w:p w14:paraId="14A9F886" w14:textId="77777777"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14:paraId="1CB66F02" w14:textId="77777777" w:rsidTr="008F1EED">
        <w:trPr>
          <w:trHeight w:val="330"/>
        </w:trPr>
        <w:tc>
          <w:tcPr>
            <w:tcW w:w="7380" w:type="dxa"/>
          </w:tcPr>
          <w:p w14:paraId="57AFEBFE" w14:textId="77777777" w:rsidR="0060514F" w:rsidRPr="004221F2" w:rsidRDefault="0060514F" w:rsidP="002B755D">
            <w:pPr>
              <w:jc w:val="center"/>
              <w:rPr>
                <w:b/>
                <w:sz w:val="28"/>
                <w:szCs w:val="28"/>
              </w:rPr>
            </w:pPr>
            <w:r>
              <w:rPr>
                <w:b/>
                <w:sz w:val="28"/>
                <w:szCs w:val="28"/>
              </w:rPr>
              <w:t>Reason(s) for Change</w:t>
            </w:r>
          </w:p>
        </w:tc>
        <w:tc>
          <w:tcPr>
            <w:tcW w:w="1980" w:type="dxa"/>
          </w:tcPr>
          <w:p w14:paraId="12FD5BC6" w14:textId="77777777" w:rsidR="0060514F" w:rsidRPr="004221F2" w:rsidRDefault="0060514F" w:rsidP="002B755D">
            <w:pPr>
              <w:jc w:val="center"/>
              <w:rPr>
                <w:b/>
                <w:sz w:val="28"/>
                <w:szCs w:val="28"/>
              </w:rPr>
            </w:pPr>
            <w:r w:rsidRPr="004221F2">
              <w:rPr>
                <w:b/>
                <w:sz w:val="28"/>
                <w:szCs w:val="28"/>
              </w:rPr>
              <w:t>Citation</w:t>
            </w:r>
          </w:p>
        </w:tc>
      </w:tr>
      <w:tr w:rsidR="0060514F" w:rsidRPr="004221F2" w14:paraId="66192540" w14:textId="77777777" w:rsidTr="008F1EED">
        <w:trPr>
          <w:trHeight w:val="187"/>
        </w:trPr>
        <w:tc>
          <w:tcPr>
            <w:tcW w:w="7380" w:type="dxa"/>
          </w:tcPr>
          <w:p w14:paraId="1DCD5C6C" w14:textId="77777777" w:rsidR="0060514F" w:rsidRPr="0060514F" w:rsidRDefault="00E86220" w:rsidP="00673296">
            <w:r>
              <w:t xml:space="preserve">Note </w:t>
            </w:r>
            <w:r w:rsidR="0097183D">
              <w:t>explains how VA handles a request from an insured to retain his term insurance rather than convert to a permanent plan of insurance</w:t>
            </w:r>
          </w:p>
        </w:tc>
        <w:tc>
          <w:tcPr>
            <w:tcW w:w="1980" w:type="dxa"/>
          </w:tcPr>
          <w:p w14:paraId="6A5F53A7" w14:textId="77777777" w:rsidR="0060514F" w:rsidRPr="0060514F" w:rsidRDefault="0097183D" w:rsidP="00673296">
            <w:r>
              <w:t>Subchapter 7.01</w:t>
            </w:r>
          </w:p>
        </w:tc>
      </w:tr>
    </w:tbl>
    <w:p w14:paraId="7ADFC247"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2FDE642" w14:textId="77777777" w:rsidTr="00237C22">
        <w:tc>
          <w:tcPr>
            <w:tcW w:w="1728" w:type="dxa"/>
          </w:tcPr>
          <w:p w14:paraId="752D10BB" w14:textId="77777777" w:rsidR="00504F80" w:rsidRPr="00B4163A" w:rsidRDefault="00504F80" w:rsidP="00237C22">
            <w:pPr>
              <w:pStyle w:val="Heading5"/>
              <w:rPr>
                <w:sz w:val="24"/>
              </w:rPr>
            </w:pPr>
            <w:r w:rsidRPr="00B4163A">
              <w:rPr>
                <w:sz w:val="24"/>
              </w:rPr>
              <w:t>Rescissions</w:t>
            </w:r>
          </w:p>
        </w:tc>
        <w:tc>
          <w:tcPr>
            <w:tcW w:w="7740" w:type="dxa"/>
          </w:tcPr>
          <w:p w14:paraId="5CE7C859" w14:textId="77777777" w:rsidR="00504F80" w:rsidRPr="00B4163A" w:rsidRDefault="00504F80" w:rsidP="00237C22">
            <w:pPr>
              <w:pStyle w:val="BlockText"/>
            </w:pPr>
            <w:r w:rsidRPr="00B4163A">
              <w:t>None</w:t>
            </w:r>
          </w:p>
        </w:tc>
      </w:tr>
    </w:tbl>
    <w:p w14:paraId="2177495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0D29A7FF" w14:textId="77777777" w:rsidTr="00237C22">
        <w:tc>
          <w:tcPr>
            <w:tcW w:w="1728" w:type="dxa"/>
          </w:tcPr>
          <w:p w14:paraId="784586DD" w14:textId="77777777" w:rsidR="00504F80" w:rsidRPr="00B4163A" w:rsidRDefault="00504F80" w:rsidP="00237C22">
            <w:pPr>
              <w:pStyle w:val="Heading5"/>
              <w:rPr>
                <w:sz w:val="24"/>
              </w:rPr>
            </w:pPr>
            <w:r w:rsidRPr="00B4163A">
              <w:rPr>
                <w:sz w:val="24"/>
              </w:rPr>
              <w:t>Authority</w:t>
            </w:r>
          </w:p>
        </w:tc>
        <w:tc>
          <w:tcPr>
            <w:tcW w:w="7740" w:type="dxa"/>
          </w:tcPr>
          <w:p w14:paraId="1E53BA95" w14:textId="77777777" w:rsidR="00504F80" w:rsidRPr="00B4163A" w:rsidRDefault="00504F80" w:rsidP="00237C22">
            <w:pPr>
              <w:pStyle w:val="BlockText"/>
            </w:pPr>
            <w:r w:rsidRPr="00B4163A">
              <w:t>By Direction of the Under Secretary for Benefits</w:t>
            </w:r>
          </w:p>
        </w:tc>
      </w:tr>
    </w:tbl>
    <w:p w14:paraId="121E88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F48B740" w14:textId="77777777" w:rsidTr="00237C22">
        <w:tc>
          <w:tcPr>
            <w:tcW w:w="1728" w:type="dxa"/>
          </w:tcPr>
          <w:p w14:paraId="385A0195" w14:textId="77777777" w:rsidR="00504F80" w:rsidRPr="00B4163A" w:rsidRDefault="00504F80" w:rsidP="00237C22">
            <w:pPr>
              <w:pStyle w:val="Heading5"/>
              <w:rPr>
                <w:sz w:val="24"/>
              </w:rPr>
            </w:pPr>
            <w:r w:rsidRPr="00B4163A">
              <w:rPr>
                <w:sz w:val="24"/>
              </w:rPr>
              <w:t>Signature</w:t>
            </w:r>
          </w:p>
        </w:tc>
        <w:tc>
          <w:tcPr>
            <w:tcW w:w="7740" w:type="dxa"/>
          </w:tcPr>
          <w:p w14:paraId="6FFB7A8E" w14:textId="77777777" w:rsidR="00504F80" w:rsidRPr="00B4163A" w:rsidRDefault="00504F80" w:rsidP="00237C22">
            <w:pPr>
              <w:pStyle w:val="BlockText"/>
            </w:pPr>
          </w:p>
          <w:p w14:paraId="1D999A17" w14:textId="77777777" w:rsidR="00504F80" w:rsidRPr="00B4163A" w:rsidRDefault="00504F80" w:rsidP="00237C22">
            <w:pPr>
              <w:pStyle w:val="MemoLine"/>
              <w:ind w:left="-18" w:right="612"/>
            </w:pPr>
          </w:p>
          <w:p w14:paraId="28B92B9D" w14:textId="77777777" w:rsidR="005C2AD9" w:rsidRDefault="00311F26" w:rsidP="005C2AD9">
            <w:r>
              <w:t>Vincent E. Markey</w:t>
            </w:r>
            <w:r w:rsidR="00BC4A0D">
              <w:t>, Director</w:t>
            </w:r>
          </w:p>
          <w:p w14:paraId="62CAF5E8" w14:textId="77777777" w:rsidR="00504F80" w:rsidRPr="00B4163A" w:rsidRDefault="00311F26" w:rsidP="00BC4A0D">
            <w:pPr>
              <w:pStyle w:val="BlockText"/>
            </w:pPr>
            <w:r>
              <w:t>Insurance</w:t>
            </w:r>
            <w:r w:rsidR="00504F80" w:rsidRPr="00B4163A">
              <w:t xml:space="preserve"> Service</w:t>
            </w:r>
          </w:p>
        </w:tc>
      </w:tr>
    </w:tbl>
    <w:p w14:paraId="43AAD04A"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145294D3" w14:textId="77777777" w:rsidTr="00237C22">
        <w:tc>
          <w:tcPr>
            <w:tcW w:w="1728" w:type="dxa"/>
          </w:tcPr>
          <w:p w14:paraId="0B059003" w14:textId="77777777" w:rsidR="00504F80" w:rsidRPr="00B4163A" w:rsidRDefault="00504F80" w:rsidP="00237C22">
            <w:pPr>
              <w:pStyle w:val="Heading5"/>
              <w:rPr>
                <w:sz w:val="24"/>
              </w:rPr>
            </w:pPr>
            <w:r w:rsidRPr="00B4163A">
              <w:rPr>
                <w:sz w:val="24"/>
              </w:rPr>
              <w:t>Distribution</w:t>
            </w:r>
          </w:p>
        </w:tc>
        <w:tc>
          <w:tcPr>
            <w:tcW w:w="7740" w:type="dxa"/>
          </w:tcPr>
          <w:p w14:paraId="6F72707E" w14:textId="77777777" w:rsidR="00504F80" w:rsidRDefault="00504F80" w:rsidP="00237C22">
            <w:pPr>
              <w:pStyle w:val="BlockText"/>
              <w:jc w:val="center"/>
            </w:pPr>
            <w:r w:rsidRPr="00B4163A">
              <w:t>LOCAL REPRODUCTION AUTHORIZED</w:t>
            </w:r>
          </w:p>
        </w:tc>
      </w:tr>
    </w:tbl>
    <w:p w14:paraId="3F2430A7"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A6B53E0"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7B15" w14:textId="77777777" w:rsidR="00A01AF7" w:rsidRDefault="00A01AF7" w:rsidP="00C765C7">
      <w:r>
        <w:separator/>
      </w:r>
    </w:p>
  </w:endnote>
  <w:endnote w:type="continuationSeparator" w:id="0">
    <w:p w14:paraId="7F495B81" w14:textId="77777777"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2C3C"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7BE49" w14:textId="77777777"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2C04" w14:textId="77777777" w:rsidR="00237C22" w:rsidRPr="00BB7DE1" w:rsidRDefault="00237C22">
    <w:pPr>
      <w:pStyle w:val="Footer"/>
      <w:framePr w:wrap="around" w:vAnchor="text" w:hAnchor="margin" w:xAlign="center" w:y="1"/>
      <w:rPr>
        <w:rStyle w:val="PageNumber"/>
        <w:lang w:val="en-US"/>
      </w:rPr>
    </w:pPr>
  </w:p>
  <w:p w14:paraId="229F6BFF" w14:textId="77777777"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326F" w14:textId="77777777" w:rsidR="00A01AF7" w:rsidRDefault="00A01AF7" w:rsidP="00C765C7">
      <w:r>
        <w:separator/>
      </w:r>
    </w:p>
  </w:footnote>
  <w:footnote w:type="continuationSeparator" w:id="0">
    <w:p w14:paraId="4FE74BE4" w14:textId="77777777"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1696"/>
    <w:rsid w:val="000E320F"/>
    <w:rsid w:val="00100433"/>
    <w:rsid w:val="0010215F"/>
    <w:rsid w:val="00106EEF"/>
    <w:rsid w:val="00120103"/>
    <w:rsid w:val="00123973"/>
    <w:rsid w:val="001253ED"/>
    <w:rsid w:val="00186D46"/>
    <w:rsid w:val="00190CD4"/>
    <w:rsid w:val="001A7AF9"/>
    <w:rsid w:val="001B3F58"/>
    <w:rsid w:val="001C3AE3"/>
    <w:rsid w:val="001C3EB5"/>
    <w:rsid w:val="002041BE"/>
    <w:rsid w:val="00205C50"/>
    <w:rsid w:val="00212E79"/>
    <w:rsid w:val="002220F1"/>
    <w:rsid w:val="00237C22"/>
    <w:rsid w:val="00240624"/>
    <w:rsid w:val="00264204"/>
    <w:rsid w:val="00271962"/>
    <w:rsid w:val="0027298D"/>
    <w:rsid w:val="0029678A"/>
    <w:rsid w:val="0029782B"/>
    <w:rsid w:val="002A1D3E"/>
    <w:rsid w:val="002B7A7E"/>
    <w:rsid w:val="002F5B21"/>
    <w:rsid w:val="002F7397"/>
    <w:rsid w:val="00311F26"/>
    <w:rsid w:val="00332B80"/>
    <w:rsid w:val="00341981"/>
    <w:rsid w:val="00363026"/>
    <w:rsid w:val="003669F7"/>
    <w:rsid w:val="00366D36"/>
    <w:rsid w:val="00386999"/>
    <w:rsid w:val="003B2927"/>
    <w:rsid w:val="003D47AF"/>
    <w:rsid w:val="003E2CA2"/>
    <w:rsid w:val="003F3021"/>
    <w:rsid w:val="003F6048"/>
    <w:rsid w:val="003F672A"/>
    <w:rsid w:val="00401EAD"/>
    <w:rsid w:val="0040351B"/>
    <w:rsid w:val="004040D6"/>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2F3D"/>
    <w:rsid w:val="0055453E"/>
    <w:rsid w:val="00594258"/>
    <w:rsid w:val="005A24DF"/>
    <w:rsid w:val="005C2AD9"/>
    <w:rsid w:val="005D3508"/>
    <w:rsid w:val="005D4DC9"/>
    <w:rsid w:val="005E4363"/>
    <w:rsid w:val="00600DC7"/>
    <w:rsid w:val="0060514F"/>
    <w:rsid w:val="006124BD"/>
    <w:rsid w:val="0062068D"/>
    <w:rsid w:val="006317AA"/>
    <w:rsid w:val="006473C3"/>
    <w:rsid w:val="006708D7"/>
    <w:rsid w:val="00673296"/>
    <w:rsid w:val="006837E0"/>
    <w:rsid w:val="006B7262"/>
    <w:rsid w:val="006C3E5F"/>
    <w:rsid w:val="006C48FF"/>
    <w:rsid w:val="006D10E5"/>
    <w:rsid w:val="006D52FE"/>
    <w:rsid w:val="006E5CBA"/>
    <w:rsid w:val="006F6D37"/>
    <w:rsid w:val="00724248"/>
    <w:rsid w:val="00732186"/>
    <w:rsid w:val="00737049"/>
    <w:rsid w:val="00794D24"/>
    <w:rsid w:val="007A0C5F"/>
    <w:rsid w:val="007B3B93"/>
    <w:rsid w:val="007D5B97"/>
    <w:rsid w:val="007E5515"/>
    <w:rsid w:val="0080590C"/>
    <w:rsid w:val="008144E7"/>
    <w:rsid w:val="00822A16"/>
    <w:rsid w:val="0086475B"/>
    <w:rsid w:val="00875AFA"/>
    <w:rsid w:val="0088609E"/>
    <w:rsid w:val="008B2B56"/>
    <w:rsid w:val="008B4CB5"/>
    <w:rsid w:val="008C723F"/>
    <w:rsid w:val="008D12C3"/>
    <w:rsid w:val="008D458B"/>
    <w:rsid w:val="008E22CF"/>
    <w:rsid w:val="008E5824"/>
    <w:rsid w:val="008E589A"/>
    <w:rsid w:val="008F14EA"/>
    <w:rsid w:val="008F1D5B"/>
    <w:rsid w:val="008F1EED"/>
    <w:rsid w:val="00916AE6"/>
    <w:rsid w:val="00933BDB"/>
    <w:rsid w:val="00945950"/>
    <w:rsid w:val="0097183D"/>
    <w:rsid w:val="009769CD"/>
    <w:rsid w:val="009915D0"/>
    <w:rsid w:val="00997D98"/>
    <w:rsid w:val="009C22C8"/>
    <w:rsid w:val="009C6B2E"/>
    <w:rsid w:val="009E5F2A"/>
    <w:rsid w:val="009E6E1A"/>
    <w:rsid w:val="00A01AF7"/>
    <w:rsid w:val="00A2703B"/>
    <w:rsid w:val="00A27AA5"/>
    <w:rsid w:val="00A315CB"/>
    <w:rsid w:val="00A3579D"/>
    <w:rsid w:val="00A55356"/>
    <w:rsid w:val="00A557BB"/>
    <w:rsid w:val="00A8520D"/>
    <w:rsid w:val="00AC2993"/>
    <w:rsid w:val="00AC43CF"/>
    <w:rsid w:val="00AD0EDC"/>
    <w:rsid w:val="00AD22DC"/>
    <w:rsid w:val="00AE64CB"/>
    <w:rsid w:val="00AF2CD6"/>
    <w:rsid w:val="00B023CC"/>
    <w:rsid w:val="00B0548B"/>
    <w:rsid w:val="00B1483D"/>
    <w:rsid w:val="00B30D2F"/>
    <w:rsid w:val="00B34A4A"/>
    <w:rsid w:val="00B471BA"/>
    <w:rsid w:val="00B50AD7"/>
    <w:rsid w:val="00B62176"/>
    <w:rsid w:val="00B64F2F"/>
    <w:rsid w:val="00B858F9"/>
    <w:rsid w:val="00B93A3C"/>
    <w:rsid w:val="00B96287"/>
    <w:rsid w:val="00B9756B"/>
    <w:rsid w:val="00BB3345"/>
    <w:rsid w:val="00BB7DE1"/>
    <w:rsid w:val="00BC4A0D"/>
    <w:rsid w:val="00BF27B4"/>
    <w:rsid w:val="00BF7FE3"/>
    <w:rsid w:val="00C0404B"/>
    <w:rsid w:val="00C24D50"/>
    <w:rsid w:val="00C273AD"/>
    <w:rsid w:val="00C314FE"/>
    <w:rsid w:val="00C72D10"/>
    <w:rsid w:val="00C765C7"/>
    <w:rsid w:val="00CB3982"/>
    <w:rsid w:val="00CD2D08"/>
    <w:rsid w:val="00D1346F"/>
    <w:rsid w:val="00D33A6E"/>
    <w:rsid w:val="00D353A0"/>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0ABD"/>
    <w:rsid w:val="00E36906"/>
    <w:rsid w:val="00E648E9"/>
    <w:rsid w:val="00E67135"/>
    <w:rsid w:val="00E77596"/>
    <w:rsid w:val="00E83F1B"/>
    <w:rsid w:val="00E86220"/>
    <w:rsid w:val="00E964FD"/>
    <w:rsid w:val="00EC4DC3"/>
    <w:rsid w:val="00ED4D5E"/>
    <w:rsid w:val="00ED71C8"/>
    <w:rsid w:val="00F006B2"/>
    <w:rsid w:val="00F43DFA"/>
    <w:rsid w:val="00F43EC8"/>
    <w:rsid w:val="00F55554"/>
    <w:rsid w:val="00F57905"/>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53B0"/>
  <w15:docId w15:val="{95C7C0EC-E15F-4918-AC2F-3768BB8E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D0BB3262-7E72-4827-AF20-6F4868708AA5}">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Transmittal Sheet</Template>
  <TotalTime>3</TotalTime>
  <Pages>2</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2019-04-11T13:03:00Z</dcterms:created>
  <dcterms:modified xsi:type="dcterms:W3CDTF">2019-04-11T13:03:00Z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