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>M29-1, Part 1, Chapter 1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FF35AF">
        <w:rPr>
          <w:b/>
          <w:bCs/>
          <w:sz w:val="20"/>
        </w:rPr>
        <w:t xml:space="preserve">                    </w:t>
      </w:r>
      <w:r>
        <w:rPr>
          <w:b/>
          <w:bCs/>
          <w:sz w:val="20"/>
        </w:rPr>
        <w:t xml:space="preserve"> </w:t>
      </w:r>
      <w:r w:rsidR="00FF35AF">
        <w:rPr>
          <w:b/>
          <w:bCs/>
          <w:sz w:val="20"/>
        </w:rPr>
        <w:t>March 29,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>1, Part 1, Chapter 1 Introducti</w:t>
            </w:r>
            <w:r w:rsidR="00311F26">
              <w:t>on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 w:rsidRPr="00FD250C">
              <w:t>M29-1, Part 1, Chapter 1 Introduction</w:t>
            </w:r>
            <w:r w:rsidR="00FD250C" w:rsidRPr="00FD250C">
              <w:t xml:space="preserve"> </w:t>
            </w:r>
            <w:r w:rsidR="00DD22A9" w:rsidRPr="00FD250C">
              <w:t>has been rewritten in its entirety</w:t>
            </w:r>
            <w:r w:rsidR="00DD22A9" w:rsidRPr="00DD22A9">
              <w:t xml:space="preserve">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Pr="00FD250C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FF35AF">
              <w:t xml:space="preserve">M29-1, </w:t>
            </w:r>
            <w:r w:rsidR="00311F26" w:rsidRPr="00FD250C">
              <w:t>Part 1, Chapter 1 Introduction</w:t>
            </w:r>
            <w:r w:rsidR="00FD250C" w:rsidRPr="00FD250C">
              <w:t xml:space="preserve"> </w:t>
            </w:r>
            <w:r w:rsidRPr="00FD250C">
              <w:t>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 w:rsidR="00027DF6">
              <w:t>-1 standards</w:t>
            </w:r>
          </w:p>
          <w:p w:rsidR="00027DF6" w:rsidRDefault="00270B23" w:rsidP="00120103">
            <w:pPr>
              <w:pStyle w:val="BulletText2"/>
            </w:pPr>
            <w:r>
              <w:t>u</w:t>
            </w:r>
            <w:r w:rsidR="005B18F5">
              <w:t>pdate of legal citations</w:t>
            </w:r>
            <w:r w:rsidR="00027DF6">
              <w:t xml:space="preserve"> to reflect the </w:t>
            </w:r>
            <w:r w:rsidR="00C81C17">
              <w:t xml:space="preserve">current statute </w:t>
            </w:r>
            <w:r w:rsidR="00027DF6">
              <w:t xml:space="preserve">in </w:t>
            </w:r>
            <w:r w:rsidR="0076034E">
              <w:t>Title 38</w:t>
            </w:r>
          </w:p>
          <w:p w:rsidR="0076034E" w:rsidRPr="00EA3A57" w:rsidRDefault="00270B23" w:rsidP="00120103">
            <w:pPr>
              <w:pStyle w:val="BulletText2"/>
            </w:pPr>
            <w:r>
              <w:t>i</w:t>
            </w:r>
            <w:r w:rsidR="005A6170">
              <w:t>ncorporate</w:t>
            </w:r>
            <w:r w:rsidR="0076034E">
              <w:t xml:space="preserve"> advance manual c</w:t>
            </w:r>
            <w:r w:rsidR="00DD446D">
              <w:t>hanges previously published in</w:t>
            </w:r>
            <w:r w:rsidR="0076034E">
              <w:t xml:space="preserve"> the text.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D71966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Adds</w:t>
            </w:r>
            <w:r w:rsidR="004F5A6D">
              <w:rPr>
                <w:b w:val="0"/>
              </w:rPr>
              <w:t xml:space="preserve"> information on</w:t>
            </w:r>
            <w:r>
              <w:rPr>
                <w:b w:val="0"/>
              </w:rPr>
              <w:t xml:space="preserve"> statute that merged the “H” insurance p</w:t>
            </w:r>
            <w:r w:rsidR="005A6170">
              <w:rPr>
                <w:b w:val="0"/>
              </w:rPr>
              <w:t>r</w:t>
            </w:r>
            <w:r>
              <w:rPr>
                <w:b w:val="0"/>
              </w:rPr>
              <w:t>ogram with the “V” insurance program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4F5A6D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D71966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Ad</w:t>
            </w:r>
            <w:r w:rsidR="005A6170">
              <w:rPr>
                <w:b w:val="0"/>
              </w:rPr>
              <w:t>d</w:t>
            </w:r>
            <w:r>
              <w:rPr>
                <w:b w:val="0"/>
              </w:rPr>
              <w:t>s information on statute that increased</w:t>
            </w:r>
            <w:r w:rsidR="005A6170">
              <w:rPr>
                <w:b w:val="0"/>
              </w:rPr>
              <w:t xml:space="preserve"> the</w:t>
            </w:r>
            <w:r>
              <w:rPr>
                <w:b w:val="0"/>
              </w:rPr>
              <w:t xml:space="preserve"> application period and coverage levels in the “SRH” insurance program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DD446D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5A6170" w:rsidP="00673296">
            <w:pPr>
              <w:pStyle w:val="TableText"/>
            </w:pPr>
            <w:r>
              <w:t>Adds information on increased coverage level in the VMLI program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DD446D" w:rsidP="00673296">
            <w:pPr>
              <w:pStyle w:val="TableText"/>
            </w:pPr>
            <w:r>
              <w:t>Subchapter 1.01</w:t>
            </w:r>
          </w:p>
        </w:tc>
      </w:tr>
      <w:tr w:rsidR="005A617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A6170" w:rsidRDefault="006C264A" w:rsidP="00673296">
            <w:pPr>
              <w:pStyle w:val="TableText"/>
            </w:pPr>
            <w:r>
              <w:t xml:space="preserve">Adds information on statutory change authorizing a new method of payment for insurance program administrative costs </w:t>
            </w:r>
          </w:p>
        </w:tc>
        <w:tc>
          <w:tcPr>
            <w:tcW w:w="1058" w:type="pct"/>
            <w:shd w:val="clear" w:color="auto" w:fill="auto"/>
          </w:tcPr>
          <w:p w:rsidR="005A6170" w:rsidRDefault="006C264A" w:rsidP="00673296">
            <w:pPr>
              <w:pStyle w:val="TableText"/>
            </w:pPr>
            <w:r>
              <w:t>Subchapter 1.05</w:t>
            </w:r>
          </w:p>
        </w:tc>
      </w:tr>
      <w:tr w:rsidR="00EF165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EF165E" w:rsidRDefault="00EF165E" w:rsidP="00673296">
            <w:pPr>
              <w:pStyle w:val="TableText"/>
            </w:pPr>
            <w:r>
              <w:t>Explains under what circumstances an  insurance benefit may be seized to pay a debt owed to a federal agency</w:t>
            </w:r>
          </w:p>
        </w:tc>
        <w:tc>
          <w:tcPr>
            <w:tcW w:w="1058" w:type="pct"/>
            <w:shd w:val="clear" w:color="auto" w:fill="auto"/>
          </w:tcPr>
          <w:p w:rsidR="00EF165E" w:rsidRDefault="00EF165E" w:rsidP="00673296">
            <w:pPr>
              <w:pStyle w:val="TableText"/>
            </w:pPr>
            <w:r>
              <w:t>Subchapter 1.07</w:t>
            </w:r>
          </w:p>
        </w:tc>
      </w:tr>
      <w:tr w:rsidR="0057721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77212" w:rsidRPr="0060514F" w:rsidRDefault="00DE59FD" w:rsidP="00196490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Deletes a reference to a feature of the “JS” insurance program that is no longer viable due to the current age of the insureds</w:t>
            </w:r>
          </w:p>
        </w:tc>
        <w:tc>
          <w:tcPr>
            <w:tcW w:w="1058" w:type="pct"/>
            <w:shd w:val="clear" w:color="auto" w:fill="auto"/>
          </w:tcPr>
          <w:p w:rsidR="00577212" w:rsidRPr="0060514F" w:rsidRDefault="00270B23" w:rsidP="00673296">
            <w:pPr>
              <w:pStyle w:val="TableText"/>
            </w:pPr>
            <w:r>
              <w:t>Subc</w:t>
            </w:r>
            <w:r w:rsidR="00EF165E">
              <w:t>hapter 1.08</w:t>
            </w:r>
          </w:p>
        </w:tc>
      </w:tr>
      <w:tr w:rsidR="0057721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77212" w:rsidRPr="0060514F" w:rsidRDefault="00577212" w:rsidP="00673296">
            <w:pPr>
              <w:pStyle w:val="TableText"/>
            </w:pPr>
            <w:r>
              <w:t>States that an insurance contract may be cancelled if the insured was not competent at the time of the contract’s formation</w:t>
            </w:r>
          </w:p>
        </w:tc>
        <w:tc>
          <w:tcPr>
            <w:tcW w:w="1058" w:type="pct"/>
            <w:shd w:val="clear" w:color="auto" w:fill="auto"/>
          </w:tcPr>
          <w:p w:rsidR="00577212" w:rsidRPr="0060514F" w:rsidRDefault="00577212" w:rsidP="00673296">
            <w:pPr>
              <w:pStyle w:val="TableText"/>
            </w:pPr>
            <w:r>
              <w:t>Subchapter 1.08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7DF6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0B23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4F5A6D"/>
    <w:rsid w:val="00504F80"/>
    <w:rsid w:val="00506485"/>
    <w:rsid w:val="00513DA7"/>
    <w:rsid w:val="00514748"/>
    <w:rsid w:val="00516C82"/>
    <w:rsid w:val="00517B18"/>
    <w:rsid w:val="005238CB"/>
    <w:rsid w:val="00526F0E"/>
    <w:rsid w:val="0055453E"/>
    <w:rsid w:val="00577212"/>
    <w:rsid w:val="00594258"/>
    <w:rsid w:val="005A24DF"/>
    <w:rsid w:val="005A6170"/>
    <w:rsid w:val="005B18F5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264A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6034E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5A43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81C17"/>
    <w:rsid w:val="00CD2D08"/>
    <w:rsid w:val="00D33A6E"/>
    <w:rsid w:val="00D36508"/>
    <w:rsid w:val="00D57B91"/>
    <w:rsid w:val="00D61497"/>
    <w:rsid w:val="00D71966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D446D"/>
    <w:rsid w:val="00DE0E35"/>
    <w:rsid w:val="00DE59FD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ED7E3B"/>
    <w:rsid w:val="00EF165E"/>
    <w:rsid w:val="00F006B2"/>
    <w:rsid w:val="00F43DFA"/>
    <w:rsid w:val="00F87670"/>
    <w:rsid w:val="00F87F72"/>
    <w:rsid w:val="00F90609"/>
    <w:rsid w:val="00FB6AD1"/>
    <w:rsid w:val="00FD250C"/>
    <w:rsid w:val="00FD4F65"/>
    <w:rsid w:val="00FF26A6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A2A7F-F012-442D-B4DB-45B2C95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2019-04-09T13:05:00Z</dcterms:created>
  <dcterms:modified xsi:type="dcterms:W3CDTF">2019-04-09T13:05:00Z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