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D" w:rsidRDefault="00B70DCD" w:rsidP="00B70DCD">
      <w:pPr>
        <w:jc w:val="center"/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676767"/>
          <w:sz w:val="24"/>
          <w:szCs w:val="20"/>
        </w:rPr>
        <w:t>Table of Contents</w:t>
      </w:r>
    </w:p>
    <w:p w:rsidR="00F6056F" w:rsidRPr="00002BB7" w:rsidRDefault="007E3555">
      <w:pPr>
        <w:rPr>
          <w:rFonts w:ascii="Verdana" w:eastAsia="Times New Roman" w:hAnsi="Verdana" w:cs="Times New Roman"/>
          <w:b/>
          <w:bCs/>
          <w:color w:val="595959" w:themeColor="text1" w:themeTint="A6"/>
          <w:sz w:val="24"/>
          <w:szCs w:val="20"/>
        </w:rPr>
      </w:pPr>
      <w:r w:rsidRPr="00002BB7">
        <w:rPr>
          <w:rFonts w:ascii="Verdana" w:eastAsia="Times New Roman" w:hAnsi="Verdana" w:cs="Times New Roman"/>
          <w:b/>
          <w:bCs/>
          <w:color w:val="595959" w:themeColor="text1" w:themeTint="A6"/>
          <w:sz w:val="24"/>
          <w:szCs w:val="20"/>
        </w:rPr>
        <w:t>CHAPTER 27. ISSUANCE OF REPLACEMENT POLICIES AND RIDERS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6"/>
        <w:gridCol w:w="4684"/>
      </w:tblGrid>
      <w:tr w:rsidR="00B70DCD" w:rsidTr="00CD4A0C">
        <w:trPr>
          <w:trHeight w:val="36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CD" w:rsidRDefault="00B70DCD" w:rsidP="00CD4A0C">
            <w:pPr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  <w:t>Subsection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CD" w:rsidRDefault="00B70DCD" w:rsidP="00CD4A0C">
            <w:pPr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0"/>
              </w:rPr>
              <w:t>Name</w:t>
            </w:r>
          </w:p>
        </w:tc>
      </w:tr>
      <w:tr w:rsidR="00B70DCD" w:rsidTr="00CD4A0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D" w:rsidRPr="007A5F80" w:rsidRDefault="00B70DCD" w:rsidP="00CD4A0C">
            <w:pP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27.01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D" w:rsidRPr="007A5F80" w:rsidRDefault="00B70DCD" w:rsidP="00CD4A0C">
            <w:pP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General</w:t>
            </w:r>
          </w:p>
        </w:tc>
      </w:tr>
      <w:tr w:rsidR="00B70DCD" w:rsidTr="00CD4A0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D" w:rsidRPr="00CF0777" w:rsidRDefault="00B70DCD" w:rsidP="00CD4A0C">
            <w:pP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27.02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D" w:rsidRPr="00CF0777" w:rsidRDefault="00B70DCD" w:rsidP="00CD4A0C">
            <w:pP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676767"/>
                <w:sz w:val="24"/>
                <w:szCs w:val="20"/>
              </w:rPr>
              <w:t>Requirements</w:t>
            </w:r>
          </w:p>
        </w:tc>
      </w:tr>
    </w:tbl>
    <w:p w:rsidR="00B70DCD" w:rsidRDefault="00B70DCD" w:rsidP="00002BB7">
      <w:pPr>
        <w:pStyle w:val="para31"/>
        <w:tabs>
          <w:tab w:val="left" w:pos="560"/>
        </w:tabs>
        <w:ind w:firstLine="0"/>
        <w:rPr>
          <w:rFonts w:ascii="Verdana" w:hAnsi="Verdana"/>
          <w:b/>
          <w:color w:val="595959" w:themeColor="text1" w:themeTint="A6"/>
        </w:rPr>
      </w:pPr>
    </w:p>
    <w:p w:rsidR="007E3555" w:rsidRDefault="007E3555" w:rsidP="00002BB7">
      <w:pPr>
        <w:pStyle w:val="para31"/>
        <w:tabs>
          <w:tab w:val="left" w:pos="560"/>
        </w:tabs>
        <w:ind w:firstLine="0"/>
        <w:rPr>
          <w:rFonts w:ascii="Verdana" w:hAnsi="Verdana"/>
          <w:b/>
          <w:color w:val="595959" w:themeColor="text1" w:themeTint="A6"/>
        </w:rPr>
      </w:pPr>
      <w:r w:rsidRPr="00002BB7">
        <w:rPr>
          <w:rFonts w:ascii="Verdana" w:hAnsi="Verdana"/>
          <w:b/>
          <w:color w:val="595959" w:themeColor="text1" w:themeTint="A6"/>
        </w:rPr>
        <w:t xml:space="preserve">27.01 GENERAL </w:t>
      </w:r>
    </w:p>
    <w:p w:rsidR="00002BB7" w:rsidRPr="00002BB7" w:rsidRDefault="00002BB7" w:rsidP="00002BB7">
      <w:pPr>
        <w:pStyle w:val="para31"/>
        <w:tabs>
          <w:tab w:val="left" w:pos="560"/>
        </w:tabs>
        <w:ind w:firstLine="0"/>
        <w:rPr>
          <w:rFonts w:ascii="Verdana" w:hAnsi="Verdana"/>
          <w:b/>
          <w:color w:val="595959" w:themeColor="text1" w:themeTint="A6"/>
        </w:rPr>
      </w:pPr>
    </w:p>
    <w:p w:rsidR="007E3555" w:rsidRPr="00002BB7" w:rsidRDefault="007E3555" w:rsidP="00002BB7">
      <w:pPr>
        <w:pStyle w:val="para32"/>
        <w:tabs>
          <w:tab w:val="clear" w:pos="560"/>
        </w:tabs>
        <w:ind w:left="405" w:firstLine="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Insurance policies and/or total disability income provision riders may be issued to replace those that have been lost or destroyed.  </w:t>
      </w:r>
    </w:p>
    <w:p w:rsidR="007E3555" w:rsidRDefault="007E3555" w:rsidP="007E3555"/>
    <w:p w:rsidR="007E3555" w:rsidRDefault="007E3555" w:rsidP="00002BB7">
      <w:pPr>
        <w:pStyle w:val="para31"/>
        <w:tabs>
          <w:tab w:val="left" w:pos="560"/>
        </w:tabs>
        <w:ind w:firstLine="0"/>
        <w:rPr>
          <w:rFonts w:ascii="Verdana" w:hAnsi="Verdana"/>
          <w:b/>
          <w:color w:val="595959" w:themeColor="text1" w:themeTint="A6"/>
        </w:rPr>
      </w:pPr>
      <w:r w:rsidRPr="00002BB7">
        <w:rPr>
          <w:rFonts w:ascii="Verdana" w:hAnsi="Verdana"/>
          <w:b/>
          <w:color w:val="595959" w:themeColor="text1" w:themeTint="A6"/>
        </w:rPr>
        <w:t xml:space="preserve">27.02 REQUIREMENTS </w:t>
      </w:r>
    </w:p>
    <w:p w:rsidR="00002BB7" w:rsidRPr="00002BB7" w:rsidRDefault="00002BB7" w:rsidP="00002BB7">
      <w:pPr>
        <w:pStyle w:val="para31"/>
        <w:tabs>
          <w:tab w:val="left" w:pos="560"/>
        </w:tabs>
        <w:ind w:firstLine="0"/>
        <w:rPr>
          <w:rFonts w:ascii="Verdana" w:hAnsi="Verdana"/>
          <w:b/>
          <w:color w:val="595959" w:themeColor="text1" w:themeTint="A6"/>
        </w:rPr>
      </w:pPr>
    </w:p>
    <w:p w:rsidR="007E3555" w:rsidRDefault="007E3555" w:rsidP="001F6AC3">
      <w:pPr>
        <w:pStyle w:val="para32"/>
        <w:numPr>
          <w:ilvl w:val="0"/>
          <w:numId w:val="1"/>
        </w:numPr>
        <w:tabs>
          <w:tab w:val="clear" w:pos="560"/>
        </w:tabs>
        <w:ind w:left="72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A request by an insured or by a third party for a replacement policy and/or rider will be accepted as a valid application. </w:t>
      </w:r>
    </w:p>
    <w:p w:rsidR="00002BB7" w:rsidRPr="00002BB7" w:rsidRDefault="00002BB7" w:rsidP="001F6AC3">
      <w:pPr>
        <w:pStyle w:val="para32"/>
        <w:tabs>
          <w:tab w:val="clear" w:pos="560"/>
        </w:tabs>
        <w:ind w:left="720" w:firstLine="0"/>
        <w:jc w:val="left"/>
        <w:rPr>
          <w:rFonts w:ascii="Verdana" w:hAnsi="Verdana"/>
          <w:color w:val="595959" w:themeColor="text1" w:themeTint="A6"/>
        </w:rPr>
      </w:pPr>
    </w:p>
    <w:p w:rsidR="007E3555" w:rsidRPr="00002BB7" w:rsidRDefault="007E3555" w:rsidP="001F6AC3">
      <w:pPr>
        <w:pStyle w:val="para32"/>
        <w:numPr>
          <w:ilvl w:val="0"/>
          <w:numId w:val="2"/>
        </w:numPr>
        <w:tabs>
          <w:tab w:val="left" w:pos="1350"/>
        </w:tabs>
        <w:ind w:left="108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When the correspondence is not signed by the insured or is submitted by a third party, the policy and/or rider will be sent to the insured at the address of record. </w:t>
      </w:r>
    </w:p>
    <w:p w:rsidR="00002BB7" w:rsidRDefault="00002BB7" w:rsidP="001F6AC3">
      <w:pPr>
        <w:pStyle w:val="para32"/>
        <w:tabs>
          <w:tab w:val="left" w:pos="1350"/>
        </w:tabs>
        <w:ind w:left="1080" w:firstLine="0"/>
        <w:jc w:val="left"/>
        <w:rPr>
          <w:rFonts w:ascii="Verdana" w:hAnsi="Verdana"/>
          <w:color w:val="595959" w:themeColor="text1" w:themeTint="A6"/>
        </w:rPr>
      </w:pPr>
    </w:p>
    <w:p w:rsidR="007E3555" w:rsidRPr="00002BB7" w:rsidRDefault="007E3555" w:rsidP="001F6AC3">
      <w:pPr>
        <w:pStyle w:val="para32"/>
        <w:numPr>
          <w:ilvl w:val="0"/>
          <w:numId w:val="2"/>
        </w:numPr>
        <w:tabs>
          <w:tab w:val="left" w:pos="1350"/>
        </w:tabs>
        <w:ind w:left="108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If the request is signed by the insured, the document(s) may be mailed to anyone they request.               </w:t>
      </w:r>
    </w:p>
    <w:p w:rsidR="00002BB7" w:rsidRDefault="00002BB7" w:rsidP="001F6AC3">
      <w:pPr>
        <w:pStyle w:val="para32"/>
        <w:tabs>
          <w:tab w:val="left" w:pos="1350"/>
        </w:tabs>
        <w:ind w:left="1080" w:firstLine="0"/>
        <w:jc w:val="left"/>
        <w:rPr>
          <w:rFonts w:ascii="Verdana" w:hAnsi="Verdana"/>
          <w:color w:val="595959" w:themeColor="text1" w:themeTint="A6"/>
        </w:rPr>
      </w:pPr>
    </w:p>
    <w:p w:rsidR="007E3555" w:rsidRDefault="007E3555" w:rsidP="001F6AC3">
      <w:pPr>
        <w:pStyle w:val="para32"/>
        <w:numPr>
          <w:ilvl w:val="0"/>
          <w:numId w:val="2"/>
        </w:numPr>
        <w:tabs>
          <w:tab w:val="left" w:pos="1350"/>
        </w:tabs>
        <w:ind w:left="108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If the request is for a term policy, the effective date of the current term period will be shown. </w:t>
      </w:r>
    </w:p>
    <w:p w:rsidR="00002BB7" w:rsidRPr="00002BB7" w:rsidRDefault="00002BB7" w:rsidP="001F6AC3">
      <w:pPr>
        <w:pStyle w:val="para32"/>
        <w:tabs>
          <w:tab w:val="left" w:pos="1350"/>
        </w:tabs>
        <w:ind w:left="1080" w:firstLine="0"/>
        <w:jc w:val="left"/>
        <w:rPr>
          <w:rFonts w:ascii="Verdana" w:hAnsi="Verdana"/>
          <w:color w:val="595959" w:themeColor="text1" w:themeTint="A6"/>
        </w:rPr>
      </w:pPr>
    </w:p>
    <w:p w:rsidR="007E3555" w:rsidRPr="00002BB7" w:rsidRDefault="007E3555" w:rsidP="001F6AC3">
      <w:pPr>
        <w:pStyle w:val="para32"/>
        <w:numPr>
          <w:ilvl w:val="0"/>
          <w:numId w:val="1"/>
        </w:numPr>
        <w:tabs>
          <w:tab w:val="clear" w:pos="560"/>
        </w:tabs>
        <w:ind w:left="72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In most instances, the replacement policy and/or rider will be prepared by a </w:t>
      </w:r>
      <w:r w:rsidR="00AD2F71" w:rsidRPr="00002BB7">
        <w:rPr>
          <w:rFonts w:ascii="Verdana" w:hAnsi="Verdana"/>
          <w:color w:val="595959" w:themeColor="text1" w:themeTint="A6"/>
        </w:rPr>
        <w:t>computer-generated</w:t>
      </w:r>
      <w:r w:rsidRPr="00002BB7">
        <w:rPr>
          <w:rFonts w:ascii="Verdana" w:hAnsi="Verdana"/>
          <w:color w:val="595959" w:themeColor="text1" w:themeTint="A6"/>
        </w:rPr>
        <w:t xml:space="preserve"> input.  However, if the policy cannot be systematically generated, the request will be forwarded to the Policyholders Services Division, manually prepared, and released. </w:t>
      </w:r>
    </w:p>
    <w:p w:rsidR="00002BB7" w:rsidRDefault="00002BB7" w:rsidP="001F6AC3">
      <w:pPr>
        <w:pStyle w:val="para32"/>
        <w:tabs>
          <w:tab w:val="clear" w:pos="560"/>
        </w:tabs>
        <w:ind w:left="720" w:firstLine="0"/>
        <w:jc w:val="left"/>
        <w:rPr>
          <w:rFonts w:ascii="Verdana" w:hAnsi="Verdana"/>
          <w:color w:val="595959" w:themeColor="text1" w:themeTint="A6"/>
        </w:rPr>
      </w:pPr>
    </w:p>
    <w:p w:rsidR="007E3555" w:rsidRPr="00002BB7" w:rsidRDefault="007E3555" w:rsidP="001F6AC3">
      <w:pPr>
        <w:pStyle w:val="para32"/>
        <w:numPr>
          <w:ilvl w:val="0"/>
          <w:numId w:val="1"/>
        </w:numPr>
        <w:tabs>
          <w:tab w:val="clear" w:pos="560"/>
        </w:tabs>
        <w:ind w:left="72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Replacement policies and/or riders will not be marked as a duplicate or replacement policy. </w:t>
      </w:r>
    </w:p>
    <w:p w:rsidR="00002BB7" w:rsidRDefault="00002BB7" w:rsidP="001F6AC3">
      <w:pPr>
        <w:pStyle w:val="para32"/>
        <w:tabs>
          <w:tab w:val="clear" w:pos="560"/>
        </w:tabs>
        <w:ind w:left="720" w:firstLine="0"/>
        <w:jc w:val="left"/>
        <w:rPr>
          <w:rFonts w:ascii="Verdana" w:hAnsi="Verdana"/>
          <w:color w:val="595959" w:themeColor="text1" w:themeTint="A6"/>
        </w:rPr>
      </w:pPr>
    </w:p>
    <w:p w:rsidR="007E3555" w:rsidRDefault="007E3555" w:rsidP="001F6AC3">
      <w:pPr>
        <w:pStyle w:val="para32"/>
        <w:numPr>
          <w:ilvl w:val="0"/>
          <w:numId w:val="1"/>
        </w:numPr>
        <w:tabs>
          <w:tab w:val="clear" w:pos="560"/>
        </w:tabs>
        <w:ind w:left="72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 xml:space="preserve">Replacement of policies and/or riders will be authorized only when the insurance is in force under premium-paying conditions, extended term insurance, or paid up insurance. </w:t>
      </w:r>
    </w:p>
    <w:p w:rsidR="00002BB7" w:rsidRPr="00002BB7" w:rsidRDefault="00002BB7" w:rsidP="001F6AC3">
      <w:pPr>
        <w:pStyle w:val="para32"/>
        <w:tabs>
          <w:tab w:val="clear" w:pos="560"/>
        </w:tabs>
        <w:ind w:left="720" w:firstLine="0"/>
        <w:jc w:val="left"/>
        <w:rPr>
          <w:rFonts w:ascii="Verdana" w:hAnsi="Verdana"/>
          <w:color w:val="595959" w:themeColor="text1" w:themeTint="A6"/>
        </w:rPr>
      </w:pPr>
    </w:p>
    <w:p w:rsidR="007E3555" w:rsidRPr="00002BB7" w:rsidRDefault="007E3555" w:rsidP="001F6AC3">
      <w:pPr>
        <w:pStyle w:val="para32"/>
        <w:numPr>
          <w:ilvl w:val="0"/>
          <w:numId w:val="3"/>
        </w:numPr>
        <w:tabs>
          <w:tab w:val="left" w:pos="1350"/>
        </w:tabs>
        <w:ind w:left="1080"/>
        <w:jc w:val="left"/>
        <w:rPr>
          <w:rFonts w:ascii="Verdana" w:hAnsi="Verdana"/>
          <w:color w:val="595959" w:themeColor="text1" w:themeTint="A6"/>
        </w:rPr>
      </w:pPr>
      <w:r w:rsidRPr="00002BB7">
        <w:rPr>
          <w:rFonts w:ascii="Verdana" w:hAnsi="Verdana"/>
          <w:color w:val="595959" w:themeColor="text1" w:themeTint="A6"/>
        </w:rPr>
        <w:t>When the insurance is lapsed and not in force under extended insurance, a replacement policy will not be issued. Instead, the Veteran will be furnished reinstatement requirements provided the contract is eligible for reinstatement.</w:t>
      </w:r>
    </w:p>
    <w:p w:rsidR="007E3555" w:rsidRDefault="007E3555" w:rsidP="007E3555">
      <w:r>
        <w:t xml:space="preserve">  </w:t>
      </w:r>
    </w:p>
    <w:sectPr w:rsidR="007E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602"/>
    <w:multiLevelType w:val="hybridMultilevel"/>
    <w:tmpl w:val="D06A2152"/>
    <w:lvl w:ilvl="0" w:tplc="32BE2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CE58C64C">
      <w:start w:val="1"/>
      <w:numFmt w:val="decimal"/>
      <w:lvlText w:val="(%2)"/>
      <w:lvlJc w:val="left"/>
      <w:pPr>
        <w:ind w:left="163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7C6811"/>
    <w:multiLevelType w:val="hybridMultilevel"/>
    <w:tmpl w:val="0BFC38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7D033F5"/>
    <w:multiLevelType w:val="hybridMultilevel"/>
    <w:tmpl w:val="0BFC38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5"/>
    <w:rsid w:val="00002BB7"/>
    <w:rsid w:val="001278C1"/>
    <w:rsid w:val="001F6AC3"/>
    <w:rsid w:val="007E3555"/>
    <w:rsid w:val="00AD2F71"/>
    <w:rsid w:val="00B70DCD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48761-C643-4666-AD0C-DC98336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31">
    <w:name w:val="para31"/>
    <w:rsid w:val="00002BB7"/>
    <w:pPr>
      <w:suppressLineNumbers/>
      <w:overflowPunct w:val="0"/>
      <w:autoSpaceDE w:val="0"/>
      <w:autoSpaceDN w:val="0"/>
      <w:adjustRightInd w:val="0"/>
      <w:spacing w:after="0" w:line="240" w:lineRule="auto"/>
      <w:ind w:firstLine="9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customStyle="1" w:styleId="para32">
    <w:name w:val="para32"/>
    <w:rsid w:val="00002BB7"/>
    <w:pPr>
      <w:suppressLineNumbers/>
      <w:tabs>
        <w:tab w:val="left" w:pos="560"/>
      </w:tabs>
      <w:overflowPunct w:val="0"/>
      <w:autoSpaceDE w:val="0"/>
      <w:autoSpaceDN w:val="0"/>
      <w:adjustRightInd w:val="0"/>
      <w:spacing w:after="0" w:line="240" w:lineRule="auto"/>
      <w:ind w:firstLine="2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BB7"/>
    <w:pPr>
      <w:ind w:left="720"/>
      <w:contextualSpacing/>
    </w:pPr>
  </w:style>
  <w:style w:type="table" w:styleId="TableGrid">
    <w:name w:val="Table Grid"/>
    <w:basedOn w:val="TableNormal"/>
    <w:uiPriority w:val="59"/>
    <w:rsid w:val="00B70D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Eby, Larry</dc:creator>
  <cp:keywords/>
  <dc:description/>
  <cp:lastModifiedBy>Dixson, Chiquita, VBAVACO</cp:lastModifiedBy>
  <cp:revision>2</cp:revision>
  <dcterms:created xsi:type="dcterms:W3CDTF">2019-08-29T13:47:00Z</dcterms:created>
  <dcterms:modified xsi:type="dcterms:W3CDTF">2019-08-29T13:47:00Z</dcterms:modified>
</cp:coreProperties>
</file>