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163B8D">
        <w:rPr>
          <w:rFonts w:ascii="Times New Roman" w:hAnsi="Times New Roman"/>
          <w:sz w:val="20"/>
        </w:rPr>
        <w:t>Affairs</w:t>
      </w:r>
      <w:r w:rsidR="00163B8D">
        <w:rPr>
          <w:rFonts w:ascii="Times New Roman" w:hAnsi="Times New Roman"/>
          <w:sz w:val="20"/>
        </w:rPr>
        <w:tab/>
        <w:t>M29-1, Part 1, Chapter 31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124F14">
        <w:rPr>
          <w:b/>
          <w:bCs/>
          <w:sz w:val="20"/>
        </w:rPr>
        <w:tab/>
      </w:r>
      <w:r w:rsidR="00C66266">
        <w:rPr>
          <w:b/>
          <w:bCs/>
          <w:sz w:val="20"/>
        </w:rPr>
        <w:t xml:space="preserve">      September 6,</w:t>
      </w:r>
      <w:r w:rsidR="00124F14" w:rsidRPr="00124F14">
        <w:rPr>
          <w:b/>
          <w:bCs/>
          <w:sz w:val="20"/>
        </w:rPr>
        <w:t xml:space="preserve">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163B8D">
              <w:t>1, Part 1, Chapter 31</w:t>
            </w:r>
            <w:r w:rsidR="00124F14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163B8D">
              <w:rPr>
                <w:b/>
              </w:rPr>
              <w:t>, Part 1, Chapter 31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r w:rsidR="00F3380F" w:rsidRPr="00DD22A9">
              <w:t>for</w:t>
            </w:r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F077AC">
              <w:rPr>
                <w:b/>
              </w:rPr>
              <w:t xml:space="preserve">M29-1, </w:t>
            </w:r>
            <w:r w:rsidR="00163B8D">
              <w:rPr>
                <w:b/>
              </w:rPr>
              <w:t>Part 1, Chapter 31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390574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390574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32C16" w:rsidRDefault="00754018" w:rsidP="00673296">
            <w:pPr>
              <w:pStyle w:val="TableHeaderText"/>
              <w:jc w:val="left"/>
              <w:rPr>
                <w:b w:val="0"/>
              </w:rPr>
            </w:pPr>
            <w:r w:rsidRPr="00632C16">
              <w:rPr>
                <w:b w:val="0"/>
              </w:rPr>
              <w:t xml:space="preserve">Clarifies that the </w:t>
            </w:r>
            <w:r w:rsidR="00BC4008" w:rsidRPr="00632C16">
              <w:rPr>
                <w:b w:val="0"/>
              </w:rPr>
              <w:t>visual acuity standard is based on the VA Rating Schedule for Organs of Special Sense</w:t>
            </w:r>
            <w:r w:rsidR="00793C8D" w:rsidRPr="00632C16">
              <w:rPr>
                <w:b w:val="0"/>
              </w:rPr>
              <w:t xml:space="preserve">; eliminates language regarding a requirement that an audiology exam be conducted at a VA-authorized facility as no longer applicable to the insurance programs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32C16" w:rsidRDefault="00BC4008" w:rsidP="00673296">
            <w:pPr>
              <w:pStyle w:val="TableHeaderText"/>
              <w:jc w:val="left"/>
              <w:rPr>
                <w:b w:val="0"/>
              </w:rPr>
            </w:pPr>
            <w:r w:rsidRPr="00632C16">
              <w:rPr>
                <w:b w:val="0"/>
              </w:rPr>
              <w:t>Subchapter 31.02</w:t>
            </w:r>
          </w:p>
        </w:tc>
      </w:tr>
      <w:tr w:rsidR="002A1D3E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32C16" w:rsidRDefault="00D873EA" w:rsidP="00673296">
            <w:pPr>
              <w:pStyle w:val="TableHeaderText"/>
              <w:jc w:val="left"/>
              <w:rPr>
                <w:b w:val="0"/>
              </w:rPr>
            </w:pPr>
            <w:r w:rsidRPr="00632C16">
              <w:rPr>
                <w:b w:val="0"/>
              </w:rPr>
              <w:t xml:space="preserve">Eliminates language referencing total and permanent disability as applied to gratuitous insurance under the National Service Life Insurance Act of 1940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2A1D3E" w:rsidRPr="00632C16" w:rsidRDefault="00D873EA" w:rsidP="00673296">
            <w:pPr>
              <w:pStyle w:val="TableHeaderText"/>
              <w:jc w:val="left"/>
              <w:rPr>
                <w:b w:val="0"/>
              </w:rPr>
            </w:pPr>
            <w:r w:rsidRPr="00632C16">
              <w:rPr>
                <w:b w:val="0"/>
              </w:rPr>
              <w:t>Subchapter 31.03</w:t>
            </w:r>
          </w:p>
        </w:tc>
      </w:tr>
      <w:tr w:rsidR="002A1D3E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32C16" w:rsidRDefault="00905087" w:rsidP="00673296">
            <w:pPr>
              <w:pStyle w:val="TableText"/>
            </w:pPr>
            <w:r w:rsidRPr="00632C16">
              <w:t>Adds Note explaining the background of the “average-person impairment standard” in the context of adjudicating disability for the award of compensation and pension or insurance benefits</w:t>
            </w:r>
          </w:p>
        </w:tc>
        <w:tc>
          <w:tcPr>
            <w:tcW w:w="1058" w:type="pct"/>
            <w:shd w:val="clear" w:color="auto" w:fill="auto"/>
          </w:tcPr>
          <w:p w:rsidR="002A1D3E" w:rsidRPr="00632C16" w:rsidRDefault="00905087" w:rsidP="00673296">
            <w:pPr>
              <w:pStyle w:val="TableText"/>
            </w:pPr>
            <w:r w:rsidRPr="00632C16">
              <w:t>Subchapter 31.04</w:t>
            </w:r>
          </w:p>
        </w:tc>
      </w:tr>
      <w:tr w:rsidR="002A1D3E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32C16" w:rsidRDefault="00BC0A54" w:rsidP="00673296">
            <w:pPr>
              <w:pStyle w:val="TableText"/>
            </w:pPr>
            <w:r w:rsidRPr="00632C16">
              <w:t xml:space="preserve">Clarifies that a person should be considered totally disabled if </w:t>
            </w:r>
            <w:r w:rsidR="00723E4F" w:rsidRPr="00632C16">
              <w:t>they cannot work and are</w:t>
            </w:r>
            <w:r w:rsidRPr="00632C16">
              <w:t xml:space="preserve"> hosp</w:t>
            </w:r>
            <w:r w:rsidR="00723E4F" w:rsidRPr="00632C16">
              <w:t>italized as an in</w:t>
            </w:r>
            <w:r w:rsidRPr="00632C16">
              <w:t xml:space="preserve">patient for treatment of disease or injury </w:t>
            </w:r>
          </w:p>
        </w:tc>
        <w:tc>
          <w:tcPr>
            <w:tcW w:w="1058" w:type="pct"/>
            <w:shd w:val="clear" w:color="auto" w:fill="auto"/>
          </w:tcPr>
          <w:p w:rsidR="002A1D3E" w:rsidRPr="00632C16" w:rsidRDefault="00BC0A54" w:rsidP="00673296">
            <w:pPr>
              <w:pStyle w:val="TableText"/>
            </w:pPr>
            <w:r w:rsidRPr="00632C16">
              <w:t>Subchapter 31.05</w:t>
            </w:r>
          </w:p>
        </w:tc>
      </w:tr>
      <w:tr w:rsidR="002A1D3E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32C16" w:rsidRDefault="00095C46" w:rsidP="00673296">
            <w:pPr>
              <w:pStyle w:val="TableText"/>
            </w:pPr>
            <w:r w:rsidRPr="00632C16">
              <w:t>Explains that certain physical conditions may demonstrates periods of remission when the individual may be able to work; explains that certain mental conditions may improve when the individual is on medication or treatment; eliminates language regarding when certain diseases may be in rem</w:t>
            </w:r>
            <w:r w:rsidR="00F3380F" w:rsidRPr="00632C16">
              <w:t xml:space="preserve">ission; clarifies the standard </w:t>
            </w:r>
            <w:r w:rsidRPr="00632C16">
              <w:t>of “</w:t>
            </w:r>
            <w:proofErr w:type="gramStart"/>
            <w:r w:rsidRPr="00632C16">
              <w:t>relative</w:t>
            </w:r>
            <w:proofErr w:type="gramEnd"/>
            <w:r w:rsidRPr="00632C16">
              <w:t xml:space="preserve"> good health” </w:t>
            </w:r>
          </w:p>
        </w:tc>
        <w:tc>
          <w:tcPr>
            <w:tcW w:w="1058" w:type="pct"/>
            <w:shd w:val="clear" w:color="auto" w:fill="auto"/>
          </w:tcPr>
          <w:p w:rsidR="002A1D3E" w:rsidRPr="00632C16" w:rsidRDefault="00095C46" w:rsidP="00673296">
            <w:pPr>
              <w:pStyle w:val="TableText"/>
            </w:pPr>
            <w:r w:rsidRPr="00632C16">
              <w:t>Subchapter 31.07</w:t>
            </w:r>
          </w:p>
        </w:tc>
      </w:tr>
    </w:tbl>
    <w:p w:rsidR="00CB094A" w:rsidRDefault="00CB094A">
      <w: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390574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390574" w:rsidRPr="00632C16" w:rsidRDefault="00390574" w:rsidP="00673296">
            <w:pPr>
              <w:pStyle w:val="TableText"/>
            </w:pPr>
            <w:r w:rsidRPr="00632C16">
              <w:lastRenderedPageBreak/>
              <w:t>Clarifies when a physical disease or illness may interfere with the ability to hold gainful employment (such as epilepsy</w:t>
            </w:r>
            <w:r w:rsidR="00354CC5" w:rsidRPr="00632C16">
              <w:t xml:space="preserve"> or HIV/AIDS</w:t>
            </w:r>
            <w:r w:rsidRPr="00632C16">
              <w:t>)</w:t>
            </w:r>
            <w:r w:rsidR="00354CC5" w:rsidRPr="00632C16">
              <w:t>, either due to social stigma or inability to safely perform the job</w:t>
            </w:r>
            <w:r w:rsidR="00DD0301" w:rsidRPr="00632C16">
              <w:t>;</w:t>
            </w:r>
            <w:r w:rsidRPr="00632C16">
              <w:t xml:space="preserve"> eliminates references to diseases that </w:t>
            </w:r>
            <w:r w:rsidR="00354CC5" w:rsidRPr="00632C16">
              <w:t>formerly carried</w:t>
            </w:r>
            <w:r w:rsidRPr="00632C16">
              <w:t xml:space="preserve"> social stigma (such as leprosy) as no longer relevant</w:t>
            </w:r>
          </w:p>
        </w:tc>
        <w:tc>
          <w:tcPr>
            <w:tcW w:w="1058" w:type="pct"/>
            <w:shd w:val="clear" w:color="auto" w:fill="auto"/>
          </w:tcPr>
          <w:p w:rsidR="00390574" w:rsidRPr="00632C16" w:rsidRDefault="00390574" w:rsidP="00673296">
            <w:pPr>
              <w:pStyle w:val="TableText"/>
            </w:pPr>
            <w:r w:rsidRPr="00632C16">
              <w:t>Subchapter 31.08</w:t>
            </w:r>
          </w:p>
        </w:tc>
      </w:tr>
      <w:tr w:rsidR="0099240A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99240A" w:rsidRPr="00632C16" w:rsidRDefault="00270833" w:rsidP="00673296">
            <w:pPr>
              <w:pStyle w:val="TableText"/>
            </w:pPr>
            <w:r w:rsidRPr="00632C16">
              <w:t>Clarifies the circum</w:t>
            </w:r>
            <w:r w:rsidR="006B24C8" w:rsidRPr="00632C16">
              <w:t>stances under which an individual’s age should be considered when performing an evaluation for disability benefits</w:t>
            </w:r>
          </w:p>
        </w:tc>
        <w:tc>
          <w:tcPr>
            <w:tcW w:w="1058" w:type="pct"/>
            <w:shd w:val="clear" w:color="auto" w:fill="auto"/>
          </w:tcPr>
          <w:p w:rsidR="0099240A" w:rsidRPr="00632C16" w:rsidRDefault="00390574" w:rsidP="00673296">
            <w:pPr>
              <w:pStyle w:val="TableText"/>
            </w:pPr>
            <w:r w:rsidRPr="00632C16">
              <w:t>Subchapter 31.</w:t>
            </w:r>
            <w:r w:rsidR="00DD0301" w:rsidRPr="00632C16">
              <w:t>09</w:t>
            </w:r>
          </w:p>
        </w:tc>
      </w:tr>
      <w:tr w:rsidR="00DD0301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DD0301" w:rsidRPr="00632C16" w:rsidRDefault="00DD0301" w:rsidP="00673296">
            <w:pPr>
              <w:pStyle w:val="TableText"/>
            </w:pPr>
            <w:r w:rsidRPr="00632C16">
              <w:t>Clarifies how the individual’s ability to perform in a substantially gainful occupation will be evaluated in the context of an applicat</w:t>
            </w:r>
            <w:r w:rsidR="00F3380F" w:rsidRPr="00632C16">
              <w:t xml:space="preserve">ion that claims </w:t>
            </w:r>
            <w:r w:rsidR="006D54C8" w:rsidRPr="00632C16">
              <w:t>total disability for purposes of insurance</w:t>
            </w:r>
          </w:p>
        </w:tc>
        <w:tc>
          <w:tcPr>
            <w:tcW w:w="1058" w:type="pct"/>
            <w:shd w:val="clear" w:color="auto" w:fill="auto"/>
          </w:tcPr>
          <w:p w:rsidR="00DD0301" w:rsidRPr="00632C16" w:rsidRDefault="006D54C8" w:rsidP="00673296">
            <w:pPr>
              <w:pStyle w:val="TableText"/>
            </w:pPr>
            <w:r w:rsidRPr="00632C16">
              <w:t>Subchapter 31.10</w:t>
            </w:r>
          </w:p>
        </w:tc>
      </w:tr>
      <w:tr w:rsidR="00CE0B53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CE0B53" w:rsidRPr="00632C16" w:rsidRDefault="00B02E86" w:rsidP="00673296">
            <w:pPr>
              <w:pStyle w:val="TableText"/>
            </w:pPr>
            <w:r w:rsidRPr="00632C16">
              <w:t xml:space="preserve">Adds definition of marginal employment; </w:t>
            </w:r>
            <w:r w:rsidR="00121980" w:rsidRPr="00632C16">
              <w:t>explains that it is not to be considered su</w:t>
            </w:r>
            <w:r w:rsidRPr="00632C16">
              <w:t xml:space="preserve">bstantially gainful employment; </w:t>
            </w:r>
            <w:r w:rsidR="00121980" w:rsidRPr="00632C16">
              <w:t xml:space="preserve">and explains how to evaluate it in the context of an application for total disability benefits </w:t>
            </w:r>
          </w:p>
        </w:tc>
        <w:tc>
          <w:tcPr>
            <w:tcW w:w="1058" w:type="pct"/>
            <w:shd w:val="clear" w:color="auto" w:fill="auto"/>
          </w:tcPr>
          <w:p w:rsidR="00CE0B53" w:rsidRPr="00632C16" w:rsidRDefault="00121980" w:rsidP="00673296">
            <w:pPr>
              <w:pStyle w:val="TableText"/>
            </w:pPr>
            <w:r w:rsidRPr="00632C16">
              <w:t xml:space="preserve">Subchapter 31.11 </w:t>
            </w:r>
          </w:p>
        </w:tc>
      </w:tr>
      <w:tr w:rsidR="00AA3C46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AA3C46" w:rsidRPr="00632C16" w:rsidRDefault="00AA3C46" w:rsidP="00673296">
            <w:pPr>
              <w:pStyle w:val="TableText"/>
            </w:pPr>
            <w:r w:rsidRPr="00632C16">
              <w:t xml:space="preserve">Adds language explaining the nature of sporadic employment, and how to evaluate such employment in an application for total disability benefits </w:t>
            </w:r>
          </w:p>
        </w:tc>
        <w:tc>
          <w:tcPr>
            <w:tcW w:w="1058" w:type="pct"/>
            <w:shd w:val="clear" w:color="auto" w:fill="auto"/>
          </w:tcPr>
          <w:p w:rsidR="00AA3C46" w:rsidRPr="00632C16" w:rsidRDefault="00AA3C46" w:rsidP="00673296">
            <w:pPr>
              <w:pStyle w:val="TableText"/>
            </w:pPr>
            <w:r w:rsidRPr="00632C16">
              <w:t>Subchapter 31.12</w:t>
            </w:r>
          </w:p>
        </w:tc>
      </w:tr>
      <w:tr w:rsidR="00FA30CC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FA30CC" w:rsidRPr="00632C16" w:rsidRDefault="0093483A" w:rsidP="00673296">
            <w:pPr>
              <w:pStyle w:val="TableText"/>
            </w:pPr>
            <w:r w:rsidRPr="00632C16">
              <w:t xml:space="preserve">Explains the concepts of sheltered employment and working to one’s detriment in the context of an evaluation for total disability benefits </w:t>
            </w:r>
          </w:p>
        </w:tc>
        <w:tc>
          <w:tcPr>
            <w:tcW w:w="1058" w:type="pct"/>
            <w:shd w:val="clear" w:color="auto" w:fill="auto"/>
          </w:tcPr>
          <w:p w:rsidR="00FA30CC" w:rsidRPr="00632C16" w:rsidRDefault="0093483A" w:rsidP="00673296">
            <w:pPr>
              <w:pStyle w:val="TableText"/>
            </w:pPr>
            <w:r w:rsidRPr="00632C16">
              <w:t>Subchapter 31.13</w:t>
            </w:r>
          </w:p>
        </w:tc>
      </w:tr>
      <w:tr w:rsidR="00924A7E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924A7E" w:rsidRDefault="000447E0" w:rsidP="00673296">
            <w:pPr>
              <w:pStyle w:val="TableText"/>
            </w:pPr>
            <w:r>
              <w:t>Explains the purpose and goals of VA’s Compensated Work Therapy</w:t>
            </w:r>
            <w:r w:rsidR="00F03742">
              <w:t xml:space="preserve"> (CWT)</w:t>
            </w:r>
            <w:r>
              <w:t xml:space="preserve"> Program</w:t>
            </w:r>
            <w:r w:rsidR="00F03742">
              <w:t xml:space="preserve">; </w:t>
            </w:r>
            <w:r w:rsidR="00F03742" w:rsidRPr="00A25ABF">
              <w:t>explains CWT is not considered substantially gainful employment in the context of an evaluation for total disability benefits</w:t>
            </w:r>
          </w:p>
        </w:tc>
        <w:tc>
          <w:tcPr>
            <w:tcW w:w="1058" w:type="pct"/>
            <w:shd w:val="clear" w:color="auto" w:fill="auto"/>
          </w:tcPr>
          <w:p w:rsidR="00924A7E" w:rsidRDefault="000447E0" w:rsidP="00673296">
            <w:pPr>
              <w:pStyle w:val="TableText"/>
            </w:pPr>
            <w:r>
              <w:t>Subchapter 31.14</w:t>
            </w:r>
          </w:p>
        </w:tc>
      </w:tr>
      <w:tr w:rsidR="006577AD" w:rsidRPr="00632C16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6577AD" w:rsidRPr="00632C16" w:rsidRDefault="00660A97" w:rsidP="00673296">
            <w:pPr>
              <w:pStyle w:val="TableText"/>
            </w:pPr>
            <w:r w:rsidRPr="00632C16">
              <w:t xml:space="preserve">Clarifies that </w:t>
            </w:r>
            <w:r w:rsidR="006577AD" w:rsidRPr="00632C16">
              <w:t xml:space="preserve">to apply for premium waiver, the policy must have been in force on a premium-paying basis prior </w:t>
            </w:r>
            <w:r w:rsidR="001A0B7A" w:rsidRPr="00632C16">
              <w:t>to age 65; explains that for the following</w:t>
            </w:r>
            <w:r w:rsidR="006577AD" w:rsidRPr="00632C16">
              <w:t xml:space="preserve"> po</w:t>
            </w:r>
            <w:r w:rsidR="005E19A5" w:rsidRPr="00632C16">
              <w:t xml:space="preserve">licies (V, J, JR, JS, RS, W) the applicant must provide proof of </w:t>
            </w:r>
            <w:r w:rsidR="001A0B7A" w:rsidRPr="00632C16">
              <w:t xml:space="preserve">either </w:t>
            </w:r>
            <w:r w:rsidR="005E19A5" w:rsidRPr="00632C16">
              <w:t>statutory disability or total disability in effect for at least 6 consecutive months</w:t>
            </w:r>
            <w:r w:rsidR="001A0B7A" w:rsidRPr="00632C16">
              <w:t xml:space="preserve">; for S-DVI policies, the applicant must provide proof of either statutory disability or total disability in effect for at least 6 consecutive months prior to age 65 </w:t>
            </w:r>
          </w:p>
        </w:tc>
        <w:tc>
          <w:tcPr>
            <w:tcW w:w="1058" w:type="pct"/>
            <w:shd w:val="clear" w:color="auto" w:fill="auto"/>
          </w:tcPr>
          <w:p w:rsidR="006577AD" w:rsidRPr="00632C16" w:rsidRDefault="001A0B7A" w:rsidP="00673296">
            <w:pPr>
              <w:pStyle w:val="TableText"/>
            </w:pPr>
            <w:r w:rsidRPr="00632C16">
              <w:t>Subchapter 31.16</w:t>
            </w:r>
          </w:p>
        </w:tc>
      </w:tr>
      <w:tr w:rsidR="00112F16" w:rsidRPr="00632C16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112F16" w:rsidRPr="00632C16" w:rsidRDefault="00112F16" w:rsidP="00112F16">
            <w:pPr>
              <w:pStyle w:val="TableText"/>
            </w:pPr>
            <w:r w:rsidRPr="00632C16">
              <w:t>Explains the process by which a posthumous grant of waiver may be approved; clarifies that a posthumous grant of waiver does not confer entitlement to Supplemental S-DVI coverage; eliminates language regarding Public Law 86-497 and premium waiver on J, JR, or JS policies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112F16" w:rsidRPr="00632C16" w:rsidRDefault="00112F16" w:rsidP="00112F16">
            <w:pPr>
              <w:pStyle w:val="TableText"/>
            </w:pPr>
            <w:r w:rsidRPr="00632C16">
              <w:t>Subchapter 31.16</w:t>
            </w:r>
          </w:p>
        </w:tc>
      </w:tr>
      <w:tr w:rsidR="004F3C75" w:rsidRPr="00632C16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4F3C75" w:rsidRPr="00632C16" w:rsidRDefault="004F3C75" w:rsidP="00112F16">
            <w:pPr>
              <w:pStyle w:val="TableText"/>
            </w:pPr>
            <w:r>
              <w:t xml:space="preserve">Clarifies that VA </w:t>
            </w:r>
            <w:r w:rsidRPr="004F3C75">
              <w:t xml:space="preserve">is on notice of all information either expressly given or implied, when </w:t>
            </w:r>
            <w:proofErr w:type="gramStart"/>
            <w:r w:rsidRPr="004F3C75">
              <w:t>making a decision</w:t>
            </w:r>
            <w:proofErr w:type="gramEnd"/>
            <w:r w:rsidRPr="004F3C75">
              <w:t xml:space="preserve"> on a case; provides examples illustrating concept in relation to insurance decision</w:t>
            </w:r>
          </w:p>
        </w:tc>
        <w:tc>
          <w:tcPr>
            <w:tcW w:w="1058" w:type="pct"/>
            <w:shd w:val="clear" w:color="auto" w:fill="auto"/>
          </w:tcPr>
          <w:p w:rsidR="004F3C75" w:rsidRPr="00632C16" w:rsidRDefault="004F3C75" w:rsidP="00112F16">
            <w:pPr>
              <w:pStyle w:val="TableText"/>
            </w:pPr>
            <w:r w:rsidRPr="00632C16">
              <w:t>Subchapter 31.</w:t>
            </w:r>
            <w:r>
              <w:t>39</w:t>
            </w:r>
          </w:p>
        </w:tc>
      </w:tr>
      <w:tr w:rsidR="004F3C75" w:rsidRPr="00632C16" w:rsidTr="00390574">
        <w:trPr>
          <w:trHeight w:val="180"/>
        </w:trPr>
        <w:tc>
          <w:tcPr>
            <w:tcW w:w="3942" w:type="pct"/>
            <w:shd w:val="clear" w:color="auto" w:fill="auto"/>
          </w:tcPr>
          <w:p w:rsidR="004F3C75" w:rsidRPr="00632C16" w:rsidRDefault="004418E0" w:rsidP="00112F16">
            <w:pPr>
              <w:pStyle w:val="TableText"/>
            </w:pPr>
            <w:r>
              <w:t xml:space="preserve">Explains criteria for applying principles clear and unmistakable error, equitable relief, and benefit of the doubt. </w:t>
            </w:r>
          </w:p>
        </w:tc>
        <w:tc>
          <w:tcPr>
            <w:tcW w:w="1058" w:type="pct"/>
            <w:shd w:val="clear" w:color="auto" w:fill="auto"/>
          </w:tcPr>
          <w:p w:rsidR="004F3C75" w:rsidRPr="00632C16" w:rsidRDefault="004F3C75" w:rsidP="00112F16">
            <w:pPr>
              <w:pStyle w:val="TableText"/>
            </w:pPr>
            <w:r w:rsidRPr="00632C16">
              <w:t>Subchapter 31.</w:t>
            </w:r>
            <w:r>
              <w:t>40</w:t>
            </w:r>
          </w:p>
        </w:tc>
      </w:tr>
    </w:tbl>
    <w:p w:rsidR="0060514F" w:rsidRPr="00632C16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632C16" w:rsidTr="0060514F">
        <w:trPr>
          <w:trHeight w:val="330"/>
        </w:trPr>
        <w:tc>
          <w:tcPr>
            <w:tcW w:w="7380" w:type="dxa"/>
          </w:tcPr>
          <w:p w:rsidR="0060514F" w:rsidRPr="00632C16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632C16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632C16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632C16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632C16" w:rsidTr="00673296">
        <w:trPr>
          <w:trHeight w:val="187"/>
        </w:trPr>
        <w:tc>
          <w:tcPr>
            <w:tcW w:w="7380" w:type="dxa"/>
          </w:tcPr>
          <w:p w:rsidR="0060514F" w:rsidRPr="00632C16" w:rsidRDefault="00A1260C" w:rsidP="00673296">
            <w:r w:rsidRPr="00632C16">
              <w:t xml:space="preserve">Eliminates language regarding amount of income earned from self-employment as no longer relevant to the insurance programs </w:t>
            </w:r>
          </w:p>
        </w:tc>
        <w:tc>
          <w:tcPr>
            <w:tcW w:w="1980" w:type="dxa"/>
          </w:tcPr>
          <w:p w:rsidR="0060514F" w:rsidRPr="00632C16" w:rsidRDefault="00A1260C" w:rsidP="00673296">
            <w:r w:rsidRPr="00632C16">
              <w:t>Subchapter 31.15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32C16" w:rsidRDefault="00B6662A" w:rsidP="00673296">
            <w:r w:rsidRPr="00632C16">
              <w:t xml:space="preserve">Explains the circumstances under which an informal waiver </w:t>
            </w:r>
            <w:r w:rsidR="00F3380F" w:rsidRPr="00632C16">
              <w:t>application for</w:t>
            </w:r>
            <w:r w:rsidR="00CB1771" w:rsidRPr="00632C16">
              <w:t xml:space="preserve"> S-DVI coverage </w:t>
            </w:r>
            <w:r w:rsidRPr="00632C16">
              <w:t>may be processed</w:t>
            </w:r>
            <w:r w:rsidR="00112F16" w:rsidRPr="00632C16">
              <w:t xml:space="preserve"> by the Insurance Center staff</w:t>
            </w:r>
            <w:r w:rsidR="00CB1771" w:rsidRPr="00632C16">
              <w:t xml:space="preserve"> </w:t>
            </w:r>
          </w:p>
        </w:tc>
        <w:tc>
          <w:tcPr>
            <w:tcW w:w="1980" w:type="dxa"/>
          </w:tcPr>
          <w:p w:rsidR="0060514F" w:rsidRPr="0060514F" w:rsidRDefault="007E27F6" w:rsidP="00673296">
            <w:r w:rsidRPr="00632C16">
              <w:t>Subchapter 31.16</w:t>
            </w:r>
          </w:p>
        </w:tc>
      </w:tr>
    </w:tbl>
    <w:p w:rsidR="00CB094A" w:rsidRDefault="00CB094A"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521B2F" w:rsidP="00673296">
            <w:r w:rsidRPr="00632C16">
              <w:lastRenderedPageBreak/>
              <w:t>Clarifies that the term premium-payi</w:t>
            </w:r>
            <w:r w:rsidR="00FF702A" w:rsidRPr="00632C16">
              <w:t>ng basis is applicable to all insurance policies</w:t>
            </w:r>
            <w:r w:rsidRPr="00632C16">
              <w:t>; explains that premium waiver may be granted on S-DVI policies even if the tota</w:t>
            </w:r>
            <w:r w:rsidR="00FF702A" w:rsidRPr="00632C16">
              <w:t>l disability began prior to the policy’s effective date;</w:t>
            </w:r>
            <w:r w:rsidR="00FF702A">
              <w:t xml:space="preserve"> eliminates language r</w:t>
            </w:r>
            <w:r w:rsidR="00F3380F">
              <w:t>eferencing</w:t>
            </w:r>
            <w:r w:rsidR="00FF702A">
              <w:t xml:space="preserve"> insurance issued prior to August 1, 1946 </w:t>
            </w:r>
            <w:r w:rsidR="00F41043" w:rsidRPr="00A25ABF">
              <w:t>and insurance on aviation students and cadets</w:t>
            </w:r>
            <w:r w:rsidR="00F41043">
              <w:t xml:space="preserve"> </w:t>
            </w:r>
            <w:r w:rsidR="00FF702A">
              <w:t xml:space="preserve">as no longer applicable to the insurance programs </w:t>
            </w:r>
          </w:p>
        </w:tc>
        <w:tc>
          <w:tcPr>
            <w:tcW w:w="1980" w:type="dxa"/>
          </w:tcPr>
          <w:p w:rsidR="0060514F" w:rsidRPr="0060514F" w:rsidRDefault="004A1B87" w:rsidP="00673296">
            <w:r>
              <w:t>Subchapter 3</w:t>
            </w:r>
            <w:r w:rsidR="002A04E8">
              <w:t>1.17</w:t>
            </w:r>
          </w:p>
        </w:tc>
      </w:tr>
      <w:tr w:rsidR="00D17E07" w:rsidRPr="004221F2" w:rsidTr="00673296">
        <w:trPr>
          <w:trHeight w:val="187"/>
        </w:trPr>
        <w:tc>
          <w:tcPr>
            <w:tcW w:w="7380" w:type="dxa"/>
          </w:tcPr>
          <w:p w:rsidR="00D17E07" w:rsidRDefault="00D17E07" w:rsidP="00673296">
            <w:r>
              <w:t>Explains that if a waiver application is not submitted at time of</w:t>
            </w:r>
            <w:r w:rsidR="0034168A">
              <w:t xml:space="preserve"> claim, it can still be</w:t>
            </w:r>
            <w:r>
              <w:t xml:space="preserve"> submitted </w:t>
            </w:r>
            <w:r w:rsidR="0034168A">
              <w:t xml:space="preserve">later </w:t>
            </w:r>
            <w:r w:rsidRPr="00A25ABF">
              <w:t xml:space="preserve">by the </w:t>
            </w:r>
            <w:r w:rsidR="000B3289" w:rsidRPr="00A25ABF">
              <w:t>beneficiary under the requirements in 31.16</w:t>
            </w:r>
            <w:r>
              <w:t xml:space="preserve"> </w:t>
            </w:r>
          </w:p>
        </w:tc>
        <w:tc>
          <w:tcPr>
            <w:tcW w:w="1980" w:type="dxa"/>
          </w:tcPr>
          <w:p w:rsidR="00D17E07" w:rsidRDefault="00D17E07" w:rsidP="00673296">
            <w:r>
              <w:t>Subchapter 31.18</w:t>
            </w:r>
          </w:p>
        </w:tc>
      </w:tr>
      <w:tr w:rsidR="004E3EAF" w:rsidRPr="004221F2" w:rsidTr="00673296">
        <w:trPr>
          <w:trHeight w:val="187"/>
        </w:trPr>
        <w:tc>
          <w:tcPr>
            <w:tcW w:w="7380" w:type="dxa"/>
          </w:tcPr>
          <w:p w:rsidR="004E3EAF" w:rsidRPr="00632C16" w:rsidRDefault="004E3EAF" w:rsidP="00673296">
            <w:r w:rsidRPr="00632C16">
              <w:t>Explains that the date of correspondence from the insured or his legal representative will be used to determine the timeless of a claim for disability benefits;</w:t>
            </w:r>
            <w:r w:rsidR="007A28F4" w:rsidRPr="00632C16">
              <w:t xml:space="preserve"> a</w:t>
            </w:r>
            <w:r w:rsidR="00F3380F" w:rsidRPr="00632C16">
              <w:t>dds Note</w:t>
            </w:r>
            <w:r w:rsidR="001D5974" w:rsidRPr="00632C16">
              <w:t xml:space="preserve"> that explains a valid application may also be submitted via email or the insurance web site; </w:t>
            </w:r>
            <w:r w:rsidR="007A28F4" w:rsidRPr="00632C16">
              <w:t xml:space="preserve">explains that a signature by either the applicant or his representative is not required if the intent to apply for the disability benefit is clear; adds Note that no signature is </w:t>
            </w:r>
            <w:r w:rsidR="00C25A55" w:rsidRPr="00632C16">
              <w:t xml:space="preserve">required for an application submitted via the web site; </w:t>
            </w:r>
            <w:r w:rsidR="00FC354E" w:rsidRPr="00632C16">
              <w:t xml:space="preserve">eliminates language regarding outdated disability application forms; explains that when an insured applies for disability benefits, it will apply to all in force policies, with the exception of Supplemental S-DVI policies </w:t>
            </w:r>
          </w:p>
        </w:tc>
        <w:tc>
          <w:tcPr>
            <w:tcW w:w="1980" w:type="dxa"/>
          </w:tcPr>
          <w:p w:rsidR="004E3EAF" w:rsidRPr="00632C16" w:rsidRDefault="00423A20" w:rsidP="00673296">
            <w:r w:rsidRPr="00632C16">
              <w:t>Subchapter 3</w:t>
            </w:r>
            <w:r w:rsidR="004E3EAF" w:rsidRPr="00632C16">
              <w:t>1.19</w:t>
            </w:r>
          </w:p>
        </w:tc>
      </w:tr>
      <w:tr w:rsidR="009B04F2" w:rsidRPr="004221F2" w:rsidTr="00673296">
        <w:trPr>
          <w:trHeight w:val="187"/>
        </w:trPr>
        <w:tc>
          <w:tcPr>
            <w:tcW w:w="7380" w:type="dxa"/>
          </w:tcPr>
          <w:p w:rsidR="009B04F2" w:rsidRPr="00632C16" w:rsidRDefault="00423A20" w:rsidP="00673296">
            <w:r w:rsidRPr="00632C16">
              <w:t xml:space="preserve">Clarifies that </w:t>
            </w:r>
            <w:r w:rsidR="00051075" w:rsidRPr="00632C16">
              <w:t xml:space="preserve">the maximum amount of a </w:t>
            </w:r>
            <w:r w:rsidRPr="00632C16">
              <w:t>premium refund—for both living and deceased insureds—cannot be greater than one year of back premiums from the date of the application for waiver</w:t>
            </w:r>
          </w:p>
        </w:tc>
        <w:tc>
          <w:tcPr>
            <w:tcW w:w="1980" w:type="dxa"/>
          </w:tcPr>
          <w:p w:rsidR="009B04F2" w:rsidRPr="00632C16" w:rsidRDefault="00423A20" w:rsidP="00673296">
            <w:r w:rsidRPr="00632C16">
              <w:t>Subchapter 31.20</w:t>
            </w:r>
          </w:p>
        </w:tc>
      </w:tr>
      <w:tr w:rsidR="00423A20" w:rsidRPr="004221F2" w:rsidTr="00673296">
        <w:trPr>
          <w:trHeight w:val="187"/>
        </w:trPr>
        <w:tc>
          <w:tcPr>
            <w:tcW w:w="7380" w:type="dxa"/>
          </w:tcPr>
          <w:p w:rsidR="00423A20" w:rsidRPr="00632C16" w:rsidRDefault="007D46E9" w:rsidP="00673296">
            <w:r w:rsidRPr="00632C16">
              <w:t>Clarifies</w:t>
            </w:r>
            <w:r w:rsidR="00423A20" w:rsidRPr="00632C16">
              <w:t xml:space="preserve"> the definition of evidence that supports a claim for disability benefits</w:t>
            </w:r>
          </w:p>
        </w:tc>
        <w:tc>
          <w:tcPr>
            <w:tcW w:w="1980" w:type="dxa"/>
          </w:tcPr>
          <w:p w:rsidR="00423A20" w:rsidRPr="00632C16" w:rsidRDefault="006750F2" w:rsidP="00673296">
            <w:r w:rsidRPr="00632C16">
              <w:t>Subchapter 31.21</w:t>
            </w:r>
          </w:p>
        </w:tc>
      </w:tr>
      <w:tr w:rsidR="00FA2618" w:rsidRPr="004221F2" w:rsidTr="00673296">
        <w:trPr>
          <w:trHeight w:val="187"/>
        </w:trPr>
        <w:tc>
          <w:tcPr>
            <w:tcW w:w="7380" w:type="dxa"/>
          </w:tcPr>
          <w:p w:rsidR="00FA2618" w:rsidRDefault="00543336" w:rsidP="00673296">
            <w:r w:rsidRPr="00632C16">
              <w:t>Explains the type of documentation that would support a disability benefits application;</w:t>
            </w:r>
            <w:r w:rsidR="00FD788D" w:rsidRPr="00632C16">
              <w:t xml:space="preserve"> explains the type of evidence needed to support an untimely application (such as circumstances beyond the insured’s control or adjudicated evidence of the insured’s incompetency);</w:t>
            </w:r>
            <w:r w:rsidR="00FD788D">
              <w:t xml:space="preserve"> </w:t>
            </w:r>
            <w:r w:rsidR="00271701" w:rsidRPr="00A25ABF">
              <w:t>explains that entitlement to disability benefits can be supported by evidence of a statutory condition</w:t>
            </w:r>
            <w:r w:rsidR="005208F2" w:rsidRPr="00A25ABF">
              <w:t xml:space="preserve">; explains that pertinent evidence means relevant or applicable </w:t>
            </w:r>
            <w:r w:rsidR="00F3380F" w:rsidRPr="00A25ABF">
              <w:t>evidence;</w:t>
            </w:r>
            <w:r w:rsidR="00157B0E" w:rsidRPr="00A25ABF">
              <w:t xml:space="preserve"> exp</w:t>
            </w:r>
            <w:r w:rsidR="00157B0E" w:rsidRPr="00632C16">
              <w:t>lains the circumstances when lay evidence may be considered</w:t>
            </w:r>
            <w:r w:rsidR="00157B0E">
              <w:t xml:space="preserve"> </w:t>
            </w:r>
          </w:p>
        </w:tc>
        <w:tc>
          <w:tcPr>
            <w:tcW w:w="1980" w:type="dxa"/>
          </w:tcPr>
          <w:p w:rsidR="00FA2618" w:rsidRDefault="002068F3" w:rsidP="00673296">
            <w:r>
              <w:t>Subchapter 31.22</w:t>
            </w:r>
          </w:p>
        </w:tc>
      </w:tr>
      <w:tr w:rsidR="005208F2" w:rsidRPr="004221F2" w:rsidTr="00673296">
        <w:trPr>
          <w:trHeight w:val="187"/>
        </w:trPr>
        <w:tc>
          <w:tcPr>
            <w:tcW w:w="7380" w:type="dxa"/>
          </w:tcPr>
          <w:p w:rsidR="005208F2" w:rsidRPr="00632C16" w:rsidRDefault="00EF1537" w:rsidP="00673296">
            <w:r w:rsidRPr="00632C16">
              <w:t>Clarifies that total disability for insurance purposes means that the applicant was unable to perform substantially gainful employment for at least 6 consecutive months</w:t>
            </w:r>
          </w:p>
        </w:tc>
        <w:tc>
          <w:tcPr>
            <w:tcW w:w="1980" w:type="dxa"/>
          </w:tcPr>
          <w:p w:rsidR="005208F2" w:rsidRPr="00632C16" w:rsidRDefault="00EF1537" w:rsidP="00673296">
            <w:r w:rsidRPr="00632C16">
              <w:t xml:space="preserve">Subchapter 31.23 </w:t>
            </w:r>
          </w:p>
        </w:tc>
      </w:tr>
      <w:tr w:rsidR="00881707" w:rsidRPr="004221F2" w:rsidTr="00673296">
        <w:trPr>
          <w:trHeight w:val="187"/>
        </w:trPr>
        <w:tc>
          <w:tcPr>
            <w:tcW w:w="7380" w:type="dxa"/>
          </w:tcPr>
          <w:p w:rsidR="00881707" w:rsidRPr="00A25ABF" w:rsidRDefault="00881707" w:rsidP="00673296">
            <w:r w:rsidRPr="00A25ABF">
              <w:t xml:space="preserve">Explains how </w:t>
            </w:r>
            <w:r w:rsidR="00DA4721" w:rsidRPr="00A25ABF">
              <w:t xml:space="preserve">to </w:t>
            </w:r>
            <w:r w:rsidRPr="00A25ABF">
              <w:t>process an app</w:t>
            </w:r>
            <w:r w:rsidR="00DA4721" w:rsidRPr="00A25ABF">
              <w:t xml:space="preserve">lication in which the evidence indicates the applicant experienced </w:t>
            </w:r>
            <w:r w:rsidRPr="00A25ABF">
              <w:t>multi</w:t>
            </w:r>
            <w:r w:rsidR="00DA4721" w:rsidRPr="00A25ABF">
              <w:t>ple periods of total disability; defines unsuccessful work attempts</w:t>
            </w:r>
            <w:r w:rsidR="00B67EFC" w:rsidRPr="00A25ABF">
              <w:t xml:space="preserve"> and its impact on total disability determinations</w:t>
            </w:r>
          </w:p>
        </w:tc>
        <w:tc>
          <w:tcPr>
            <w:tcW w:w="1980" w:type="dxa"/>
          </w:tcPr>
          <w:p w:rsidR="00881707" w:rsidRPr="00632C16" w:rsidRDefault="00881707" w:rsidP="00673296">
            <w:r w:rsidRPr="00632C16">
              <w:t>Subchapter 31.25</w:t>
            </w:r>
          </w:p>
        </w:tc>
      </w:tr>
      <w:tr w:rsidR="002E62EA" w:rsidRPr="004221F2" w:rsidTr="00673296">
        <w:trPr>
          <w:trHeight w:val="187"/>
        </w:trPr>
        <w:tc>
          <w:tcPr>
            <w:tcW w:w="7380" w:type="dxa"/>
          </w:tcPr>
          <w:p w:rsidR="002E62EA" w:rsidRPr="00A25ABF" w:rsidRDefault="002E62EA" w:rsidP="00673296">
            <w:r w:rsidRPr="00A25ABF">
              <w:t>Explains that the starting date for a disability award is the date on which the first premium is due after the date of d</w:t>
            </w:r>
            <w:r w:rsidR="009E3814" w:rsidRPr="00A25ABF">
              <w:t xml:space="preserve">etermination of total disability; </w:t>
            </w:r>
            <w:r w:rsidR="00530506" w:rsidRPr="00A25ABF">
              <w:t xml:space="preserve">eliminates language regarding effective date of disability award when </w:t>
            </w:r>
            <w:r w:rsidR="00E413AE" w:rsidRPr="00A25ABF">
              <w:t xml:space="preserve">failure to file was outside insured’s control; </w:t>
            </w:r>
            <w:r w:rsidR="009E3814" w:rsidRPr="00A25ABF">
              <w:t xml:space="preserve">eliminates language regarding exchange of an RS insurance policy as no longer applicable to the insurance programs </w:t>
            </w:r>
          </w:p>
        </w:tc>
        <w:tc>
          <w:tcPr>
            <w:tcW w:w="1980" w:type="dxa"/>
          </w:tcPr>
          <w:p w:rsidR="002E62EA" w:rsidRDefault="002E62EA" w:rsidP="00673296">
            <w:r>
              <w:t>Subchapter 31.26</w:t>
            </w:r>
          </w:p>
        </w:tc>
      </w:tr>
      <w:tr w:rsidR="00F16199" w:rsidRPr="004221F2" w:rsidTr="00673296">
        <w:trPr>
          <w:trHeight w:val="187"/>
        </w:trPr>
        <w:tc>
          <w:tcPr>
            <w:tcW w:w="7380" w:type="dxa"/>
          </w:tcPr>
          <w:p w:rsidR="00F16199" w:rsidRPr="00632C16" w:rsidRDefault="00482EDA" w:rsidP="00673296">
            <w:r w:rsidRPr="00632C16">
              <w:t>Explains that in cases of multiple policies the termination of the disability award date may not be th</w:t>
            </w:r>
            <w:r w:rsidR="006434DA" w:rsidRPr="00632C16">
              <w:t>e same date due to premium cycl</w:t>
            </w:r>
            <w:r w:rsidR="00DF7111" w:rsidRPr="00632C16">
              <w:t>ing</w:t>
            </w:r>
          </w:p>
        </w:tc>
        <w:tc>
          <w:tcPr>
            <w:tcW w:w="1980" w:type="dxa"/>
          </w:tcPr>
          <w:p w:rsidR="00F16199" w:rsidRPr="00632C16" w:rsidRDefault="00482EDA" w:rsidP="00673296">
            <w:r w:rsidRPr="00632C16">
              <w:t>Subchapter 31.27</w:t>
            </w:r>
          </w:p>
        </w:tc>
      </w:tr>
    </w:tbl>
    <w:p w:rsidR="00CB094A" w:rsidRDefault="00CB094A"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482EDA" w:rsidRPr="004221F2" w:rsidTr="00673296">
        <w:trPr>
          <w:trHeight w:val="187"/>
        </w:trPr>
        <w:tc>
          <w:tcPr>
            <w:tcW w:w="7380" w:type="dxa"/>
          </w:tcPr>
          <w:p w:rsidR="00482EDA" w:rsidRPr="00632C16" w:rsidRDefault="006434DA" w:rsidP="00673296">
            <w:r w:rsidRPr="00632C16">
              <w:lastRenderedPageBreak/>
              <w:t xml:space="preserve">Explains the time limits under which an applicant will be considered as having failed to cooperate in providing the information needed to support his claim for disability benefits </w:t>
            </w:r>
          </w:p>
        </w:tc>
        <w:tc>
          <w:tcPr>
            <w:tcW w:w="1980" w:type="dxa"/>
          </w:tcPr>
          <w:p w:rsidR="00482EDA" w:rsidRPr="00632C16" w:rsidRDefault="006434DA" w:rsidP="00673296">
            <w:r w:rsidRPr="00632C16">
              <w:t>Subchapter 31.28</w:t>
            </w:r>
          </w:p>
        </w:tc>
      </w:tr>
      <w:tr w:rsidR="00B7434D" w:rsidRPr="004221F2" w:rsidTr="00673296">
        <w:trPr>
          <w:trHeight w:val="187"/>
        </w:trPr>
        <w:tc>
          <w:tcPr>
            <w:tcW w:w="7380" w:type="dxa"/>
          </w:tcPr>
          <w:p w:rsidR="00B7434D" w:rsidRPr="00923979" w:rsidRDefault="006D6909" w:rsidP="00673296">
            <w:pPr>
              <w:rPr>
                <w:highlight w:val="green"/>
              </w:rPr>
            </w:pPr>
            <w:r w:rsidRPr="00632C16">
              <w:t xml:space="preserve">Explains the circumstances under which the disability award </w:t>
            </w:r>
            <w:r w:rsidR="00923979" w:rsidRPr="00632C16">
              <w:t>will remain in effect for insured’s who fail to cooperate with requests for evidence</w:t>
            </w:r>
            <w:r w:rsidRPr="00632C16">
              <w:t xml:space="preserve"> (for example, the insured’s VA record indicates he is unemployable, or adjudicated incompetent)</w:t>
            </w:r>
            <w:r w:rsidR="00923979" w:rsidRPr="00632C16">
              <w:t xml:space="preserve">; </w:t>
            </w:r>
            <w:r w:rsidR="00923979" w:rsidRPr="00A25ABF">
              <w:t>explains that the appeal period is not extended in cases where a disability award is terminated due to failure to cooperate, the insured submits evidence, and a supplemental decision still results in termination of the award.</w:t>
            </w:r>
          </w:p>
        </w:tc>
        <w:tc>
          <w:tcPr>
            <w:tcW w:w="1980" w:type="dxa"/>
          </w:tcPr>
          <w:p w:rsidR="00B7434D" w:rsidRPr="00923979" w:rsidRDefault="006D6909" w:rsidP="00673296">
            <w:pPr>
              <w:rPr>
                <w:highlight w:val="green"/>
              </w:rPr>
            </w:pPr>
            <w:r w:rsidRPr="00632C16">
              <w:t>Subchapter 31.29</w:t>
            </w:r>
          </w:p>
        </w:tc>
      </w:tr>
      <w:tr w:rsidR="00622869" w:rsidRPr="004221F2" w:rsidTr="00673296">
        <w:trPr>
          <w:trHeight w:val="187"/>
        </w:trPr>
        <w:tc>
          <w:tcPr>
            <w:tcW w:w="7380" w:type="dxa"/>
          </w:tcPr>
          <w:p w:rsidR="00622869" w:rsidRPr="00632C16" w:rsidRDefault="00D9311B" w:rsidP="00673296">
            <w:r w:rsidRPr="00632C16">
              <w:t xml:space="preserve">Explains that new and relevant evidence submitted by the applicant either during or after the appeals period may result in a reconsideration of the decision on whether to approve an award of disability </w:t>
            </w:r>
            <w:r w:rsidR="003E5939" w:rsidRPr="00632C16">
              <w:t>benefits</w:t>
            </w:r>
          </w:p>
        </w:tc>
        <w:tc>
          <w:tcPr>
            <w:tcW w:w="1980" w:type="dxa"/>
          </w:tcPr>
          <w:p w:rsidR="00622869" w:rsidRPr="00632C16" w:rsidRDefault="00D9311B" w:rsidP="00673296">
            <w:r w:rsidRPr="00632C16">
              <w:t>Subchapter 31.30</w:t>
            </w:r>
          </w:p>
        </w:tc>
      </w:tr>
      <w:tr w:rsidR="00D9311B" w:rsidRPr="004221F2" w:rsidTr="00673296">
        <w:trPr>
          <w:trHeight w:val="187"/>
        </w:trPr>
        <w:tc>
          <w:tcPr>
            <w:tcW w:w="7380" w:type="dxa"/>
          </w:tcPr>
          <w:p w:rsidR="00D9311B" w:rsidRDefault="00F37918" w:rsidP="00673296">
            <w:r>
              <w:t>Clarifies that all available VA systems and evidence will be examined during a routine review of an insured’s current medical status</w:t>
            </w:r>
            <w:r w:rsidR="005302DE">
              <w:t xml:space="preserve"> to determine </w:t>
            </w:r>
            <w:r w:rsidR="003E5939">
              <w:t>whether to continue</w:t>
            </w:r>
            <w:r w:rsidR="00AD0B93">
              <w:t xml:space="preserve"> </w:t>
            </w:r>
            <w:r w:rsidR="0006514E">
              <w:t>the</w:t>
            </w:r>
            <w:r w:rsidR="00AD0B93">
              <w:t xml:space="preserve"> disability award</w:t>
            </w:r>
            <w:r>
              <w:t>, and additional evidence will only be requested from the insured</w:t>
            </w:r>
            <w:r w:rsidR="00EF7C72">
              <w:t xml:space="preserve">, </w:t>
            </w:r>
            <w:r w:rsidR="00EF7C72" w:rsidRPr="00A25ABF">
              <w:t>if necessary</w:t>
            </w:r>
            <w:r w:rsidR="003A6DA1" w:rsidRPr="00A25ABF">
              <w:t>; removes outdated language referring to a Medical Consultant</w:t>
            </w:r>
          </w:p>
        </w:tc>
        <w:tc>
          <w:tcPr>
            <w:tcW w:w="1980" w:type="dxa"/>
          </w:tcPr>
          <w:p w:rsidR="00D9311B" w:rsidRDefault="00F37918" w:rsidP="00673296">
            <w:r>
              <w:t>Subchapte</w:t>
            </w:r>
            <w:r w:rsidR="00AD0B93">
              <w:t>r</w:t>
            </w:r>
            <w:r>
              <w:t xml:space="preserve"> 31.31</w:t>
            </w:r>
          </w:p>
        </w:tc>
      </w:tr>
      <w:tr w:rsidR="00AD0B93" w:rsidRPr="004221F2" w:rsidTr="00673296">
        <w:trPr>
          <w:trHeight w:val="187"/>
        </w:trPr>
        <w:tc>
          <w:tcPr>
            <w:tcW w:w="7380" w:type="dxa"/>
          </w:tcPr>
          <w:p w:rsidR="00AD0B93" w:rsidRPr="00632C16" w:rsidRDefault="005302DE" w:rsidP="00673296">
            <w:r w:rsidRPr="00632C16">
              <w:t xml:space="preserve">Clarifies that in cases where the total disability award has existed for at least 20 years, that the starting date for the disability will begin on a date determined by either </w:t>
            </w:r>
            <w:r w:rsidR="005F30A7" w:rsidRPr="00632C16">
              <w:t>VA Compensation or</w:t>
            </w:r>
            <w:r w:rsidRPr="00632C16">
              <w:t xml:space="preserve"> Insurance Service</w:t>
            </w:r>
            <w:r w:rsidR="008777AC" w:rsidRPr="00632C16">
              <w:t>, or federal court</w:t>
            </w:r>
          </w:p>
        </w:tc>
        <w:tc>
          <w:tcPr>
            <w:tcW w:w="1980" w:type="dxa"/>
          </w:tcPr>
          <w:p w:rsidR="00AD0B93" w:rsidRPr="00632C16" w:rsidRDefault="005302DE" w:rsidP="00673296">
            <w:r w:rsidRPr="00632C16">
              <w:t>Subchapter 31.32</w:t>
            </w:r>
          </w:p>
        </w:tc>
      </w:tr>
      <w:tr w:rsidR="00C3475E" w:rsidRPr="004221F2" w:rsidTr="00673296">
        <w:trPr>
          <w:trHeight w:val="187"/>
        </w:trPr>
        <w:tc>
          <w:tcPr>
            <w:tcW w:w="7380" w:type="dxa"/>
          </w:tcPr>
          <w:p w:rsidR="00C3475E" w:rsidRPr="00632C16" w:rsidRDefault="0040171A" w:rsidP="00673296">
            <w:r w:rsidRPr="00632C16">
              <w:t xml:space="preserve">Eliminates prior subchapters </w:t>
            </w:r>
            <w:r w:rsidR="009552EA" w:rsidRPr="00632C16">
              <w:t>referencing requirements pertaining to the approval of Total Dis</w:t>
            </w:r>
            <w:r w:rsidR="00ED2522" w:rsidRPr="00632C16">
              <w:t xml:space="preserve">ability Income Provision (TDIP) awards as no longer relevant to the insurance programs </w:t>
            </w:r>
          </w:p>
        </w:tc>
        <w:tc>
          <w:tcPr>
            <w:tcW w:w="1980" w:type="dxa"/>
          </w:tcPr>
          <w:p w:rsidR="00C3475E" w:rsidRPr="00632C16" w:rsidRDefault="00595EB3" w:rsidP="00673296">
            <w:r w:rsidRPr="00632C16">
              <w:t xml:space="preserve">Previous </w:t>
            </w:r>
            <w:r w:rsidR="00ED2522" w:rsidRPr="00632C16">
              <w:t>Subchapters 31.33—31.36</w:t>
            </w:r>
          </w:p>
        </w:tc>
      </w:tr>
      <w:tr w:rsidR="00374110" w:rsidRPr="004221F2" w:rsidTr="00673296">
        <w:trPr>
          <w:trHeight w:val="187"/>
        </w:trPr>
        <w:tc>
          <w:tcPr>
            <w:tcW w:w="7380" w:type="dxa"/>
          </w:tcPr>
          <w:p w:rsidR="00374110" w:rsidRPr="00A25ABF" w:rsidRDefault="00374110" w:rsidP="00673296">
            <w:r w:rsidRPr="00A25ABF">
              <w:t>Eliminates reference to TDIP under 38 USC 1981 as no longer applicable to the insurance program</w:t>
            </w:r>
          </w:p>
        </w:tc>
        <w:tc>
          <w:tcPr>
            <w:tcW w:w="1980" w:type="dxa"/>
          </w:tcPr>
          <w:p w:rsidR="00374110" w:rsidRPr="00A25ABF" w:rsidRDefault="00374110" w:rsidP="00673296">
            <w:r w:rsidRPr="00A25ABF">
              <w:t>New Subchapter 31.33</w:t>
            </w:r>
          </w:p>
        </w:tc>
      </w:tr>
      <w:tr w:rsidR="00ED2522" w:rsidRPr="004221F2" w:rsidTr="00673296">
        <w:trPr>
          <w:trHeight w:val="187"/>
        </w:trPr>
        <w:tc>
          <w:tcPr>
            <w:tcW w:w="7380" w:type="dxa"/>
          </w:tcPr>
          <w:p w:rsidR="00ED2522" w:rsidRDefault="00ED2522" w:rsidP="00673296">
            <w:r w:rsidRPr="00A25ABF">
              <w:t>Eliminates language</w:t>
            </w:r>
            <w:r w:rsidR="00761C4F" w:rsidRPr="00A25ABF">
              <w:t xml:space="preserve"> </w:t>
            </w:r>
            <w:r w:rsidRPr="00A25ABF">
              <w:t xml:space="preserve">referencing </w:t>
            </w:r>
            <w:r w:rsidR="006E5645" w:rsidRPr="00A25ABF">
              <w:t>the in-service waiver</w:t>
            </w:r>
            <w:r w:rsidRPr="00A25ABF">
              <w:t xml:space="preserve"> </w:t>
            </w:r>
            <w:r w:rsidR="006E5645" w:rsidRPr="00A25ABF">
              <w:t xml:space="preserve">of premiums </w:t>
            </w:r>
            <w:r w:rsidRPr="00A25ABF">
              <w:t>as no longer appli</w:t>
            </w:r>
            <w:r w:rsidR="006E5645" w:rsidRPr="00A25ABF">
              <w:t xml:space="preserve">cable to the insurance programs; eliminates redundant language on </w:t>
            </w:r>
            <w:r w:rsidR="00246C7C" w:rsidRPr="00A25ABF">
              <w:t>claims for waiver after the death of the insured</w:t>
            </w:r>
          </w:p>
        </w:tc>
        <w:tc>
          <w:tcPr>
            <w:tcW w:w="1980" w:type="dxa"/>
          </w:tcPr>
          <w:p w:rsidR="00ED2522" w:rsidRDefault="00374110" w:rsidP="00673296">
            <w:r>
              <w:t>Prior</w:t>
            </w:r>
            <w:r w:rsidR="00595EB3">
              <w:t xml:space="preserve"> </w:t>
            </w:r>
            <w:r>
              <w:t>Subchapter 31.38</w:t>
            </w:r>
          </w:p>
        </w:tc>
      </w:tr>
      <w:tr w:rsidR="00595EB3" w:rsidRPr="004221F2" w:rsidTr="00673296">
        <w:trPr>
          <w:trHeight w:val="187"/>
        </w:trPr>
        <w:tc>
          <w:tcPr>
            <w:tcW w:w="7380" w:type="dxa"/>
          </w:tcPr>
          <w:p w:rsidR="00595EB3" w:rsidRPr="00632C16" w:rsidRDefault="00595EB3" w:rsidP="00673296">
            <w:r w:rsidRPr="00632C16">
              <w:t xml:space="preserve">Clarifies that a finding of incompetency by the insured primarily involves issues of financial competency (able to handle finances); </w:t>
            </w:r>
            <w:r w:rsidR="004244B6" w:rsidRPr="00632C16">
              <w:t>a previous finding of incompetency will be considered valid in the absence of evidence that the insured has subsequently recovered</w:t>
            </w:r>
          </w:p>
        </w:tc>
        <w:tc>
          <w:tcPr>
            <w:tcW w:w="1980" w:type="dxa"/>
          </w:tcPr>
          <w:p w:rsidR="00595EB3" w:rsidRPr="00632C16" w:rsidRDefault="004244B6" w:rsidP="00673296">
            <w:r w:rsidRPr="00632C16">
              <w:t>New Subchapter 31.34</w:t>
            </w:r>
          </w:p>
        </w:tc>
      </w:tr>
      <w:tr w:rsidR="004244B6" w:rsidRPr="004221F2" w:rsidTr="00673296">
        <w:trPr>
          <w:trHeight w:val="187"/>
        </w:trPr>
        <w:tc>
          <w:tcPr>
            <w:tcW w:w="7380" w:type="dxa"/>
          </w:tcPr>
          <w:p w:rsidR="004244B6" w:rsidRPr="00632C16" w:rsidRDefault="004244B6" w:rsidP="00673296">
            <w:r w:rsidRPr="00632C16">
              <w:t xml:space="preserve">Eliminates reference to incontestability provisions regarding USGLI or War Risk Insurance policies as no longer applicable to the insurance programs </w:t>
            </w:r>
          </w:p>
        </w:tc>
        <w:tc>
          <w:tcPr>
            <w:tcW w:w="1980" w:type="dxa"/>
          </w:tcPr>
          <w:p w:rsidR="004244B6" w:rsidRPr="00632C16" w:rsidRDefault="00761C4F" w:rsidP="00673296">
            <w:r w:rsidRPr="00632C16">
              <w:t xml:space="preserve">New </w:t>
            </w:r>
            <w:r w:rsidR="004244B6" w:rsidRPr="00632C16">
              <w:t>Subchapter 31.35</w:t>
            </w:r>
          </w:p>
        </w:tc>
      </w:tr>
      <w:tr w:rsidR="00C20D30" w:rsidRPr="004221F2" w:rsidTr="00673296">
        <w:trPr>
          <w:trHeight w:val="187"/>
        </w:trPr>
        <w:tc>
          <w:tcPr>
            <w:tcW w:w="7380" w:type="dxa"/>
          </w:tcPr>
          <w:p w:rsidR="00C20D30" w:rsidRPr="00A25ABF" w:rsidRDefault="00C20D30" w:rsidP="00673296">
            <w:r w:rsidRPr="00A25ABF">
              <w:t>Eliminates language indicating that a finding of fraud should only be made if the government could assert a defense of fraud in a court of law</w:t>
            </w:r>
          </w:p>
        </w:tc>
        <w:tc>
          <w:tcPr>
            <w:tcW w:w="1980" w:type="dxa"/>
          </w:tcPr>
          <w:p w:rsidR="00C20D30" w:rsidRPr="00A25ABF" w:rsidRDefault="00C20D30" w:rsidP="00673296">
            <w:r w:rsidRPr="00A25ABF">
              <w:t>New Subchapter 31.37</w:t>
            </w:r>
          </w:p>
        </w:tc>
      </w:tr>
      <w:tr w:rsidR="00E1777F" w:rsidRPr="004221F2" w:rsidTr="00673296">
        <w:trPr>
          <w:trHeight w:val="187"/>
        </w:trPr>
        <w:tc>
          <w:tcPr>
            <w:tcW w:w="7380" w:type="dxa"/>
          </w:tcPr>
          <w:p w:rsidR="00E1777F" w:rsidRPr="00A25ABF" w:rsidRDefault="00E1777F" w:rsidP="00673296">
            <w:r w:rsidRPr="00A25ABF">
              <w:t>Eliminates the criteria of “detriment” for fraud determinations</w:t>
            </w:r>
          </w:p>
        </w:tc>
        <w:tc>
          <w:tcPr>
            <w:tcW w:w="1980" w:type="dxa"/>
          </w:tcPr>
          <w:p w:rsidR="00E1777F" w:rsidRPr="00A25ABF" w:rsidRDefault="00E1777F" w:rsidP="00673296">
            <w:r w:rsidRPr="00A25ABF">
              <w:t>New Subchapter 31.38</w:t>
            </w:r>
          </w:p>
        </w:tc>
      </w:tr>
      <w:tr w:rsidR="00F73BF0" w:rsidRPr="004221F2" w:rsidTr="00673296">
        <w:trPr>
          <w:trHeight w:val="187"/>
        </w:trPr>
        <w:tc>
          <w:tcPr>
            <w:tcW w:w="7380" w:type="dxa"/>
          </w:tcPr>
          <w:p w:rsidR="00F73BF0" w:rsidRPr="00A25ABF" w:rsidRDefault="00E02A7F" w:rsidP="00673296">
            <w:r w:rsidRPr="00A25ABF">
              <w:t xml:space="preserve">Eliminates language </w:t>
            </w:r>
            <w:r w:rsidR="003C7D70" w:rsidRPr="00A25ABF">
              <w:t>allowing Insurance to not refer for fraud prosecution cases involving doctors or insureds with severe handicaps</w:t>
            </w:r>
            <w:r w:rsidRPr="00A25ABF">
              <w:t xml:space="preserve"> </w:t>
            </w:r>
          </w:p>
        </w:tc>
        <w:tc>
          <w:tcPr>
            <w:tcW w:w="1980" w:type="dxa"/>
          </w:tcPr>
          <w:p w:rsidR="00F73BF0" w:rsidRPr="00A25ABF" w:rsidRDefault="00761C4F" w:rsidP="00673296">
            <w:r w:rsidRPr="00A25ABF">
              <w:t xml:space="preserve">New </w:t>
            </w:r>
            <w:r w:rsidR="00E02A7F" w:rsidRPr="00A25ABF">
              <w:t>Subchapter 31.41</w:t>
            </w:r>
          </w:p>
        </w:tc>
      </w:tr>
      <w:tr w:rsidR="0099435A" w:rsidRPr="004221F2" w:rsidTr="00673296">
        <w:trPr>
          <w:trHeight w:val="187"/>
        </w:trPr>
        <w:tc>
          <w:tcPr>
            <w:tcW w:w="7380" w:type="dxa"/>
          </w:tcPr>
          <w:p w:rsidR="0099435A" w:rsidRDefault="00057964" w:rsidP="00673296">
            <w:r w:rsidRPr="00A25ABF">
              <w:t>Revises the language to address changes in the calculations, transfers, and accounting for extra hazards of military service</w:t>
            </w:r>
          </w:p>
        </w:tc>
        <w:tc>
          <w:tcPr>
            <w:tcW w:w="1980" w:type="dxa"/>
          </w:tcPr>
          <w:p w:rsidR="0099435A" w:rsidRDefault="00761C4F" w:rsidP="00673296">
            <w:r>
              <w:t>New Subchapter 31.42</w:t>
            </w:r>
          </w:p>
        </w:tc>
      </w:tr>
    </w:tbl>
    <w:p w:rsidR="00504F80" w:rsidRDefault="00504F80" w:rsidP="00504F80">
      <w:pPr>
        <w:pStyle w:val="BlockLine"/>
      </w:pPr>
    </w:p>
    <w:p w:rsidR="00CB094A" w:rsidRDefault="00CB094A">
      <w:r>
        <w:rPr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47E0"/>
    <w:rsid w:val="00051075"/>
    <w:rsid w:val="00057964"/>
    <w:rsid w:val="0006514E"/>
    <w:rsid w:val="00093228"/>
    <w:rsid w:val="00095C46"/>
    <w:rsid w:val="000A1A8A"/>
    <w:rsid w:val="000A7776"/>
    <w:rsid w:val="000B3289"/>
    <w:rsid w:val="000E1696"/>
    <w:rsid w:val="000E320F"/>
    <w:rsid w:val="00100433"/>
    <w:rsid w:val="0010215F"/>
    <w:rsid w:val="00106EEF"/>
    <w:rsid w:val="00112F16"/>
    <w:rsid w:val="00120103"/>
    <w:rsid w:val="00121980"/>
    <w:rsid w:val="00123973"/>
    <w:rsid w:val="00124F14"/>
    <w:rsid w:val="001253ED"/>
    <w:rsid w:val="00157B0E"/>
    <w:rsid w:val="00163B8D"/>
    <w:rsid w:val="00176E66"/>
    <w:rsid w:val="00180126"/>
    <w:rsid w:val="00186D46"/>
    <w:rsid w:val="001A0B7A"/>
    <w:rsid w:val="001B3F58"/>
    <w:rsid w:val="001C3AE3"/>
    <w:rsid w:val="001C3EB5"/>
    <w:rsid w:val="001D5974"/>
    <w:rsid w:val="002041BE"/>
    <w:rsid w:val="00205C50"/>
    <w:rsid w:val="002068F3"/>
    <w:rsid w:val="002220F1"/>
    <w:rsid w:val="00237C22"/>
    <w:rsid w:val="00240624"/>
    <w:rsid w:val="00246C7C"/>
    <w:rsid w:val="00264204"/>
    <w:rsid w:val="00270833"/>
    <w:rsid w:val="00271701"/>
    <w:rsid w:val="00271962"/>
    <w:rsid w:val="0027298D"/>
    <w:rsid w:val="002A04E8"/>
    <w:rsid w:val="002A1D3E"/>
    <w:rsid w:val="002B7A7E"/>
    <w:rsid w:val="002C4E00"/>
    <w:rsid w:val="002E62EA"/>
    <w:rsid w:val="002F5B21"/>
    <w:rsid w:val="002F7397"/>
    <w:rsid w:val="00311F26"/>
    <w:rsid w:val="00322C4E"/>
    <w:rsid w:val="00332B80"/>
    <w:rsid w:val="0034168A"/>
    <w:rsid w:val="00341981"/>
    <w:rsid w:val="00354CC5"/>
    <w:rsid w:val="00366D36"/>
    <w:rsid w:val="0037300B"/>
    <w:rsid w:val="00374110"/>
    <w:rsid w:val="00386999"/>
    <w:rsid w:val="00390574"/>
    <w:rsid w:val="003A34E4"/>
    <w:rsid w:val="003A6DA1"/>
    <w:rsid w:val="003B2927"/>
    <w:rsid w:val="003C5698"/>
    <w:rsid w:val="003C7D70"/>
    <w:rsid w:val="003D47AF"/>
    <w:rsid w:val="003E2CA2"/>
    <w:rsid w:val="003E5939"/>
    <w:rsid w:val="003F3021"/>
    <w:rsid w:val="003F6048"/>
    <w:rsid w:val="003F672A"/>
    <w:rsid w:val="0040171A"/>
    <w:rsid w:val="00401EAD"/>
    <w:rsid w:val="0040351B"/>
    <w:rsid w:val="0041026E"/>
    <w:rsid w:val="00421403"/>
    <w:rsid w:val="00422836"/>
    <w:rsid w:val="00423A20"/>
    <w:rsid w:val="004244B6"/>
    <w:rsid w:val="00435BA5"/>
    <w:rsid w:val="00437647"/>
    <w:rsid w:val="004418E0"/>
    <w:rsid w:val="00450FD6"/>
    <w:rsid w:val="00455EF7"/>
    <w:rsid w:val="004562CC"/>
    <w:rsid w:val="00471ECA"/>
    <w:rsid w:val="00476F6C"/>
    <w:rsid w:val="00482EDA"/>
    <w:rsid w:val="00482FA3"/>
    <w:rsid w:val="0048559D"/>
    <w:rsid w:val="004927A7"/>
    <w:rsid w:val="00494175"/>
    <w:rsid w:val="004A0832"/>
    <w:rsid w:val="004A1B87"/>
    <w:rsid w:val="004E3AF3"/>
    <w:rsid w:val="004E3EAF"/>
    <w:rsid w:val="004F375E"/>
    <w:rsid w:val="004F3C75"/>
    <w:rsid w:val="00504F80"/>
    <w:rsid w:val="00506485"/>
    <w:rsid w:val="00513887"/>
    <w:rsid w:val="00513DA7"/>
    <w:rsid w:val="00516C82"/>
    <w:rsid w:val="005208F2"/>
    <w:rsid w:val="00521B2F"/>
    <w:rsid w:val="005238CB"/>
    <w:rsid w:val="00526F0E"/>
    <w:rsid w:val="005302DE"/>
    <w:rsid w:val="00530506"/>
    <w:rsid w:val="00543336"/>
    <w:rsid w:val="0055453E"/>
    <w:rsid w:val="00594258"/>
    <w:rsid w:val="00595EB3"/>
    <w:rsid w:val="005A24DF"/>
    <w:rsid w:val="005A2CCC"/>
    <w:rsid w:val="005C2AD9"/>
    <w:rsid w:val="005D3508"/>
    <w:rsid w:val="005E19A5"/>
    <w:rsid w:val="005E4363"/>
    <w:rsid w:val="005F30A7"/>
    <w:rsid w:val="00600DC7"/>
    <w:rsid w:val="0060514F"/>
    <w:rsid w:val="0062068D"/>
    <w:rsid w:val="00622869"/>
    <w:rsid w:val="006317AA"/>
    <w:rsid w:val="00632C16"/>
    <w:rsid w:val="006401EA"/>
    <w:rsid w:val="006434DA"/>
    <w:rsid w:val="006473C3"/>
    <w:rsid w:val="006577AD"/>
    <w:rsid w:val="00660A97"/>
    <w:rsid w:val="006708D7"/>
    <w:rsid w:val="00673296"/>
    <w:rsid w:val="006750F2"/>
    <w:rsid w:val="006837E0"/>
    <w:rsid w:val="006B24C8"/>
    <w:rsid w:val="006B7262"/>
    <w:rsid w:val="006C3E5F"/>
    <w:rsid w:val="006C48FF"/>
    <w:rsid w:val="006D10E5"/>
    <w:rsid w:val="006D52FE"/>
    <w:rsid w:val="006D54C8"/>
    <w:rsid w:val="006D6909"/>
    <w:rsid w:val="006E5645"/>
    <w:rsid w:val="006E5CBA"/>
    <w:rsid w:val="006F6D37"/>
    <w:rsid w:val="00723E4F"/>
    <w:rsid w:val="00724248"/>
    <w:rsid w:val="00732186"/>
    <w:rsid w:val="00737049"/>
    <w:rsid w:val="00754018"/>
    <w:rsid w:val="00761C4F"/>
    <w:rsid w:val="00793C8D"/>
    <w:rsid w:val="00794D24"/>
    <w:rsid w:val="007A0C5F"/>
    <w:rsid w:val="007A28F4"/>
    <w:rsid w:val="007D46E9"/>
    <w:rsid w:val="007D5B97"/>
    <w:rsid w:val="007E27F6"/>
    <w:rsid w:val="007E5515"/>
    <w:rsid w:val="0080590C"/>
    <w:rsid w:val="008144E7"/>
    <w:rsid w:val="00822A16"/>
    <w:rsid w:val="0086475B"/>
    <w:rsid w:val="00875AFA"/>
    <w:rsid w:val="008777AC"/>
    <w:rsid w:val="00881707"/>
    <w:rsid w:val="0088609E"/>
    <w:rsid w:val="008B4CB5"/>
    <w:rsid w:val="008B795C"/>
    <w:rsid w:val="008C723F"/>
    <w:rsid w:val="008D12C3"/>
    <w:rsid w:val="008D458B"/>
    <w:rsid w:val="008E22CF"/>
    <w:rsid w:val="008E5824"/>
    <w:rsid w:val="008E589A"/>
    <w:rsid w:val="008F14EA"/>
    <w:rsid w:val="008F1D5B"/>
    <w:rsid w:val="00905087"/>
    <w:rsid w:val="00916AE6"/>
    <w:rsid w:val="00923979"/>
    <w:rsid w:val="00924A7E"/>
    <w:rsid w:val="009265CF"/>
    <w:rsid w:val="00933089"/>
    <w:rsid w:val="00933BDB"/>
    <w:rsid w:val="0093483A"/>
    <w:rsid w:val="00945950"/>
    <w:rsid w:val="009552EA"/>
    <w:rsid w:val="009769CD"/>
    <w:rsid w:val="009915D0"/>
    <w:rsid w:val="0099240A"/>
    <w:rsid w:val="0099435A"/>
    <w:rsid w:val="00994639"/>
    <w:rsid w:val="00997D98"/>
    <w:rsid w:val="009B04F2"/>
    <w:rsid w:val="009C22C8"/>
    <w:rsid w:val="009C6B2E"/>
    <w:rsid w:val="009E3814"/>
    <w:rsid w:val="009E5F2A"/>
    <w:rsid w:val="009E6E1A"/>
    <w:rsid w:val="009F5D3B"/>
    <w:rsid w:val="00A01AF7"/>
    <w:rsid w:val="00A1260C"/>
    <w:rsid w:val="00A25ABF"/>
    <w:rsid w:val="00A2703B"/>
    <w:rsid w:val="00A315CB"/>
    <w:rsid w:val="00A3579D"/>
    <w:rsid w:val="00A55356"/>
    <w:rsid w:val="00A557BB"/>
    <w:rsid w:val="00A82DE3"/>
    <w:rsid w:val="00A8520D"/>
    <w:rsid w:val="00AA3C46"/>
    <w:rsid w:val="00AC2993"/>
    <w:rsid w:val="00AC43CF"/>
    <w:rsid w:val="00AD0B93"/>
    <w:rsid w:val="00AD0EDC"/>
    <w:rsid w:val="00AE64CB"/>
    <w:rsid w:val="00AF2CD6"/>
    <w:rsid w:val="00B023CC"/>
    <w:rsid w:val="00B02E86"/>
    <w:rsid w:val="00B0548B"/>
    <w:rsid w:val="00B30D2F"/>
    <w:rsid w:val="00B50AD7"/>
    <w:rsid w:val="00B64F2F"/>
    <w:rsid w:val="00B6662A"/>
    <w:rsid w:val="00B67EFC"/>
    <w:rsid w:val="00B7434D"/>
    <w:rsid w:val="00B858F9"/>
    <w:rsid w:val="00B93A3C"/>
    <w:rsid w:val="00B96287"/>
    <w:rsid w:val="00B9756B"/>
    <w:rsid w:val="00BB3345"/>
    <w:rsid w:val="00BB7DE1"/>
    <w:rsid w:val="00BC0A54"/>
    <w:rsid w:val="00BC4008"/>
    <w:rsid w:val="00BC4A0D"/>
    <w:rsid w:val="00BF7FE3"/>
    <w:rsid w:val="00C0404B"/>
    <w:rsid w:val="00C20D30"/>
    <w:rsid w:val="00C24D50"/>
    <w:rsid w:val="00C25A55"/>
    <w:rsid w:val="00C273AD"/>
    <w:rsid w:val="00C3475E"/>
    <w:rsid w:val="00C56A57"/>
    <w:rsid w:val="00C66266"/>
    <w:rsid w:val="00C72D10"/>
    <w:rsid w:val="00C765C7"/>
    <w:rsid w:val="00CB094A"/>
    <w:rsid w:val="00CB1771"/>
    <w:rsid w:val="00CD2D08"/>
    <w:rsid w:val="00CE0B53"/>
    <w:rsid w:val="00CE1FE8"/>
    <w:rsid w:val="00D17E07"/>
    <w:rsid w:val="00D33A6E"/>
    <w:rsid w:val="00D36508"/>
    <w:rsid w:val="00D524AD"/>
    <w:rsid w:val="00D57B91"/>
    <w:rsid w:val="00D61497"/>
    <w:rsid w:val="00D77146"/>
    <w:rsid w:val="00D823AF"/>
    <w:rsid w:val="00D85377"/>
    <w:rsid w:val="00D873EA"/>
    <w:rsid w:val="00D87741"/>
    <w:rsid w:val="00D9207B"/>
    <w:rsid w:val="00D9311B"/>
    <w:rsid w:val="00DA11C2"/>
    <w:rsid w:val="00DA4721"/>
    <w:rsid w:val="00DB074F"/>
    <w:rsid w:val="00DB2902"/>
    <w:rsid w:val="00DB743E"/>
    <w:rsid w:val="00DC6DFD"/>
    <w:rsid w:val="00DD0301"/>
    <w:rsid w:val="00DD22A9"/>
    <w:rsid w:val="00DE0E35"/>
    <w:rsid w:val="00DF44AC"/>
    <w:rsid w:val="00DF7111"/>
    <w:rsid w:val="00E02A7F"/>
    <w:rsid w:val="00E1777F"/>
    <w:rsid w:val="00E2529E"/>
    <w:rsid w:val="00E36906"/>
    <w:rsid w:val="00E413AE"/>
    <w:rsid w:val="00E51272"/>
    <w:rsid w:val="00E648E9"/>
    <w:rsid w:val="00E67135"/>
    <w:rsid w:val="00E77596"/>
    <w:rsid w:val="00E964FD"/>
    <w:rsid w:val="00ED2522"/>
    <w:rsid w:val="00ED4D5E"/>
    <w:rsid w:val="00ED71C8"/>
    <w:rsid w:val="00EF1537"/>
    <w:rsid w:val="00EF63F4"/>
    <w:rsid w:val="00EF7C72"/>
    <w:rsid w:val="00F006B2"/>
    <w:rsid w:val="00F03742"/>
    <w:rsid w:val="00F077AC"/>
    <w:rsid w:val="00F16199"/>
    <w:rsid w:val="00F3380F"/>
    <w:rsid w:val="00F37918"/>
    <w:rsid w:val="00F41043"/>
    <w:rsid w:val="00F43DFA"/>
    <w:rsid w:val="00F62E3F"/>
    <w:rsid w:val="00F73BF0"/>
    <w:rsid w:val="00F87670"/>
    <w:rsid w:val="00F87F72"/>
    <w:rsid w:val="00F90609"/>
    <w:rsid w:val="00FA2618"/>
    <w:rsid w:val="00FA30CC"/>
    <w:rsid w:val="00FB6AD1"/>
    <w:rsid w:val="00FC354E"/>
    <w:rsid w:val="00FD788D"/>
    <w:rsid w:val="00FF26A6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4ABC7-4E2A-4ECF-8E90-8D0491D1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5</Pages>
  <Words>1902</Words>
  <Characters>10844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2019-09-09T11:27:00Z</dcterms:created>
  <dcterms:modified xsi:type="dcterms:W3CDTF">2019-09-09T11:27:00Z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