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DFB" w:rsidRDefault="002A4DFB" w:rsidP="002A4DFB">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2A4DFB" w:rsidRPr="007A3356" w:rsidRDefault="002A4DFB" w:rsidP="002A4DFB">
      <w:pPr>
        <w:jc w:val="center"/>
        <w:rPr>
          <w:rFonts w:ascii="Verdana" w:eastAsia="Times New Roman" w:hAnsi="Verdana" w:cs="Times New Roman"/>
          <w:b/>
          <w:bCs/>
          <w:color w:val="595959" w:themeColor="text1" w:themeTint="A6"/>
          <w:sz w:val="24"/>
          <w:szCs w:val="20"/>
        </w:rPr>
      </w:pPr>
      <w:r>
        <w:rPr>
          <w:rFonts w:ascii="Verdana" w:eastAsia="Times New Roman" w:hAnsi="Verdana" w:cs="Times New Roman"/>
          <w:b/>
          <w:bCs/>
          <w:color w:val="676767"/>
          <w:sz w:val="24"/>
          <w:szCs w:val="20"/>
        </w:rPr>
        <w:t xml:space="preserve">Chapter 15 – </w:t>
      </w:r>
      <w:r w:rsidRPr="007A3356">
        <w:rPr>
          <w:rFonts w:ascii="Verdana" w:eastAsia="Times New Roman" w:hAnsi="Verdana" w:cs="Times New Roman"/>
          <w:b/>
          <w:bCs/>
          <w:color w:val="595959" w:themeColor="text1" w:themeTint="A6"/>
          <w:sz w:val="24"/>
          <w:szCs w:val="20"/>
        </w:rPr>
        <w:t>A</w:t>
      </w:r>
      <w:r>
        <w:rPr>
          <w:rFonts w:ascii="Verdana" w:eastAsia="Times New Roman" w:hAnsi="Verdana" w:cs="Times New Roman"/>
          <w:b/>
          <w:bCs/>
          <w:color w:val="595959" w:themeColor="text1" w:themeTint="A6"/>
          <w:sz w:val="24"/>
          <w:szCs w:val="20"/>
        </w:rPr>
        <w:t>RH</w:t>
      </w:r>
      <w:r w:rsidRPr="007A3356">
        <w:rPr>
          <w:rFonts w:ascii="Verdana" w:eastAsia="Times New Roman" w:hAnsi="Verdana" w:cs="Times New Roman"/>
          <w:b/>
          <w:bCs/>
          <w:color w:val="595959" w:themeColor="text1" w:themeTint="A6"/>
          <w:sz w:val="24"/>
          <w:szCs w:val="20"/>
        </w:rPr>
        <w:t xml:space="preserve"> Insurance (38 U.S.C. 1922(b))</w:t>
      </w:r>
    </w:p>
    <w:tbl>
      <w:tblPr>
        <w:tblStyle w:val="TableGrid"/>
        <w:tblW w:w="0" w:type="auto"/>
        <w:tblInd w:w="0" w:type="dxa"/>
        <w:tblLook w:val="04A0" w:firstRow="1" w:lastRow="0" w:firstColumn="1" w:lastColumn="0" w:noHBand="0" w:noVBand="1"/>
      </w:tblPr>
      <w:tblGrid>
        <w:gridCol w:w="4788"/>
        <w:gridCol w:w="4788"/>
      </w:tblGrid>
      <w:tr w:rsidR="002A4DFB" w:rsidTr="00B9732A">
        <w:trPr>
          <w:trHeight w:val="368"/>
        </w:trPr>
        <w:tc>
          <w:tcPr>
            <w:tcW w:w="4788" w:type="dxa"/>
            <w:tcBorders>
              <w:top w:val="single" w:sz="4" w:space="0" w:color="auto"/>
              <w:left w:val="single" w:sz="4" w:space="0" w:color="auto"/>
              <w:bottom w:val="single" w:sz="4" w:space="0" w:color="auto"/>
              <w:right w:val="single" w:sz="4" w:space="0" w:color="auto"/>
            </w:tcBorders>
            <w:hideMark/>
          </w:tcPr>
          <w:p w:rsidR="002A4DFB" w:rsidRDefault="002A4DFB" w:rsidP="00B9732A">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2A4DFB" w:rsidRDefault="002A4DFB" w:rsidP="00B9732A">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2A4DFB" w:rsidTr="00B9732A">
        <w:trPr>
          <w:trHeight w:val="350"/>
        </w:trPr>
        <w:tc>
          <w:tcPr>
            <w:tcW w:w="4788" w:type="dxa"/>
            <w:tcBorders>
              <w:top w:val="single" w:sz="4" w:space="0" w:color="auto"/>
              <w:left w:val="single" w:sz="4" w:space="0" w:color="auto"/>
              <w:bottom w:val="single" w:sz="4" w:space="0" w:color="auto"/>
              <w:right w:val="single" w:sz="4" w:space="0" w:color="auto"/>
            </w:tcBorders>
          </w:tcPr>
          <w:p w:rsidR="002A4DFB" w:rsidRDefault="006D0D56"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15.01</w:t>
            </w:r>
          </w:p>
        </w:tc>
        <w:tc>
          <w:tcPr>
            <w:tcW w:w="4788" w:type="dxa"/>
            <w:tcBorders>
              <w:top w:val="single" w:sz="4" w:space="0" w:color="auto"/>
              <w:left w:val="single" w:sz="4" w:space="0" w:color="auto"/>
              <w:bottom w:val="single" w:sz="4" w:space="0" w:color="auto"/>
              <w:right w:val="single" w:sz="4" w:space="0" w:color="auto"/>
            </w:tcBorders>
          </w:tcPr>
          <w:p w:rsidR="002A4DFB" w:rsidRDefault="006D0D56"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2A4DFB" w:rsidTr="00B9732A">
        <w:tc>
          <w:tcPr>
            <w:tcW w:w="4788" w:type="dxa"/>
            <w:tcBorders>
              <w:top w:val="single" w:sz="4" w:space="0" w:color="auto"/>
              <w:left w:val="single" w:sz="4" w:space="0" w:color="auto"/>
              <w:bottom w:val="single" w:sz="4" w:space="0" w:color="auto"/>
              <w:right w:val="single" w:sz="4" w:space="0" w:color="auto"/>
            </w:tcBorders>
          </w:tcPr>
          <w:p w:rsidR="002A4DFB" w:rsidRPr="007A5F80" w:rsidRDefault="006D0D56"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15.02</w:t>
            </w:r>
          </w:p>
        </w:tc>
        <w:tc>
          <w:tcPr>
            <w:tcW w:w="4788" w:type="dxa"/>
            <w:tcBorders>
              <w:top w:val="single" w:sz="4" w:space="0" w:color="auto"/>
              <w:left w:val="single" w:sz="4" w:space="0" w:color="auto"/>
              <w:bottom w:val="single" w:sz="4" w:space="0" w:color="auto"/>
              <w:right w:val="single" w:sz="4" w:space="0" w:color="auto"/>
            </w:tcBorders>
          </w:tcPr>
          <w:p w:rsidR="002A4DFB" w:rsidRPr="007A5F80" w:rsidRDefault="006D0D56"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Requirements</w:t>
            </w:r>
          </w:p>
        </w:tc>
      </w:tr>
      <w:tr w:rsidR="002A4DFB" w:rsidTr="00B9732A">
        <w:tc>
          <w:tcPr>
            <w:tcW w:w="4788" w:type="dxa"/>
            <w:tcBorders>
              <w:top w:val="single" w:sz="4" w:space="0" w:color="auto"/>
              <w:left w:val="single" w:sz="4" w:space="0" w:color="auto"/>
              <w:bottom w:val="single" w:sz="4" w:space="0" w:color="auto"/>
              <w:right w:val="single" w:sz="4" w:space="0" w:color="auto"/>
            </w:tcBorders>
          </w:tcPr>
          <w:p w:rsidR="002A4DFB" w:rsidRPr="006D0D56" w:rsidRDefault="006D0D56" w:rsidP="00B9732A">
            <w:pPr>
              <w:rPr>
                <w:rFonts w:ascii="Verdana" w:eastAsia="Times New Roman" w:hAnsi="Verdana" w:cs="Times New Roman"/>
                <w:bCs/>
                <w:color w:val="676767"/>
                <w:sz w:val="24"/>
                <w:szCs w:val="20"/>
              </w:rPr>
            </w:pPr>
            <w:r w:rsidRPr="006D0D56">
              <w:rPr>
                <w:rFonts w:ascii="Verdana" w:eastAsia="Times New Roman" w:hAnsi="Verdana" w:cs="Times New Roman"/>
                <w:bCs/>
                <w:color w:val="676767"/>
                <w:sz w:val="24"/>
                <w:szCs w:val="20"/>
              </w:rPr>
              <w:t>15.03</w:t>
            </w:r>
          </w:p>
        </w:tc>
        <w:tc>
          <w:tcPr>
            <w:tcW w:w="4788" w:type="dxa"/>
            <w:tcBorders>
              <w:top w:val="single" w:sz="4" w:space="0" w:color="auto"/>
              <w:left w:val="single" w:sz="4" w:space="0" w:color="auto"/>
              <w:bottom w:val="single" w:sz="4" w:space="0" w:color="auto"/>
              <w:right w:val="single" w:sz="4" w:space="0" w:color="auto"/>
            </w:tcBorders>
          </w:tcPr>
          <w:p w:rsidR="002A4DFB" w:rsidRPr="006D0D56" w:rsidRDefault="006D0D56" w:rsidP="00B9732A">
            <w:pPr>
              <w:rPr>
                <w:rFonts w:ascii="Verdana" w:eastAsia="Times New Roman" w:hAnsi="Verdana" w:cs="Times New Roman"/>
                <w:bCs/>
                <w:color w:val="676767"/>
                <w:sz w:val="24"/>
                <w:szCs w:val="20"/>
              </w:rPr>
            </w:pPr>
            <w:r w:rsidRPr="006D0D56">
              <w:rPr>
                <w:rFonts w:ascii="Verdana" w:eastAsia="Times New Roman" w:hAnsi="Verdana" w:cs="Times New Roman"/>
                <w:bCs/>
                <w:color w:val="676767"/>
                <w:sz w:val="24"/>
                <w:szCs w:val="20"/>
              </w:rPr>
              <w:t>Amount of Insurance</w:t>
            </w:r>
          </w:p>
        </w:tc>
      </w:tr>
      <w:tr w:rsidR="002A4DFB" w:rsidTr="00B9732A">
        <w:tc>
          <w:tcPr>
            <w:tcW w:w="4788" w:type="dxa"/>
            <w:tcBorders>
              <w:top w:val="single" w:sz="4" w:space="0" w:color="auto"/>
              <w:left w:val="single" w:sz="4" w:space="0" w:color="auto"/>
              <w:bottom w:val="single" w:sz="4" w:space="0" w:color="auto"/>
              <w:right w:val="single" w:sz="4" w:space="0" w:color="auto"/>
            </w:tcBorders>
          </w:tcPr>
          <w:p w:rsidR="002A4DFB" w:rsidRPr="000C1839" w:rsidRDefault="006D0D56"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15.04</w:t>
            </w:r>
          </w:p>
        </w:tc>
        <w:tc>
          <w:tcPr>
            <w:tcW w:w="4788" w:type="dxa"/>
            <w:tcBorders>
              <w:top w:val="single" w:sz="4" w:space="0" w:color="auto"/>
              <w:left w:val="single" w:sz="4" w:space="0" w:color="auto"/>
              <w:bottom w:val="single" w:sz="4" w:space="0" w:color="auto"/>
              <w:right w:val="single" w:sz="4" w:space="0" w:color="auto"/>
            </w:tcBorders>
          </w:tcPr>
          <w:p w:rsidR="002A4DFB" w:rsidRPr="000C1839" w:rsidRDefault="006D0D56"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Effective Date</w:t>
            </w:r>
          </w:p>
        </w:tc>
      </w:tr>
      <w:tr w:rsidR="002A4DFB" w:rsidTr="00B9732A">
        <w:tc>
          <w:tcPr>
            <w:tcW w:w="4788" w:type="dxa"/>
            <w:tcBorders>
              <w:top w:val="single" w:sz="4" w:space="0" w:color="auto"/>
              <w:left w:val="single" w:sz="4" w:space="0" w:color="auto"/>
              <w:bottom w:val="single" w:sz="4" w:space="0" w:color="auto"/>
              <w:right w:val="single" w:sz="4" w:space="0" w:color="auto"/>
            </w:tcBorders>
          </w:tcPr>
          <w:p w:rsidR="002A4DFB" w:rsidRPr="000C1839" w:rsidRDefault="006D0D56"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15.05</w:t>
            </w:r>
          </w:p>
        </w:tc>
        <w:tc>
          <w:tcPr>
            <w:tcW w:w="4788" w:type="dxa"/>
            <w:tcBorders>
              <w:top w:val="single" w:sz="4" w:space="0" w:color="auto"/>
              <w:left w:val="single" w:sz="4" w:space="0" w:color="auto"/>
              <w:bottom w:val="single" w:sz="4" w:space="0" w:color="auto"/>
              <w:right w:val="single" w:sz="4" w:space="0" w:color="auto"/>
            </w:tcBorders>
          </w:tcPr>
          <w:p w:rsidR="002A4DFB" w:rsidRPr="000C1839" w:rsidRDefault="006D0D56"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Beneficiary and Option Selection</w:t>
            </w:r>
          </w:p>
        </w:tc>
      </w:tr>
      <w:tr w:rsidR="002A4DFB" w:rsidTr="00B9732A">
        <w:tc>
          <w:tcPr>
            <w:tcW w:w="4788" w:type="dxa"/>
            <w:tcBorders>
              <w:top w:val="single" w:sz="4" w:space="0" w:color="auto"/>
              <w:left w:val="single" w:sz="4" w:space="0" w:color="auto"/>
              <w:bottom w:val="single" w:sz="4" w:space="0" w:color="auto"/>
              <w:right w:val="single" w:sz="4" w:space="0" w:color="auto"/>
            </w:tcBorders>
          </w:tcPr>
          <w:p w:rsidR="002A4DFB" w:rsidRPr="00533DC7" w:rsidRDefault="006D0D56"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15.06</w:t>
            </w:r>
          </w:p>
        </w:tc>
        <w:tc>
          <w:tcPr>
            <w:tcW w:w="4788" w:type="dxa"/>
            <w:tcBorders>
              <w:top w:val="single" w:sz="4" w:space="0" w:color="auto"/>
              <w:left w:val="single" w:sz="4" w:space="0" w:color="auto"/>
              <w:bottom w:val="single" w:sz="4" w:space="0" w:color="auto"/>
              <w:right w:val="single" w:sz="4" w:space="0" w:color="auto"/>
            </w:tcBorders>
          </w:tcPr>
          <w:p w:rsidR="002A4DFB" w:rsidRPr="00533DC7" w:rsidRDefault="006D0D56" w:rsidP="00B9732A">
            <w:pPr>
              <w:pStyle w:val="para31"/>
              <w:tabs>
                <w:tab w:val="left" w:pos="560"/>
              </w:tabs>
              <w:ind w:firstLine="0"/>
              <w:jc w:val="left"/>
              <w:rPr>
                <w:rFonts w:ascii="Verdana" w:hAnsi="Verdana"/>
                <w:bCs/>
                <w:color w:val="676767"/>
                <w:sz w:val="24"/>
              </w:rPr>
            </w:pPr>
            <w:r>
              <w:rPr>
                <w:rFonts w:ascii="Verdana" w:hAnsi="Verdana"/>
                <w:bCs/>
                <w:color w:val="676767"/>
                <w:sz w:val="24"/>
              </w:rPr>
              <w:t>Issuance</w:t>
            </w:r>
          </w:p>
        </w:tc>
      </w:tr>
    </w:tbl>
    <w:p w:rsidR="002A4DFB" w:rsidRDefault="002A4DFB" w:rsidP="007A3356">
      <w:pPr>
        <w:pStyle w:val="para31"/>
        <w:tabs>
          <w:tab w:val="left" w:pos="560"/>
        </w:tabs>
        <w:ind w:firstLine="0"/>
        <w:rPr>
          <w:rFonts w:ascii="Verdana" w:hAnsi="Verdana"/>
          <w:b/>
          <w:color w:val="595959" w:themeColor="text1" w:themeTint="A6"/>
        </w:rPr>
      </w:pPr>
    </w:p>
    <w:p w:rsidR="007A3356" w:rsidRDefault="007A3356" w:rsidP="006D0D56">
      <w:pPr>
        <w:pStyle w:val="para31"/>
        <w:tabs>
          <w:tab w:val="left" w:pos="560"/>
        </w:tabs>
        <w:ind w:firstLine="0"/>
        <w:jc w:val="left"/>
        <w:rPr>
          <w:rFonts w:ascii="Verdana" w:hAnsi="Verdana"/>
          <w:b/>
          <w:color w:val="595959" w:themeColor="text1" w:themeTint="A6"/>
        </w:rPr>
      </w:pPr>
      <w:r w:rsidRPr="007A3356">
        <w:rPr>
          <w:rFonts w:ascii="Verdana" w:hAnsi="Verdana"/>
          <w:b/>
          <w:color w:val="595959" w:themeColor="text1" w:themeTint="A6"/>
        </w:rPr>
        <w:t xml:space="preserve">15.01 </w:t>
      </w:r>
      <w:r w:rsidR="006D0D56" w:rsidRPr="007A3356">
        <w:rPr>
          <w:rFonts w:ascii="Verdana" w:hAnsi="Verdana"/>
          <w:b/>
          <w:color w:val="595959" w:themeColor="text1" w:themeTint="A6"/>
        </w:rPr>
        <w:t>GENERAL (38 U.S.C. 1922(B))</w:t>
      </w:r>
    </w:p>
    <w:p w:rsidR="007A3356" w:rsidRPr="007A3356" w:rsidRDefault="007A3356" w:rsidP="007A3356">
      <w:pPr>
        <w:pStyle w:val="para31"/>
        <w:tabs>
          <w:tab w:val="left" w:pos="560"/>
        </w:tabs>
        <w:ind w:firstLine="0"/>
        <w:rPr>
          <w:rFonts w:ascii="Verdana" w:hAnsi="Verdana"/>
          <w:b/>
          <w:color w:val="595959" w:themeColor="text1" w:themeTint="A6"/>
        </w:rPr>
      </w:pPr>
    </w:p>
    <w:p w:rsidR="007A3356" w:rsidRPr="007A3356" w:rsidRDefault="007A3356" w:rsidP="006D0D56">
      <w:pPr>
        <w:spacing w:line="240" w:lineRule="auto"/>
        <w:rPr>
          <w:rFonts w:ascii="Verdana" w:hAnsi="Verdana"/>
          <w:color w:val="595959" w:themeColor="text1" w:themeTint="A6"/>
          <w:sz w:val="20"/>
          <w:szCs w:val="20"/>
        </w:rPr>
      </w:pPr>
      <w:r w:rsidRPr="007A3356">
        <w:rPr>
          <w:rFonts w:ascii="Verdana" w:hAnsi="Verdana"/>
          <w:color w:val="595959" w:themeColor="text1" w:themeTint="A6"/>
          <w:sz w:val="20"/>
          <w:szCs w:val="20"/>
        </w:rPr>
        <w:t xml:space="preserve">Any person who, on or after April 25, 1951, was otherwise qualified for insurance under the provisions of 38 U.S.C. 1922(a), but who did not apply for such insurance and who is shown by evidence satisfactory to the Administrator: </w:t>
      </w:r>
    </w:p>
    <w:p w:rsidR="007A3356" w:rsidRDefault="007A3356" w:rsidP="007A3356">
      <w:pPr>
        <w:pStyle w:val="para32"/>
        <w:numPr>
          <w:ilvl w:val="0"/>
          <w:numId w:val="1"/>
        </w:numPr>
        <w:tabs>
          <w:tab w:val="clear" w:pos="560"/>
          <w:tab w:val="left" w:pos="360"/>
        </w:tabs>
        <w:jc w:val="left"/>
        <w:rPr>
          <w:rFonts w:ascii="Verdana" w:hAnsi="Verdana"/>
          <w:color w:val="595959" w:themeColor="text1" w:themeTint="A6"/>
        </w:rPr>
      </w:pPr>
      <w:r w:rsidRPr="007A3356">
        <w:rPr>
          <w:rFonts w:ascii="Verdana" w:hAnsi="Verdana"/>
          <w:color w:val="595959" w:themeColor="text1" w:themeTint="A6"/>
        </w:rPr>
        <w:t>To have been mentally incompetent from a service-connected disability:</w:t>
      </w:r>
    </w:p>
    <w:p w:rsidR="007A3356" w:rsidRPr="007A3356" w:rsidRDefault="007A3356" w:rsidP="007A3356">
      <w:pPr>
        <w:pStyle w:val="para32"/>
        <w:tabs>
          <w:tab w:val="clear" w:pos="560"/>
          <w:tab w:val="left" w:pos="360"/>
        </w:tabs>
        <w:ind w:left="870" w:firstLine="0"/>
        <w:jc w:val="left"/>
        <w:rPr>
          <w:rFonts w:ascii="Verdana" w:hAnsi="Verdana"/>
          <w:color w:val="595959" w:themeColor="text1" w:themeTint="A6"/>
        </w:rPr>
      </w:pPr>
      <w:r w:rsidRPr="007A3356">
        <w:rPr>
          <w:rFonts w:ascii="Verdana" w:hAnsi="Verdana"/>
          <w:color w:val="595959" w:themeColor="text1" w:themeTint="A6"/>
        </w:rPr>
        <w:t xml:space="preserve"> </w:t>
      </w:r>
    </w:p>
    <w:p w:rsidR="007A3356" w:rsidRDefault="007A3356" w:rsidP="00EF5D37">
      <w:pPr>
        <w:pStyle w:val="para32"/>
        <w:numPr>
          <w:ilvl w:val="0"/>
          <w:numId w:val="3"/>
        </w:numPr>
        <w:tabs>
          <w:tab w:val="left" w:pos="1350"/>
        </w:tabs>
        <w:jc w:val="left"/>
        <w:rPr>
          <w:rFonts w:ascii="Verdana" w:hAnsi="Verdana"/>
          <w:color w:val="595959" w:themeColor="text1" w:themeTint="A6"/>
        </w:rPr>
      </w:pPr>
      <w:r w:rsidRPr="007A3356">
        <w:rPr>
          <w:rFonts w:ascii="Verdana" w:hAnsi="Verdana"/>
          <w:color w:val="595959" w:themeColor="text1" w:themeTint="A6"/>
        </w:rPr>
        <w:t xml:space="preserve">At the time of release from active service, or </w:t>
      </w:r>
    </w:p>
    <w:p w:rsidR="007A3356" w:rsidRPr="007A3356" w:rsidRDefault="007A3356" w:rsidP="007A3356">
      <w:pPr>
        <w:pStyle w:val="para32"/>
        <w:tabs>
          <w:tab w:val="left" w:pos="1350"/>
        </w:tabs>
        <w:ind w:left="870" w:firstLine="0"/>
        <w:jc w:val="left"/>
        <w:rPr>
          <w:rFonts w:ascii="Verdana" w:hAnsi="Verdana"/>
          <w:color w:val="595959" w:themeColor="text1" w:themeTint="A6"/>
        </w:rPr>
      </w:pPr>
    </w:p>
    <w:p w:rsidR="007A3356" w:rsidRDefault="007A3356" w:rsidP="00EF5D37">
      <w:pPr>
        <w:pStyle w:val="para32"/>
        <w:numPr>
          <w:ilvl w:val="0"/>
          <w:numId w:val="3"/>
        </w:numPr>
        <w:tabs>
          <w:tab w:val="left" w:pos="1350"/>
        </w:tabs>
        <w:jc w:val="left"/>
        <w:rPr>
          <w:rFonts w:ascii="Verdana" w:hAnsi="Verdana"/>
          <w:color w:val="595959" w:themeColor="text1" w:themeTint="A6"/>
        </w:rPr>
      </w:pPr>
      <w:r w:rsidRPr="007A3356">
        <w:rPr>
          <w:rFonts w:ascii="Verdana" w:hAnsi="Verdana"/>
          <w:color w:val="595959" w:themeColor="text1" w:themeTint="A6"/>
        </w:rPr>
        <w:t xml:space="preserve">During any part of the 2-year period from the date the service connection of a disability is first determined by the VA, or </w:t>
      </w:r>
    </w:p>
    <w:p w:rsidR="00EF5D37" w:rsidRPr="007A3356" w:rsidRDefault="00EF5D37" w:rsidP="00EF5D37">
      <w:pPr>
        <w:pStyle w:val="para32"/>
        <w:tabs>
          <w:tab w:val="left" w:pos="1350"/>
        </w:tabs>
        <w:ind w:firstLine="0"/>
        <w:jc w:val="left"/>
        <w:rPr>
          <w:rFonts w:ascii="Verdana" w:hAnsi="Verdana"/>
          <w:color w:val="595959" w:themeColor="text1" w:themeTint="A6"/>
        </w:rPr>
      </w:pPr>
    </w:p>
    <w:p w:rsidR="007A3356" w:rsidRDefault="007A3356" w:rsidP="00EF5D37">
      <w:pPr>
        <w:pStyle w:val="para32"/>
        <w:numPr>
          <w:ilvl w:val="0"/>
          <w:numId w:val="3"/>
        </w:numPr>
        <w:tabs>
          <w:tab w:val="left" w:pos="1350"/>
        </w:tabs>
        <w:jc w:val="left"/>
        <w:rPr>
          <w:rFonts w:ascii="Verdana" w:hAnsi="Verdana"/>
          <w:color w:val="595959" w:themeColor="text1" w:themeTint="A6"/>
        </w:rPr>
      </w:pPr>
      <w:r w:rsidRPr="007A3356">
        <w:rPr>
          <w:rFonts w:ascii="Verdana" w:hAnsi="Verdana"/>
          <w:color w:val="595959" w:themeColor="text1" w:themeTint="A6"/>
        </w:rPr>
        <w:t xml:space="preserve">After release from active service but is not rated service-connected disabled by the VA until after death; and </w:t>
      </w:r>
    </w:p>
    <w:p w:rsidR="00EF5D37" w:rsidRPr="007A3356" w:rsidRDefault="00EF5D37" w:rsidP="00EF5D37">
      <w:pPr>
        <w:pStyle w:val="para32"/>
        <w:tabs>
          <w:tab w:val="left" w:pos="1350"/>
        </w:tabs>
        <w:ind w:firstLine="0"/>
        <w:jc w:val="left"/>
        <w:rPr>
          <w:rFonts w:ascii="Verdana" w:hAnsi="Verdana"/>
          <w:color w:val="595959" w:themeColor="text1" w:themeTint="A6"/>
        </w:rPr>
      </w:pPr>
    </w:p>
    <w:p w:rsidR="007A3356" w:rsidRPr="007A3356" w:rsidRDefault="007A3356" w:rsidP="007A3356">
      <w:pPr>
        <w:pStyle w:val="para32"/>
        <w:numPr>
          <w:ilvl w:val="0"/>
          <w:numId w:val="1"/>
        </w:numPr>
        <w:tabs>
          <w:tab w:val="clear" w:pos="560"/>
          <w:tab w:val="left" w:pos="360"/>
        </w:tabs>
        <w:jc w:val="left"/>
        <w:rPr>
          <w:rFonts w:ascii="Verdana" w:hAnsi="Verdana"/>
          <w:color w:val="595959" w:themeColor="text1" w:themeTint="A6"/>
        </w:rPr>
      </w:pPr>
      <w:r w:rsidRPr="007A3356">
        <w:rPr>
          <w:rFonts w:ascii="Verdana" w:hAnsi="Verdana"/>
          <w:color w:val="595959" w:themeColor="text1" w:themeTint="A6"/>
        </w:rPr>
        <w:t xml:space="preserve">To have remained continuously so mentally incompetent until date of death; and </w:t>
      </w:r>
    </w:p>
    <w:p w:rsidR="007A3356" w:rsidRDefault="007A3356" w:rsidP="007A3356">
      <w:pPr>
        <w:pStyle w:val="para32"/>
        <w:tabs>
          <w:tab w:val="clear" w:pos="560"/>
          <w:tab w:val="left" w:pos="360"/>
        </w:tabs>
        <w:ind w:left="870" w:firstLine="0"/>
        <w:jc w:val="left"/>
        <w:rPr>
          <w:rFonts w:ascii="Verdana" w:hAnsi="Verdana"/>
          <w:color w:val="595959" w:themeColor="text1" w:themeTint="A6"/>
        </w:rPr>
      </w:pPr>
    </w:p>
    <w:p w:rsidR="007A3356" w:rsidRDefault="007A3356" w:rsidP="007A3356">
      <w:pPr>
        <w:pStyle w:val="para32"/>
        <w:numPr>
          <w:ilvl w:val="0"/>
          <w:numId w:val="1"/>
        </w:numPr>
        <w:tabs>
          <w:tab w:val="clear" w:pos="560"/>
          <w:tab w:val="left" w:pos="360"/>
        </w:tabs>
        <w:jc w:val="left"/>
        <w:rPr>
          <w:rFonts w:ascii="Verdana" w:hAnsi="Verdana"/>
          <w:color w:val="595959" w:themeColor="text1" w:themeTint="A6"/>
        </w:rPr>
      </w:pPr>
      <w:r w:rsidRPr="007A3356">
        <w:rPr>
          <w:rFonts w:ascii="Verdana" w:hAnsi="Verdana"/>
          <w:color w:val="595959" w:themeColor="text1" w:themeTint="A6"/>
        </w:rPr>
        <w:t xml:space="preserve">To have died before the appointment of a guardian, or within 2 years after the appointment of a guardian; shall be deemed to have applied for and to have been granted such insurance as of the date of death. </w:t>
      </w:r>
    </w:p>
    <w:p w:rsidR="007A3356" w:rsidRPr="007A3356" w:rsidRDefault="007A3356" w:rsidP="007A3356">
      <w:pPr>
        <w:pStyle w:val="para32"/>
        <w:tabs>
          <w:tab w:val="clear" w:pos="560"/>
          <w:tab w:val="left" w:pos="360"/>
        </w:tabs>
        <w:ind w:firstLine="0"/>
        <w:jc w:val="left"/>
        <w:rPr>
          <w:rFonts w:ascii="Verdana" w:hAnsi="Verdana"/>
          <w:color w:val="595959" w:themeColor="text1" w:themeTint="A6"/>
        </w:rPr>
      </w:pPr>
    </w:p>
    <w:p w:rsidR="007A3356" w:rsidRPr="007A3356" w:rsidRDefault="007A3356" w:rsidP="007A3356">
      <w:pPr>
        <w:rPr>
          <w:rFonts w:ascii="Verdana" w:hAnsi="Verdana"/>
          <w:color w:val="595959" w:themeColor="text1" w:themeTint="A6"/>
          <w:sz w:val="20"/>
          <w:szCs w:val="20"/>
        </w:rPr>
      </w:pPr>
      <w:r w:rsidRPr="007A3356">
        <w:rPr>
          <w:rFonts w:ascii="Verdana" w:hAnsi="Verdana"/>
          <w:b/>
          <w:color w:val="595959" w:themeColor="text1" w:themeTint="A6"/>
          <w:sz w:val="20"/>
          <w:szCs w:val="20"/>
        </w:rPr>
        <w:t>NOTE</w:t>
      </w:r>
      <w:r w:rsidRPr="007A3356">
        <w:rPr>
          <w:rFonts w:ascii="Verdana" w:hAnsi="Verdana"/>
          <w:color w:val="595959" w:themeColor="text1" w:themeTint="A6"/>
          <w:sz w:val="20"/>
          <w:szCs w:val="20"/>
        </w:rPr>
        <w:t xml:space="preserve">: SRH insurance provided under 38 U.S.C. 1922A cannot be issued to any recipient of ARH insurance. </w:t>
      </w:r>
      <w:r w:rsidR="006D0D56">
        <w:rPr>
          <w:rFonts w:ascii="Verdana" w:hAnsi="Verdana"/>
          <w:color w:val="595959" w:themeColor="text1" w:themeTint="A6"/>
          <w:sz w:val="20"/>
          <w:szCs w:val="20"/>
        </w:rPr>
        <w:t>See</w:t>
      </w:r>
      <w:r w:rsidRPr="007A3356">
        <w:rPr>
          <w:rFonts w:ascii="Verdana" w:hAnsi="Verdana"/>
          <w:color w:val="595959" w:themeColor="text1" w:themeTint="A6"/>
          <w:sz w:val="20"/>
          <w:szCs w:val="20"/>
        </w:rPr>
        <w:t xml:space="preserve"> 38 CFR 8.34</w:t>
      </w:r>
    </w:p>
    <w:p w:rsidR="007A3356" w:rsidRDefault="007A3356" w:rsidP="007A3356">
      <w:pPr>
        <w:pStyle w:val="para31"/>
        <w:tabs>
          <w:tab w:val="left" w:pos="560"/>
        </w:tabs>
        <w:ind w:firstLine="0"/>
        <w:rPr>
          <w:rFonts w:ascii="Verdana" w:hAnsi="Verdana"/>
          <w:color w:val="595959" w:themeColor="text1" w:themeTint="A6"/>
        </w:rPr>
      </w:pPr>
    </w:p>
    <w:p w:rsidR="007A3356" w:rsidRDefault="007A3356" w:rsidP="006D0D56">
      <w:pPr>
        <w:pStyle w:val="para31"/>
        <w:tabs>
          <w:tab w:val="left" w:pos="560"/>
        </w:tabs>
        <w:ind w:firstLine="0"/>
        <w:jc w:val="left"/>
        <w:rPr>
          <w:rFonts w:ascii="Verdana" w:hAnsi="Verdana"/>
          <w:color w:val="595959" w:themeColor="text1" w:themeTint="A6"/>
        </w:rPr>
      </w:pPr>
      <w:r w:rsidRPr="007A3356">
        <w:rPr>
          <w:rFonts w:ascii="Verdana" w:hAnsi="Verdana"/>
          <w:b/>
          <w:color w:val="595959" w:themeColor="text1" w:themeTint="A6"/>
        </w:rPr>
        <w:t>15.02 REQUIREMENTS</w:t>
      </w:r>
    </w:p>
    <w:p w:rsidR="007A3356" w:rsidRPr="007A3356" w:rsidRDefault="007A3356" w:rsidP="007A3356">
      <w:pPr>
        <w:pStyle w:val="para31"/>
        <w:tabs>
          <w:tab w:val="left" w:pos="560"/>
        </w:tabs>
        <w:ind w:firstLine="0"/>
        <w:rPr>
          <w:rFonts w:ascii="Verdana" w:hAnsi="Verdana"/>
          <w:color w:val="595959" w:themeColor="text1" w:themeTint="A6"/>
        </w:rPr>
      </w:pPr>
    </w:p>
    <w:p w:rsidR="007A3356" w:rsidRDefault="007A3356" w:rsidP="006D0D56">
      <w:pPr>
        <w:pStyle w:val="para32"/>
        <w:numPr>
          <w:ilvl w:val="0"/>
          <w:numId w:val="4"/>
        </w:numPr>
        <w:tabs>
          <w:tab w:val="clear" w:pos="560"/>
          <w:tab w:val="left" w:pos="360"/>
        </w:tabs>
        <w:jc w:val="left"/>
        <w:rPr>
          <w:rFonts w:ascii="Verdana" w:hAnsi="Verdana"/>
          <w:color w:val="595959" w:themeColor="text1" w:themeTint="A6"/>
        </w:rPr>
      </w:pPr>
      <w:r w:rsidRPr="00EF5D37">
        <w:rPr>
          <w:rFonts w:ascii="Verdana" w:hAnsi="Verdana"/>
          <w:color w:val="595959" w:themeColor="text1" w:themeTint="A6"/>
        </w:rPr>
        <w:t xml:space="preserve">Submission of a Claim for ARH Insurance Benefits-The claim must be submitted to VA within 2 years after the date of death of the Veteran. Persons shown to be mentally or legally incompetent at the time the right to submit the claim for the insurance benefits expires may submit the claim within 1 year after the removal of such disability. The claim must be submitted by the person who is the legal beneficiary of the Veteran. </w:t>
      </w:r>
    </w:p>
    <w:p w:rsidR="00EF5D37" w:rsidRPr="00EF5D37" w:rsidRDefault="00EF5D37" w:rsidP="00EF5D37">
      <w:pPr>
        <w:pStyle w:val="para32"/>
        <w:tabs>
          <w:tab w:val="clear" w:pos="560"/>
          <w:tab w:val="left" w:pos="360"/>
        </w:tabs>
        <w:ind w:left="870" w:firstLine="0"/>
        <w:jc w:val="left"/>
        <w:rPr>
          <w:rFonts w:ascii="Verdana" w:hAnsi="Verdana"/>
          <w:color w:val="595959" w:themeColor="text1" w:themeTint="A6"/>
        </w:rPr>
      </w:pPr>
    </w:p>
    <w:p w:rsidR="007A3356" w:rsidRDefault="007A3356" w:rsidP="00EF5D37">
      <w:pPr>
        <w:pStyle w:val="para32"/>
        <w:numPr>
          <w:ilvl w:val="0"/>
          <w:numId w:val="4"/>
        </w:numPr>
        <w:tabs>
          <w:tab w:val="clear" w:pos="560"/>
          <w:tab w:val="left" w:pos="360"/>
        </w:tabs>
        <w:jc w:val="left"/>
        <w:rPr>
          <w:rFonts w:ascii="Verdana" w:hAnsi="Verdana"/>
          <w:color w:val="595959" w:themeColor="text1" w:themeTint="A6"/>
        </w:rPr>
      </w:pPr>
      <w:r w:rsidRPr="00EF5D37">
        <w:rPr>
          <w:rFonts w:ascii="Verdana" w:hAnsi="Verdana"/>
          <w:color w:val="595959" w:themeColor="text1" w:themeTint="A6"/>
        </w:rPr>
        <w:t xml:space="preserve">Premium-No payment of premium required. </w:t>
      </w:r>
    </w:p>
    <w:p w:rsidR="00EF5D37" w:rsidRPr="00EF5D37" w:rsidRDefault="00EF5D37" w:rsidP="00EF5D37">
      <w:pPr>
        <w:pStyle w:val="para32"/>
        <w:tabs>
          <w:tab w:val="clear" w:pos="560"/>
          <w:tab w:val="left" w:pos="360"/>
        </w:tabs>
        <w:ind w:left="870" w:firstLine="0"/>
        <w:jc w:val="left"/>
        <w:rPr>
          <w:rFonts w:ascii="Verdana" w:hAnsi="Verdana"/>
          <w:color w:val="595959" w:themeColor="text1" w:themeTint="A6"/>
        </w:rPr>
      </w:pPr>
    </w:p>
    <w:p w:rsidR="007A3356" w:rsidRPr="00EF5D37" w:rsidRDefault="007A3356" w:rsidP="00EF5D37">
      <w:pPr>
        <w:pStyle w:val="para32"/>
        <w:numPr>
          <w:ilvl w:val="0"/>
          <w:numId w:val="4"/>
        </w:numPr>
        <w:tabs>
          <w:tab w:val="clear" w:pos="560"/>
          <w:tab w:val="left" w:pos="360"/>
        </w:tabs>
        <w:jc w:val="left"/>
        <w:rPr>
          <w:rFonts w:ascii="Verdana" w:hAnsi="Verdana"/>
          <w:color w:val="595959" w:themeColor="text1" w:themeTint="A6"/>
        </w:rPr>
      </w:pPr>
      <w:r w:rsidRPr="00EF5D37">
        <w:rPr>
          <w:rFonts w:ascii="Verdana" w:hAnsi="Verdana"/>
          <w:color w:val="595959" w:themeColor="text1" w:themeTint="A6"/>
        </w:rPr>
        <w:lastRenderedPageBreak/>
        <w:t>Date Used for Proof of Good Health-The date to be used for determining whether the Veteran was insurable according to the standards of good health established by VA, except for the service-connected disability, shall be the date of release from active service or the date the Veteran became mentally incompetent, whichever is later.</w:t>
      </w:r>
    </w:p>
    <w:p w:rsidR="007A3356" w:rsidRPr="007A3356" w:rsidRDefault="007A3356" w:rsidP="007A3356">
      <w:pPr>
        <w:rPr>
          <w:rFonts w:ascii="Verdana" w:hAnsi="Verdana"/>
          <w:sz w:val="20"/>
          <w:szCs w:val="20"/>
        </w:rPr>
      </w:pPr>
    </w:p>
    <w:p w:rsidR="007A3356" w:rsidRDefault="007A3356" w:rsidP="006D0D56">
      <w:pPr>
        <w:pStyle w:val="para31"/>
        <w:tabs>
          <w:tab w:val="left" w:pos="560"/>
        </w:tabs>
        <w:ind w:firstLine="0"/>
        <w:jc w:val="left"/>
        <w:rPr>
          <w:rFonts w:ascii="Verdana" w:hAnsi="Verdana"/>
          <w:color w:val="595959" w:themeColor="text1" w:themeTint="A6"/>
        </w:rPr>
      </w:pPr>
      <w:r w:rsidRPr="007A3356">
        <w:rPr>
          <w:rFonts w:ascii="Verdana" w:hAnsi="Verdana"/>
          <w:b/>
          <w:color w:val="595959" w:themeColor="text1" w:themeTint="A6"/>
        </w:rPr>
        <w:t>15.03 AMOUNT OF INSURANCE</w:t>
      </w:r>
    </w:p>
    <w:p w:rsidR="007A3356" w:rsidRPr="007A3356" w:rsidRDefault="007A3356" w:rsidP="007A3356">
      <w:pPr>
        <w:pStyle w:val="para31"/>
        <w:tabs>
          <w:tab w:val="left" w:pos="560"/>
        </w:tabs>
        <w:ind w:firstLine="0"/>
        <w:rPr>
          <w:rFonts w:ascii="Verdana" w:hAnsi="Verdana"/>
          <w:color w:val="595959" w:themeColor="text1" w:themeTint="A6"/>
        </w:rPr>
      </w:pPr>
    </w:p>
    <w:p w:rsidR="007A3356" w:rsidRDefault="007A3356" w:rsidP="006D0D56">
      <w:pPr>
        <w:spacing w:after="0" w:line="240" w:lineRule="auto"/>
        <w:rPr>
          <w:rFonts w:ascii="Verdana" w:hAnsi="Verdana"/>
          <w:color w:val="595959" w:themeColor="text1" w:themeTint="A6"/>
          <w:sz w:val="20"/>
          <w:szCs w:val="20"/>
        </w:rPr>
      </w:pPr>
      <w:r w:rsidRPr="007A3356">
        <w:rPr>
          <w:rFonts w:ascii="Verdana" w:hAnsi="Verdana"/>
          <w:color w:val="595959" w:themeColor="text1" w:themeTint="A6"/>
          <w:sz w:val="20"/>
          <w:szCs w:val="20"/>
        </w:rPr>
        <w:t>ARH will be granted in an amount which, together with any other National Service Life Insurance in force (excluding paid-up additions) on the day of death of the Veteran, shall aggregate $10,000.   Beneficiaries granted ARH are not eligible for additional insurance through Supplemental Service-Disabled Veterans Insurance (SRH).  See 38 CFR 8.34.</w:t>
      </w:r>
    </w:p>
    <w:p w:rsidR="006D0D56" w:rsidRPr="007A3356" w:rsidRDefault="006D0D56" w:rsidP="006D0D56">
      <w:pPr>
        <w:spacing w:line="240" w:lineRule="auto"/>
        <w:rPr>
          <w:rFonts w:ascii="Verdana" w:hAnsi="Verdana"/>
          <w:color w:val="595959" w:themeColor="text1" w:themeTint="A6"/>
          <w:sz w:val="20"/>
          <w:szCs w:val="20"/>
        </w:rPr>
      </w:pPr>
    </w:p>
    <w:p w:rsidR="007A3356" w:rsidRDefault="007A3356" w:rsidP="00845AB1">
      <w:pPr>
        <w:pStyle w:val="para31"/>
        <w:tabs>
          <w:tab w:val="left" w:pos="560"/>
        </w:tabs>
        <w:ind w:firstLine="0"/>
        <w:rPr>
          <w:rFonts w:ascii="Verdana" w:hAnsi="Verdana"/>
          <w:color w:val="595959" w:themeColor="text1" w:themeTint="A6"/>
        </w:rPr>
      </w:pPr>
      <w:r w:rsidRPr="007A3356">
        <w:rPr>
          <w:rFonts w:ascii="Verdana" w:hAnsi="Verdana"/>
          <w:b/>
          <w:color w:val="595959" w:themeColor="text1" w:themeTint="A6"/>
        </w:rPr>
        <w:t xml:space="preserve">15.04 EFFECTIVE DATE  </w:t>
      </w:r>
    </w:p>
    <w:p w:rsidR="007A3356" w:rsidRPr="007A3356" w:rsidRDefault="007A3356" w:rsidP="007A3356">
      <w:pPr>
        <w:pStyle w:val="para31"/>
        <w:tabs>
          <w:tab w:val="left" w:pos="560"/>
        </w:tabs>
        <w:ind w:firstLine="0"/>
        <w:rPr>
          <w:rFonts w:ascii="Verdana" w:hAnsi="Verdana"/>
          <w:b/>
          <w:color w:val="595959" w:themeColor="text1" w:themeTint="A6"/>
        </w:rPr>
      </w:pPr>
      <w:r w:rsidRPr="007A3356">
        <w:rPr>
          <w:rFonts w:ascii="Verdana" w:hAnsi="Verdana"/>
          <w:b/>
          <w:color w:val="595959" w:themeColor="text1" w:themeTint="A6"/>
        </w:rPr>
        <w:t xml:space="preserve"> </w:t>
      </w:r>
    </w:p>
    <w:p w:rsidR="007A3356" w:rsidRPr="007A3356" w:rsidRDefault="007A3356" w:rsidP="00845AB1">
      <w:pPr>
        <w:spacing w:line="240" w:lineRule="auto"/>
        <w:rPr>
          <w:rFonts w:ascii="Verdana" w:hAnsi="Verdana"/>
          <w:color w:val="595959" w:themeColor="text1" w:themeTint="A6"/>
          <w:sz w:val="20"/>
          <w:szCs w:val="20"/>
        </w:rPr>
      </w:pPr>
      <w:r w:rsidRPr="007A3356">
        <w:rPr>
          <w:rFonts w:ascii="Verdana" w:hAnsi="Verdana"/>
          <w:color w:val="595959" w:themeColor="text1" w:themeTint="A6"/>
          <w:sz w:val="20"/>
          <w:szCs w:val="20"/>
        </w:rPr>
        <w:t>The effective date of ARH insurance is the date of death of the veteran.</w:t>
      </w:r>
    </w:p>
    <w:p w:rsidR="007A3356" w:rsidRDefault="007A3356" w:rsidP="007A3356">
      <w:pPr>
        <w:pStyle w:val="para31"/>
        <w:tabs>
          <w:tab w:val="left" w:pos="560"/>
        </w:tabs>
        <w:ind w:firstLine="0"/>
        <w:rPr>
          <w:rFonts w:ascii="Verdana" w:hAnsi="Verdana"/>
          <w:color w:val="595959" w:themeColor="text1" w:themeTint="A6"/>
        </w:rPr>
      </w:pPr>
    </w:p>
    <w:p w:rsidR="007A3356" w:rsidRDefault="007A3356" w:rsidP="006D0D56">
      <w:pPr>
        <w:pStyle w:val="para31"/>
        <w:tabs>
          <w:tab w:val="left" w:pos="560"/>
        </w:tabs>
        <w:ind w:firstLine="0"/>
        <w:jc w:val="left"/>
        <w:rPr>
          <w:rFonts w:ascii="Verdana" w:hAnsi="Verdana"/>
          <w:color w:val="595959" w:themeColor="text1" w:themeTint="A6"/>
        </w:rPr>
      </w:pPr>
      <w:r w:rsidRPr="007A3356">
        <w:rPr>
          <w:rFonts w:ascii="Verdana" w:hAnsi="Verdana"/>
          <w:b/>
          <w:color w:val="595959" w:themeColor="text1" w:themeTint="A6"/>
        </w:rPr>
        <w:t xml:space="preserve">15.05 BENEFICIARY AND OPTION SELECTION </w:t>
      </w:r>
    </w:p>
    <w:p w:rsidR="007A3356" w:rsidRPr="007A3356" w:rsidRDefault="007A3356" w:rsidP="007A3356">
      <w:pPr>
        <w:pStyle w:val="para31"/>
        <w:tabs>
          <w:tab w:val="left" w:pos="560"/>
        </w:tabs>
        <w:ind w:firstLine="0"/>
        <w:rPr>
          <w:rFonts w:ascii="Verdana" w:hAnsi="Verdana"/>
          <w:color w:val="595959" w:themeColor="text1" w:themeTint="A6"/>
        </w:rPr>
      </w:pPr>
    </w:p>
    <w:p w:rsidR="007A3356" w:rsidRDefault="007A3356" w:rsidP="00EF5D37">
      <w:pPr>
        <w:pStyle w:val="para32"/>
        <w:numPr>
          <w:ilvl w:val="0"/>
          <w:numId w:val="5"/>
        </w:numPr>
        <w:tabs>
          <w:tab w:val="clear" w:pos="560"/>
          <w:tab w:val="left" w:pos="360"/>
        </w:tabs>
        <w:jc w:val="left"/>
        <w:rPr>
          <w:rFonts w:ascii="Verdana" w:hAnsi="Verdana"/>
          <w:color w:val="595959" w:themeColor="text1" w:themeTint="A6"/>
        </w:rPr>
      </w:pPr>
      <w:r w:rsidRPr="00EF5D37">
        <w:rPr>
          <w:rFonts w:ascii="Verdana" w:hAnsi="Verdana"/>
          <w:color w:val="595959" w:themeColor="text1" w:themeTint="A6"/>
        </w:rPr>
        <w:t xml:space="preserve">Payment of ARH insurance shall be made only to the following beneficiaries in the order named: </w:t>
      </w:r>
    </w:p>
    <w:p w:rsidR="00EF5D37" w:rsidRPr="00EF5D37" w:rsidRDefault="00EF5D37" w:rsidP="00EF5D37">
      <w:pPr>
        <w:pStyle w:val="para32"/>
        <w:tabs>
          <w:tab w:val="clear" w:pos="560"/>
          <w:tab w:val="left" w:pos="360"/>
        </w:tabs>
        <w:ind w:left="870" w:firstLine="0"/>
        <w:jc w:val="left"/>
        <w:rPr>
          <w:rFonts w:ascii="Verdana" w:hAnsi="Verdana"/>
          <w:color w:val="595959" w:themeColor="text1" w:themeTint="A6"/>
        </w:rPr>
      </w:pPr>
    </w:p>
    <w:p w:rsidR="007A3356" w:rsidRDefault="007A3356" w:rsidP="00EF5D37">
      <w:pPr>
        <w:pStyle w:val="para32"/>
        <w:numPr>
          <w:ilvl w:val="0"/>
          <w:numId w:val="7"/>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To the surviving spouse of the insured, if living and while not remarried;  </w:t>
      </w:r>
    </w:p>
    <w:p w:rsidR="00EF5D37" w:rsidRPr="00EF5D37" w:rsidRDefault="00EF5D37" w:rsidP="00EF5D37">
      <w:pPr>
        <w:pStyle w:val="para32"/>
        <w:tabs>
          <w:tab w:val="left" w:pos="1350"/>
        </w:tabs>
        <w:ind w:left="1320" w:firstLine="0"/>
        <w:jc w:val="left"/>
        <w:rPr>
          <w:rFonts w:ascii="Verdana" w:hAnsi="Verdana"/>
          <w:color w:val="595959" w:themeColor="text1" w:themeTint="A6"/>
        </w:rPr>
      </w:pPr>
    </w:p>
    <w:p w:rsidR="007A3356" w:rsidRDefault="007A3356" w:rsidP="00EF5D37">
      <w:pPr>
        <w:pStyle w:val="para32"/>
        <w:numPr>
          <w:ilvl w:val="0"/>
          <w:numId w:val="7"/>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If no surviving spouse entitled thereto, to the child or children of the insured, if living, in equal shares; </w:t>
      </w:r>
    </w:p>
    <w:p w:rsidR="00EF5D37" w:rsidRPr="00EF5D37" w:rsidRDefault="00EF5D37" w:rsidP="00EF5D37">
      <w:pPr>
        <w:pStyle w:val="para32"/>
        <w:tabs>
          <w:tab w:val="left" w:pos="1350"/>
        </w:tabs>
        <w:ind w:firstLine="0"/>
        <w:jc w:val="left"/>
        <w:rPr>
          <w:rFonts w:ascii="Verdana" w:hAnsi="Verdana"/>
          <w:color w:val="595959" w:themeColor="text1" w:themeTint="A6"/>
        </w:rPr>
      </w:pPr>
    </w:p>
    <w:p w:rsidR="007A3356" w:rsidRDefault="007A3356" w:rsidP="00EF5D37">
      <w:pPr>
        <w:pStyle w:val="para32"/>
        <w:numPr>
          <w:ilvl w:val="0"/>
          <w:numId w:val="7"/>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If no surviving spouse or child entitled thereto, to the parent or parents of the insured who last bore that relationship, if living, in equal shares. </w:t>
      </w:r>
    </w:p>
    <w:p w:rsidR="00EF5D37" w:rsidRPr="00EF5D37" w:rsidRDefault="00EF5D37" w:rsidP="00EF5D37">
      <w:pPr>
        <w:pStyle w:val="para32"/>
        <w:tabs>
          <w:tab w:val="left" w:pos="1350"/>
        </w:tabs>
        <w:ind w:firstLine="0"/>
        <w:jc w:val="left"/>
        <w:rPr>
          <w:rFonts w:ascii="Verdana" w:hAnsi="Verdana"/>
          <w:color w:val="595959" w:themeColor="text1" w:themeTint="A6"/>
        </w:rPr>
      </w:pPr>
    </w:p>
    <w:p w:rsidR="007A3356" w:rsidRDefault="007A3356" w:rsidP="00EF5D37">
      <w:pPr>
        <w:pStyle w:val="para32"/>
        <w:numPr>
          <w:ilvl w:val="0"/>
          <w:numId w:val="5"/>
        </w:numPr>
        <w:tabs>
          <w:tab w:val="clear" w:pos="560"/>
          <w:tab w:val="left" w:pos="360"/>
        </w:tabs>
        <w:jc w:val="left"/>
        <w:rPr>
          <w:rFonts w:ascii="Verdana" w:hAnsi="Verdana"/>
          <w:color w:val="595959" w:themeColor="text1" w:themeTint="A6"/>
        </w:rPr>
      </w:pPr>
      <w:r w:rsidRPr="00EF5D37">
        <w:rPr>
          <w:rFonts w:ascii="Verdana" w:hAnsi="Verdana"/>
          <w:color w:val="595959" w:themeColor="text1" w:themeTint="A6"/>
        </w:rPr>
        <w:t xml:space="preserve">Relationship of the applicant shall be proved as of the date of death of the insured by evidence satisfactory to VA. </w:t>
      </w:r>
    </w:p>
    <w:p w:rsidR="00EF5D37" w:rsidRPr="00EF5D37" w:rsidRDefault="00EF5D37" w:rsidP="00EF5D37">
      <w:pPr>
        <w:pStyle w:val="para32"/>
        <w:tabs>
          <w:tab w:val="clear" w:pos="560"/>
          <w:tab w:val="left" w:pos="360"/>
        </w:tabs>
        <w:ind w:left="870" w:firstLine="0"/>
        <w:jc w:val="left"/>
        <w:rPr>
          <w:rFonts w:ascii="Verdana" w:hAnsi="Verdana"/>
          <w:color w:val="595959" w:themeColor="text1" w:themeTint="A6"/>
        </w:rPr>
      </w:pPr>
    </w:p>
    <w:p w:rsidR="007A3356" w:rsidRDefault="007A3356" w:rsidP="00EF5D37">
      <w:pPr>
        <w:pStyle w:val="para32"/>
        <w:numPr>
          <w:ilvl w:val="0"/>
          <w:numId w:val="5"/>
        </w:numPr>
        <w:tabs>
          <w:tab w:val="clear" w:pos="560"/>
          <w:tab w:val="left" w:pos="360"/>
        </w:tabs>
        <w:jc w:val="left"/>
        <w:rPr>
          <w:rFonts w:ascii="Verdana" w:hAnsi="Verdana"/>
          <w:color w:val="595959" w:themeColor="text1" w:themeTint="A6"/>
        </w:rPr>
      </w:pPr>
      <w:r w:rsidRPr="00EF5D37">
        <w:rPr>
          <w:rFonts w:ascii="Verdana" w:hAnsi="Verdana"/>
          <w:color w:val="595959" w:themeColor="text1" w:themeTint="A6"/>
        </w:rPr>
        <w:t>The beneficiary(ies) are paid only through a lump sum payment.</w:t>
      </w:r>
    </w:p>
    <w:p w:rsidR="00EF5D37" w:rsidRPr="00EF5D37" w:rsidRDefault="00EF5D37" w:rsidP="00EF5D37">
      <w:pPr>
        <w:pStyle w:val="para32"/>
        <w:tabs>
          <w:tab w:val="clear" w:pos="560"/>
          <w:tab w:val="left" w:pos="360"/>
        </w:tabs>
        <w:ind w:firstLine="0"/>
        <w:jc w:val="left"/>
        <w:rPr>
          <w:rFonts w:ascii="Verdana" w:hAnsi="Verdana"/>
          <w:color w:val="595959" w:themeColor="text1" w:themeTint="A6"/>
        </w:rPr>
      </w:pPr>
    </w:p>
    <w:p w:rsidR="007A3356" w:rsidRDefault="007A3356" w:rsidP="007A3356">
      <w:pPr>
        <w:pStyle w:val="para31"/>
        <w:tabs>
          <w:tab w:val="left" w:pos="560"/>
        </w:tabs>
        <w:ind w:firstLine="0"/>
        <w:rPr>
          <w:rFonts w:ascii="Verdana" w:hAnsi="Verdana"/>
          <w:color w:val="595959" w:themeColor="text1" w:themeTint="A6"/>
        </w:rPr>
      </w:pPr>
    </w:p>
    <w:p w:rsidR="007A3356" w:rsidRDefault="007A3356" w:rsidP="006D0D56">
      <w:pPr>
        <w:pStyle w:val="para31"/>
        <w:tabs>
          <w:tab w:val="left" w:pos="560"/>
        </w:tabs>
        <w:ind w:firstLine="0"/>
        <w:jc w:val="left"/>
        <w:rPr>
          <w:rFonts w:ascii="Verdana" w:hAnsi="Verdana"/>
          <w:color w:val="595959" w:themeColor="text1" w:themeTint="A6"/>
        </w:rPr>
      </w:pPr>
      <w:r>
        <w:rPr>
          <w:rFonts w:ascii="Verdana" w:hAnsi="Verdana"/>
          <w:b/>
          <w:color w:val="595959" w:themeColor="text1" w:themeTint="A6"/>
        </w:rPr>
        <w:t xml:space="preserve">15.06 </w:t>
      </w:r>
      <w:r w:rsidRPr="007A3356">
        <w:rPr>
          <w:rFonts w:ascii="Verdana" w:hAnsi="Verdana"/>
          <w:b/>
          <w:color w:val="595959" w:themeColor="text1" w:themeTint="A6"/>
        </w:rPr>
        <w:t>ISSUANCE</w:t>
      </w:r>
    </w:p>
    <w:p w:rsidR="007A3356" w:rsidRPr="007A3356" w:rsidRDefault="007A3356" w:rsidP="007A3356">
      <w:pPr>
        <w:pStyle w:val="para31"/>
        <w:tabs>
          <w:tab w:val="left" w:pos="560"/>
        </w:tabs>
        <w:ind w:firstLine="0"/>
        <w:rPr>
          <w:rFonts w:ascii="Verdana" w:hAnsi="Verdana"/>
          <w:color w:val="595959" w:themeColor="text1" w:themeTint="A6"/>
        </w:rPr>
      </w:pPr>
    </w:p>
    <w:p w:rsidR="007A3356" w:rsidRPr="007A3356" w:rsidRDefault="007A3356" w:rsidP="007A3356">
      <w:pPr>
        <w:rPr>
          <w:rFonts w:ascii="Verdana" w:hAnsi="Verdana"/>
          <w:color w:val="595959" w:themeColor="text1" w:themeTint="A6"/>
          <w:sz w:val="20"/>
          <w:szCs w:val="20"/>
        </w:rPr>
      </w:pPr>
      <w:r w:rsidRPr="007A3356">
        <w:rPr>
          <w:rFonts w:ascii="Verdana" w:hAnsi="Verdana"/>
          <w:color w:val="595959" w:themeColor="text1" w:themeTint="A6"/>
          <w:sz w:val="20"/>
          <w:szCs w:val="20"/>
        </w:rPr>
        <w:t xml:space="preserve">The Rating Activity will make the decision as to whether gratuitous insurance (ARH) will be granted. The Death Claims Division will assign the (ARH) policy number.   </w:t>
      </w:r>
    </w:p>
    <w:p w:rsidR="007A3356" w:rsidRPr="007A3356" w:rsidRDefault="007A3356" w:rsidP="007A3356">
      <w:pPr>
        <w:rPr>
          <w:rFonts w:ascii="Verdana" w:hAnsi="Verdana"/>
          <w:color w:val="595959" w:themeColor="text1" w:themeTint="A6"/>
          <w:sz w:val="20"/>
          <w:szCs w:val="20"/>
        </w:rPr>
      </w:pPr>
      <w:r w:rsidRPr="007A3356">
        <w:rPr>
          <w:rFonts w:ascii="Verdana" w:hAnsi="Verdana"/>
          <w:color w:val="595959" w:themeColor="text1" w:themeTint="A6"/>
          <w:sz w:val="20"/>
          <w:szCs w:val="20"/>
        </w:rPr>
        <w:t xml:space="preserve">These actions need to be taken when ARH insurance is granted: </w:t>
      </w:r>
    </w:p>
    <w:p w:rsidR="007A3356" w:rsidRDefault="007A3356" w:rsidP="00EF5D37">
      <w:pPr>
        <w:pStyle w:val="para32"/>
        <w:numPr>
          <w:ilvl w:val="0"/>
          <w:numId w:val="8"/>
        </w:numPr>
        <w:tabs>
          <w:tab w:val="clear" w:pos="560"/>
          <w:tab w:val="left" w:pos="360"/>
        </w:tabs>
        <w:jc w:val="left"/>
        <w:rPr>
          <w:rFonts w:ascii="Verdana" w:hAnsi="Verdana"/>
          <w:color w:val="595959" w:themeColor="text1" w:themeTint="A6"/>
        </w:rPr>
      </w:pPr>
      <w:r w:rsidRPr="00EF5D37">
        <w:rPr>
          <w:rFonts w:ascii="Verdana" w:hAnsi="Verdana"/>
          <w:color w:val="595959" w:themeColor="text1" w:themeTint="A6"/>
        </w:rPr>
        <w:t xml:space="preserve">Live Claims </w:t>
      </w:r>
    </w:p>
    <w:p w:rsidR="00EF5D37" w:rsidRPr="00EF5D37" w:rsidRDefault="00EF5D37" w:rsidP="00EF5D37">
      <w:pPr>
        <w:pStyle w:val="para32"/>
        <w:tabs>
          <w:tab w:val="clear" w:pos="560"/>
          <w:tab w:val="left" w:pos="360"/>
        </w:tabs>
        <w:ind w:left="870" w:firstLine="0"/>
        <w:jc w:val="left"/>
        <w:rPr>
          <w:rFonts w:ascii="Verdana" w:hAnsi="Verdana"/>
          <w:color w:val="595959" w:themeColor="text1" w:themeTint="A6"/>
        </w:rPr>
      </w:pPr>
    </w:p>
    <w:p w:rsidR="007A3356" w:rsidRDefault="007A3356" w:rsidP="00EF5D37">
      <w:pPr>
        <w:pStyle w:val="para32"/>
        <w:numPr>
          <w:ilvl w:val="0"/>
          <w:numId w:val="9"/>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The Insurance Specialist will refer all applications of deceased veterans to a Senior Veterans Claims Examiner (SVCE) in the Death Claims Division for ARH review. </w:t>
      </w:r>
    </w:p>
    <w:p w:rsidR="00EF5D37" w:rsidRPr="00EF5D37" w:rsidRDefault="00EF5D37" w:rsidP="00EF5D37">
      <w:pPr>
        <w:pStyle w:val="para32"/>
        <w:tabs>
          <w:tab w:val="left" w:pos="1350"/>
        </w:tabs>
        <w:ind w:left="1320" w:firstLine="0"/>
        <w:jc w:val="left"/>
        <w:rPr>
          <w:rFonts w:ascii="Verdana" w:hAnsi="Verdana"/>
          <w:color w:val="595959" w:themeColor="text1" w:themeTint="A6"/>
        </w:rPr>
      </w:pPr>
    </w:p>
    <w:p w:rsidR="007A3356" w:rsidRDefault="007A3356" w:rsidP="00EF5D37">
      <w:pPr>
        <w:pStyle w:val="para32"/>
        <w:numPr>
          <w:ilvl w:val="0"/>
          <w:numId w:val="9"/>
        </w:numPr>
        <w:tabs>
          <w:tab w:val="left" w:pos="1350"/>
        </w:tabs>
        <w:jc w:val="left"/>
        <w:rPr>
          <w:rFonts w:ascii="Verdana" w:hAnsi="Verdana"/>
          <w:color w:val="595959" w:themeColor="text1" w:themeTint="A6"/>
        </w:rPr>
      </w:pPr>
      <w:r w:rsidRPr="00EF5D37">
        <w:rPr>
          <w:rFonts w:ascii="Verdana" w:hAnsi="Verdana"/>
          <w:color w:val="595959" w:themeColor="text1" w:themeTint="A6"/>
        </w:rPr>
        <w:lastRenderedPageBreak/>
        <w:t xml:space="preserve">The Insurance Specialist will release a RH Disapproval letter to the applicant and send to Death Claims. </w:t>
      </w:r>
    </w:p>
    <w:p w:rsidR="00EF5D37" w:rsidRPr="00EF5D37" w:rsidRDefault="00EF5D37" w:rsidP="00EF5D37">
      <w:pPr>
        <w:pStyle w:val="para32"/>
        <w:tabs>
          <w:tab w:val="left" w:pos="1350"/>
        </w:tabs>
        <w:ind w:left="1320" w:firstLine="0"/>
        <w:jc w:val="left"/>
        <w:rPr>
          <w:rFonts w:ascii="Verdana" w:hAnsi="Verdana"/>
          <w:color w:val="595959" w:themeColor="text1" w:themeTint="A6"/>
        </w:rPr>
      </w:pPr>
    </w:p>
    <w:p w:rsidR="007A3356" w:rsidRPr="00EF5D37" w:rsidRDefault="007A3356" w:rsidP="00845AB1">
      <w:pPr>
        <w:spacing w:line="240" w:lineRule="auto"/>
        <w:ind w:left="1320"/>
        <w:rPr>
          <w:rFonts w:ascii="Verdana" w:hAnsi="Verdana"/>
          <w:color w:val="595959" w:themeColor="text1" w:themeTint="A6"/>
          <w:sz w:val="20"/>
          <w:szCs w:val="20"/>
        </w:rPr>
      </w:pPr>
      <w:r w:rsidRPr="00EF5D37">
        <w:rPr>
          <w:rFonts w:ascii="Verdana" w:hAnsi="Verdana"/>
          <w:b/>
          <w:color w:val="595959" w:themeColor="text1" w:themeTint="A6"/>
          <w:sz w:val="20"/>
          <w:szCs w:val="20"/>
        </w:rPr>
        <w:t>NOTE</w:t>
      </w:r>
      <w:r w:rsidRPr="00EF5D37">
        <w:rPr>
          <w:rFonts w:ascii="Verdana" w:hAnsi="Verdana"/>
          <w:color w:val="595959" w:themeColor="text1" w:themeTint="A6"/>
          <w:sz w:val="20"/>
          <w:szCs w:val="20"/>
        </w:rPr>
        <w:t xml:space="preserve">:   An application may be routed directly to Death Claims instead of through Live Claims.   However, in cases where Live Claims receives the application first, this first step should be taken. </w:t>
      </w:r>
    </w:p>
    <w:p w:rsidR="007A3356" w:rsidRDefault="007A3356" w:rsidP="00EF5D37">
      <w:pPr>
        <w:pStyle w:val="para32"/>
        <w:numPr>
          <w:ilvl w:val="0"/>
          <w:numId w:val="8"/>
        </w:numPr>
        <w:tabs>
          <w:tab w:val="clear" w:pos="560"/>
          <w:tab w:val="left" w:pos="360"/>
        </w:tabs>
        <w:jc w:val="left"/>
        <w:rPr>
          <w:rFonts w:ascii="Verdana" w:hAnsi="Verdana"/>
          <w:color w:val="595959" w:themeColor="text1" w:themeTint="A6"/>
        </w:rPr>
      </w:pPr>
      <w:r w:rsidRPr="00EF5D37">
        <w:rPr>
          <w:rFonts w:ascii="Verdana" w:hAnsi="Verdana"/>
          <w:color w:val="595959" w:themeColor="text1" w:themeTint="A6"/>
        </w:rPr>
        <w:t xml:space="preserve">Death Claims </w:t>
      </w:r>
    </w:p>
    <w:p w:rsidR="00EF5D37" w:rsidRPr="00EF5D37" w:rsidRDefault="00EF5D37" w:rsidP="00EF5D37">
      <w:pPr>
        <w:pStyle w:val="para32"/>
        <w:tabs>
          <w:tab w:val="clear" w:pos="560"/>
          <w:tab w:val="left" w:pos="360"/>
        </w:tabs>
        <w:ind w:left="870" w:firstLine="0"/>
        <w:jc w:val="left"/>
        <w:rPr>
          <w:rFonts w:ascii="Verdana" w:hAnsi="Verdana"/>
          <w:color w:val="595959" w:themeColor="text1" w:themeTint="A6"/>
        </w:rPr>
      </w:pPr>
    </w:p>
    <w:p w:rsidR="007A3356" w:rsidRDefault="007A3356" w:rsidP="00EF5D37">
      <w:pPr>
        <w:pStyle w:val="para32"/>
        <w:numPr>
          <w:ilvl w:val="0"/>
          <w:numId w:val="10"/>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The SVCE will review documentation and VA systems to determine if ARH Insurance requirements are met.   </w:t>
      </w:r>
    </w:p>
    <w:p w:rsidR="00EF5D37" w:rsidRPr="00EF5D37" w:rsidRDefault="00EF5D37" w:rsidP="00EF5D37">
      <w:pPr>
        <w:pStyle w:val="para32"/>
        <w:tabs>
          <w:tab w:val="left" w:pos="1350"/>
        </w:tabs>
        <w:ind w:left="1320" w:firstLine="0"/>
        <w:jc w:val="left"/>
        <w:rPr>
          <w:rFonts w:ascii="Verdana" w:hAnsi="Verdana"/>
          <w:color w:val="595959" w:themeColor="text1" w:themeTint="A6"/>
        </w:rPr>
      </w:pPr>
    </w:p>
    <w:p w:rsidR="00EF5D37" w:rsidRDefault="007A3356" w:rsidP="00EF5D37">
      <w:pPr>
        <w:pStyle w:val="para32"/>
        <w:numPr>
          <w:ilvl w:val="0"/>
          <w:numId w:val="10"/>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If requirements are met all documents will be scanned into VA systems.   </w:t>
      </w:r>
    </w:p>
    <w:p w:rsidR="007A3356" w:rsidRPr="00EF5D37" w:rsidRDefault="007A3356" w:rsidP="00EF5D37">
      <w:pPr>
        <w:pStyle w:val="para32"/>
        <w:tabs>
          <w:tab w:val="left" w:pos="1350"/>
        </w:tabs>
        <w:ind w:left="1320" w:firstLine="0"/>
        <w:jc w:val="left"/>
        <w:rPr>
          <w:rFonts w:ascii="Verdana" w:hAnsi="Verdana"/>
          <w:color w:val="595959" w:themeColor="text1" w:themeTint="A6"/>
        </w:rPr>
      </w:pPr>
      <w:r w:rsidRPr="00EF5D37">
        <w:rPr>
          <w:rFonts w:ascii="Verdana" w:hAnsi="Verdana"/>
          <w:color w:val="595959" w:themeColor="text1" w:themeTint="A6"/>
        </w:rPr>
        <w:t xml:space="preserve"> </w:t>
      </w:r>
    </w:p>
    <w:p w:rsidR="007A3356" w:rsidRDefault="007A3356" w:rsidP="00EF5D37">
      <w:pPr>
        <w:pStyle w:val="para32"/>
        <w:numPr>
          <w:ilvl w:val="0"/>
          <w:numId w:val="10"/>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The SVCE will email (2105 memo) the VSC mailbox (VAVBAPHI/RO/ADJ) when all claim related material has been uploaded, and provide relevant information.   </w:t>
      </w:r>
    </w:p>
    <w:p w:rsidR="00EF5D37" w:rsidRPr="00EF5D37" w:rsidRDefault="00EF5D37" w:rsidP="00EF5D37">
      <w:pPr>
        <w:pStyle w:val="para32"/>
        <w:tabs>
          <w:tab w:val="left" w:pos="1350"/>
        </w:tabs>
        <w:ind w:left="1320" w:firstLine="0"/>
        <w:jc w:val="left"/>
        <w:rPr>
          <w:rFonts w:ascii="Verdana" w:hAnsi="Verdana"/>
          <w:color w:val="595959" w:themeColor="text1" w:themeTint="A6"/>
        </w:rPr>
      </w:pPr>
    </w:p>
    <w:p w:rsidR="007A3356" w:rsidRPr="007A3356" w:rsidRDefault="007A3356" w:rsidP="00845AB1">
      <w:pPr>
        <w:spacing w:line="240" w:lineRule="auto"/>
        <w:ind w:left="1320"/>
        <w:rPr>
          <w:rFonts w:ascii="Verdana" w:hAnsi="Verdana"/>
          <w:color w:val="595959" w:themeColor="text1" w:themeTint="A6"/>
          <w:sz w:val="20"/>
          <w:szCs w:val="20"/>
        </w:rPr>
      </w:pPr>
      <w:r w:rsidRPr="007A3356">
        <w:rPr>
          <w:rFonts w:ascii="Verdana" w:hAnsi="Verdana"/>
          <w:b/>
          <w:color w:val="595959" w:themeColor="text1" w:themeTint="A6"/>
          <w:sz w:val="20"/>
          <w:szCs w:val="20"/>
        </w:rPr>
        <w:t>NOTE</w:t>
      </w:r>
      <w:r w:rsidRPr="007A3356">
        <w:rPr>
          <w:rFonts w:ascii="Verdana" w:hAnsi="Verdana"/>
          <w:color w:val="595959" w:themeColor="text1" w:themeTint="A6"/>
          <w:sz w:val="20"/>
          <w:szCs w:val="20"/>
        </w:rPr>
        <w:t xml:space="preserve">:  If all requirements are met under (1) AND VA systems show that the deceased Veteran was rated incompetent from a service-connected disability prior to death, b(3) - c(2) does not need to occur.   The SVCE should complete the ARH Administrative Review Decision and proceed to d. </w:t>
      </w:r>
    </w:p>
    <w:p w:rsidR="007A3356" w:rsidRDefault="007A3356" w:rsidP="00EF5D37">
      <w:pPr>
        <w:pStyle w:val="para32"/>
        <w:numPr>
          <w:ilvl w:val="0"/>
          <w:numId w:val="10"/>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The SVCE will notify the applicant their ARH inquiry is being reviewed.  If disapproved, applicant will be notified.  </w:t>
      </w:r>
    </w:p>
    <w:p w:rsidR="00EF5D37" w:rsidRPr="00EF5D37" w:rsidRDefault="00EF5D37" w:rsidP="00EF5D37">
      <w:pPr>
        <w:pStyle w:val="para32"/>
        <w:tabs>
          <w:tab w:val="left" w:pos="1350"/>
        </w:tabs>
        <w:ind w:left="1320" w:firstLine="0"/>
        <w:jc w:val="left"/>
        <w:rPr>
          <w:rFonts w:ascii="Verdana" w:hAnsi="Verdana"/>
          <w:color w:val="595959" w:themeColor="text1" w:themeTint="A6"/>
        </w:rPr>
      </w:pPr>
    </w:p>
    <w:p w:rsidR="007A3356" w:rsidRDefault="007A3356" w:rsidP="00EF5D37">
      <w:pPr>
        <w:pStyle w:val="para32"/>
        <w:numPr>
          <w:ilvl w:val="0"/>
          <w:numId w:val="8"/>
        </w:numPr>
        <w:tabs>
          <w:tab w:val="clear" w:pos="560"/>
          <w:tab w:val="left" w:pos="360"/>
        </w:tabs>
        <w:jc w:val="left"/>
        <w:rPr>
          <w:rFonts w:ascii="Verdana" w:hAnsi="Verdana"/>
          <w:color w:val="595959" w:themeColor="text1" w:themeTint="A6"/>
        </w:rPr>
      </w:pPr>
      <w:r w:rsidRPr="00EF5D37">
        <w:rPr>
          <w:rFonts w:ascii="Verdana" w:hAnsi="Verdana"/>
          <w:color w:val="595959" w:themeColor="text1" w:themeTint="A6"/>
        </w:rPr>
        <w:t xml:space="preserve">Rating Activity </w:t>
      </w:r>
    </w:p>
    <w:p w:rsidR="00EF5D37" w:rsidRPr="00EF5D37" w:rsidRDefault="00EF5D37" w:rsidP="00EF5D37">
      <w:pPr>
        <w:pStyle w:val="para32"/>
        <w:tabs>
          <w:tab w:val="clear" w:pos="560"/>
          <w:tab w:val="left" w:pos="360"/>
        </w:tabs>
        <w:jc w:val="left"/>
        <w:rPr>
          <w:rFonts w:ascii="Verdana" w:hAnsi="Verdana"/>
          <w:color w:val="595959" w:themeColor="text1" w:themeTint="A6"/>
        </w:rPr>
      </w:pPr>
    </w:p>
    <w:p w:rsidR="007A3356" w:rsidRDefault="007A3356" w:rsidP="00EF5D37">
      <w:pPr>
        <w:pStyle w:val="para32"/>
        <w:numPr>
          <w:ilvl w:val="0"/>
          <w:numId w:val="11"/>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The Rating Veterans Service Representative (RVSR) making the final decision regarding incompetency and entitlement to ARH Insurance. </w:t>
      </w:r>
    </w:p>
    <w:p w:rsidR="00EF5D37" w:rsidRPr="00EF5D37" w:rsidRDefault="00EF5D37" w:rsidP="00EF5D37">
      <w:pPr>
        <w:pStyle w:val="para32"/>
        <w:tabs>
          <w:tab w:val="left" w:pos="1350"/>
        </w:tabs>
        <w:ind w:left="1320" w:firstLine="0"/>
        <w:jc w:val="left"/>
        <w:rPr>
          <w:rFonts w:ascii="Verdana" w:hAnsi="Verdana"/>
          <w:color w:val="595959" w:themeColor="text1" w:themeTint="A6"/>
        </w:rPr>
      </w:pPr>
    </w:p>
    <w:p w:rsidR="007A3356" w:rsidRDefault="007A3356" w:rsidP="00EF5D37">
      <w:pPr>
        <w:pStyle w:val="para32"/>
        <w:numPr>
          <w:ilvl w:val="0"/>
          <w:numId w:val="11"/>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RVSR notifies SVCE from Death Claims of their decisions. </w:t>
      </w:r>
    </w:p>
    <w:p w:rsidR="00EF5D37" w:rsidRPr="00EF5D37" w:rsidRDefault="00EF5D37" w:rsidP="00EF5D37">
      <w:pPr>
        <w:pStyle w:val="para32"/>
        <w:tabs>
          <w:tab w:val="left" w:pos="1350"/>
        </w:tabs>
        <w:ind w:firstLine="0"/>
        <w:jc w:val="left"/>
        <w:rPr>
          <w:rFonts w:ascii="Verdana" w:hAnsi="Verdana"/>
          <w:color w:val="595959" w:themeColor="text1" w:themeTint="A6"/>
        </w:rPr>
      </w:pPr>
    </w:p>
    <w:p w:rsidR="007A3356" w:rsidRDefault="007A3356" w:rsidP="00EF5D37">
      <w:pPr>
        <w:pStyle w:val="para32"/>
        <w:numPr>
          <w:ilvl w:val="0"/>
          <w:numId w:val="8"/>
        </w:numPr>
        <w:tabs>
          <w:tab w:val="clear" w:pos="560"/>
          <w:tab w:val="left" w:pos="360"/>
        </w:tabs>
        <w:jc w:val="left"/>
        <w:rPr>
          <w:rFonts w:ascii="Verdana" w:hAnsi="Verdana"/>
          <w:color w:val="595959" w:themeColor="text1" w:themeTint="A6"/>
        </w:rPr>
      </w:pPr>
      <w:r w:rsidRPr="00EF5D37">
        <w:rPr>
          <w:rFonts w:ascii="Verdana" w:hAnsi="Verdana"/>
          <w:color w:val="595959" w:themeColor="text1" w:themeTint="A6"/>
        </w:rPr>
        <w:t xml:space="preserve">Death Claims - Post-VSC Decision </w:t>
      </w:r>
    </w:p>
    <w:p w:rsidR="00EF5D37" w:rsidRPr="00EF5D37" w:rsidRDefault="00EF5D37" w:rsidP="00EF5D37">
      <w:pPr>
        <w:pStyle w:val="para32"/>
        <w:tabs>
          <w:tab w:val="clear" w:pos="560"/>
          <w:tab w:val="left" w:pos="360"/>
        </w:tabs>
        <w:ind w:left="870" w:firstLine="0"/>
        <w:jc w:val="left"/>
        <w:rPr>
          <w:rFonts w:ascii="Verdana" w:hAnsi="Verdana"/>
          <w:color w:val="595959" w:themeColor="text1" w:themeTint="A6"/>
        </w:rPr>
      </w:pPr>
    </w:p>
    <w:p w:rsidR="007A3356" w:rsidRDefault="007A3356" w:rsidP="00EF5D37">
      <w:pPr>
        <w:pStyle w:val="para32"/>
        <w:numPr>
          <w:ilvl w:val="0"/>
          <w:numId w:val="12"/>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SVCE will assign an ARH Insurance number.  The policy numbers started with ARH 1001. </w:t>
      </w:r>
    </w:p>
    <w:p w:rsidR="00EF5D37" w:rsidRPr="00EF5D37" w:rsidRDefault="00EF5D37" w:rsidP="00EF5D37">
      <w:pPr>
        <w:pStyle w:val="para32"/>
        <w:tabs>
          <w:tab w:val="left" w:pos="1350"/>
        </w:tabs>
        <w:ind w:left="1320" w:firstLine="0"/>
        <w:jc w:val="left"/>
        <w:rPr>
          <w:rFonts w:ascii="Verdana" w:hAnsi="Verdana"/>
          <w:color w:val="595959" w:themeColor="text1" w:themeTint="A6"/>
        </w:rPr>
      </w:pPr>
    </w:p>
    <w:p w:rsidR="007A3356" w:rsidRDefault="007A3356" w:rsidP="00EF5D37">
      <w:pPr>
        <w:pStyle w:val="para32"/>
        <w:numPr>
          <w:ilvl w:val="0"/>
          <w:numId w:val="12"/>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SVCE refers case to Lead Claims Adjustment Technician (LCAT) to build the policy. </w:t>
      </w:r>
    </w:p>
    <w:p w:rsidR="00EF5D37" w:rsidRPr="00EF5D37" w:rsidRDefault="00EF5D37" w:rsidP="00EF5D37">
      <w:pPr>
        <w:pStyle w:val="para32"/>
        <w:tabs>
          <w:tab w:val="left" w:pos="1350"/>
        </w:tabs>
        <w:ind w:left="1320" w:firstLine="0"/>
        <w:jc w:val="left"/>
        <w:rPr>
          <w:rFonts w:ascii="Verdana" w:hAnsi="Verdana"/>
          <w:color w:val="595959" w:themeColor="text1" w:themeTint="A6"/>
        </w:rPr>
      </w:pPr>
    </w:p>
    <w:p w:rsidR="007A3356" w:rsidRPr="00EF5D37" w:rsidRDefault="007A3356" w:rsidP="00EF5D37">
      <w:pPr>
        <w:pStyle w:val="para32"/>
        <w:numPr>
          <w:ilvl w:val="0"/>
          <w:numId w:val="12"/>
        </w:numPr>
        <w:tabs>
          <w:tab w:val="left" w:pos="1350"/>
        </w:tabs>
        <w:jc w:val="left"/>
        <w:rPr>
          <w:rFonts w:ascii="Verdana" w:hAnsi="Verdana"/>
          <w:color w:val="595959" w:themeColor="text1" w:themeTint="A6"/>
        </w:rPr>
      </w:pPr>
      <w:r w:rsidRPr="00EF5D37">
        <w:rPr>
          <w:rFonts w:ascii="Verdana" w:hAnsi="Verdana"/>
          <w:color w:val="595959" w:themeColor="text1" w:themeTint="A6"/>
        </w:rPr>
        <w:t xml:space="preserve">SVCE will authorize payment to applicant.  </w:t>
      </w:r>
    </w:p>
    <w:p w:rsidR="007A3356" w:rsidRPr="007A3356" w:rsidRDefault="007A3356" w:rsidP="007A3356">
      <w:pPr>
        <w:rPr>
          <w:rFonts w:ascii="Verdana" w:hAnsi="Verdana"/>
          <w:sz w:val="20"/>
          <w:szCs w:val="20"/>
        </w:rPr>
      </w:pPr>
      <w:r w:rsidRPr="007A3356">
        <w:rPr>
          <w:rFonts w:ascii="Verdana" w:hAnsi="Verdana"/>
          <w:sz w:val="20"/>
          <w:szCs w:val="20"/>
        </w:rPr>
        <w:t xml:space="preserve">  </w:t>
      </w:r>
    </w:p>
    <w:sectPr w:rsidR="007A3356" w:rsidRPr="007A3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8B2"/>
    <w:multiLevelType w:val="hybridMultilevel"/>
    <w:tmpl w:val="B7969452"/>
    <w:lvl w:ilvl="0" w:tplc="0409000F">
      <w:start w:val="1"/>
      <w:numFmt w:val="decimal"/>
      <w:lvlText w:val="%1."/>
      <w:lvlJc w:val="left"/>
      <w:pPr>
        <w:ind w:left="1320" w:hanging="45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15:restartNumberingAfterBreak="0">
    <w:nsid w:val="0AA51797"/>
    <w:multiLevelType w:val="hybridMultilevel"/>
    <w:tmpl w:val="B7969452"/>
    <w:lvl w:ilvl="0" w:tplc="0409000F">
      <w:start w:val="1"/>
      <w:numFmt w:val="decimal"/>
      <w:lvlText w:val="%1."/>
      <w:lvlJc w:val="left"/>
      <w:pPr>
        <w:ind w:left="1320" w:hanging="45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12E62C9F"/>
    <w:multiLevelType w:val="hybridMultilevel"/>
    <w:tmpl w:val="B7969452"/>
    <w:lvl w:ilvl="0" w:tplc="0409000F">
      <w:start w:val="1"/>
      <w:numFmt w:val="decimal"/>
      <w:lvlText w:val="%1."/>
      <w:lvlJc w:val="left"/>
      <w:pPr>
        <w:ind w:left="1320" w:hanging="45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15D53706"/>
    <w:multiLevelType w:val="hybridMultilevel"/>
    <w:tmpl w:val="AD320B4C"/>
    <w:lvl w:ilvl="0" w:tplc="368CE66E">
      <w:start w:val="1"/>
      <w:numFmt w:val="decimal"/>
      <w:lvlText w:val="(%1)"/>
      <w:lvlJc w:val="left"/>
      <w:pPr>
        <w:ind w:left="1320" w:hanging="45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267345C6"/>
    <w:multiLevelType w:val="hybridMultilevel"/>
    <w:tmpl w:val="B7969452"/>
    <w:lvl w:ilvl="0" w:tplc="0409000F">
      <w:start w:val="1"/>
      <w:numFmt w:val="decimal"/>
      <w:lvlText w:val="%1."/>
      <w:lvlJc w:val="left"/>
      <w:pPr>
        <w:ind w:left="1320" w:hanging="45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29585974"/>
    <w:multiLevelType w:val="hybridMultilevel"/>
    <w:tmpl w:val="1214CE56"/>
    <w:lvl w:ilvl="0" w:tplc="C514136A">
      <w:start w:val="1"/>
      <w:numFmt w:val="lowerLetter"/>
      <w:lvlText w:val="%1."/>
      <w:lvlJc w:val="left"/>
      <w:pPr>
        <w:ind w:left="870" w:hanging="480"/>
      </w:pPr>
      <w:rPr>
        <w:rFonts w:hint="default"/>
      </w:rPr>
    </w:lvl>
    <w:lvl w:ilvl="1" w:tplc="304A14CE">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443F570B"/>
    <w:multiLevelType w:val="hybridMultilevel"/>
    <w:tmpl w:val="2B104DAC"/>
    <w:lvl w:ilvl="0" w:tplc="C514136A">
      <w:start w:val="1"/>
      <w:numFmt w:val="lowerLetter"/>
      <w:lvlText w:val="%1."/>
      <w:lvlJc w:val="left"/>
      <w:pPr>
        <w:ind w:left="870" w:hanging="48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553F2AE1"/>
    <w:multiLevelType w:val="hybridMultilevel"/>
    <w:tmpl w:val="B7969452"/>
    <w:lvl w:ilvl="0" w:tplc="0409000F">
      <w:start w:val="1"/>
      <w:numFmt w:val="decimal"/>
      <w:lvlText w:val="%1."/>
      <w:lvlJc w:val="left"/>
      <w:pPr>
        <w:ind w:left="1320" w:hanging="45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657E5C7A"/>
    <w:multiLevelType w:val="hybridMultilevel"/>
    <w:tmpl w:val="04A46E46"/>
    <w:lvl w:ilvl="0" w:tplc="0409000F">
      <w:start w:val="1"/>
      <w:numFmt w:val="decimal"/>
      <w:lvlText w:val="%1."/>
      <w:lvlJc w:val="left"/>
      <w:pPr>
        <w:ind w:left="1590" w:hanging="360"/>
      </w:pPr>
    </w:lvl>
    <w:lvl w:ilvl="1" w:tplc="04090019">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9" w15:restartNumberingAfterBreak="0">
    <w:nsid w:val="66E36B76"/>
    <w:multiLevelType w:val="hybridMultilevel"/>
    <w:tmpl w:val="B7969452"/>
    <w:lvl w:ilvl="0" w:tplc="0409000F">
      <w:start w:val="1"/>
      <w:numFmt w:val="decimal"/>
      <w:lvlText w:val="%1."/>
      <w:lvlJc w:val="left"/>
      <w:pPr>
        <w:ind w:left="1320" w:hanging="45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15:restartNumberingAfterBreak="0">
    <w:nsid w:val="782D249B"/>
    <w:multiLevelType w:val="hybridMultilevel"/>
    <w:tmpl w:val="1214CE56"/>
    <w:lvl w:ilvl="0" w:tplc="C514136A">
      <w:start w:val="1"/>
      <w:numFmt w:val="lowerLetter"/>
      <w:lvlText w:val="%1."/>
      <w:lvlJc w:val="left"/>
      <w:pPr>
        <w:ind w:left="870" w:hanging="480"/>
      </w:pPr>
      <w:rPr>
        <w:rFonts w:hint="default"/>
      </w:rPr>
    </w:lvl>
    <w:lvl w:ilvl="1" w:tplc="304A14CE">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78CE5A73"/>
    <w:multiLevelType w:val="hybridMultilevel"/>
    <w:tmpl w:val="2B104DAC"/>
    <w:lvl w:ilvl="0" w:tplc="C514136A">
      <w:start w:val="1"/>
      <w:numFmt w:val="lowerLetter"/>
      <w:lvlText w:val="%1."/>
      <w:lvlJc w:val="left"/>
      <w:pPr>
        <w:ind w:left="870" w:hanging="48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1"/>
  </w:num>
  <w:num w:numId="2">
    <w:abstractNumId w:val="3"/>
  </w:num>
  <w:num w:numId="3">
    <w:abstractNumId w:val="9"/>
  </w:num>
  <w:num w:numId="4">
    <w:abstractNumId w:val="6"/>
  </w:num>
  <w:num w:numId="5">
    <w:abstractNumId w:val="10"/>
  </w:num>
  <w:num w:numId="6">
    <w:abstractNumId w:val="8"/>
  </w:num>
  <w:num w:numId="7">
    <w:abstractNumId w:val="7"/>
  </w:num>
  <w:num w:numId="8">
    <w:abstractNumId w:val="5"/>
  </w:num>
  <w:num w:numId="9">
    <w:abstractNumId w:val="0"/>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56"/>
    <w:rsid w:val="002A4DFB"/>
    <w:rsid w:val="006D0D56"/>
    <w:rsid w:val="0072315C"/>
    <w:rsid w:val="007A3356"/>
    <w:rsid w:val="00845AB1"/>
    <w:rsid w:val="00D27EB7"/>
    <w:rsid w:val="00EF5D37"/>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580E1-07FA-4C42-97AB-81158FAD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7A3356"/>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7A3356"/>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7A3356"/>
    <w:pPr>
      <w:ind w:left="720"/>
      <w:contextualSpacing/>
    </w:pPr>
  </w:style>
  <w:style w:type="table" w:styleId="TableGrid">
    <w:name w:val="Table Grid"/>
    <w:basedOn w:val="TableNormal"/>
    <w:uiPriority w:val="59"/>
    <w:rsid w:val="002A4D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2019-05-20T18:14:00Z</dcterms:created>
  <dcterms:modified xsi:type="dcterms:W3CDTF">2019-05-20T18:14:00Z</dcterms:modified>
</cp:coreProperties>
</file>