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45" w:rsidRPr="00337774" w:rsidRDefault="00D60D45" w:rsidP="00D60D45">
      <w:pPr>
        <w:pStyle w:val="Heading2"/>
        <w:jc w:val="left"/>
      </w:pPr>
      <w:bookmarkStart w:id="0" w:name="_GoBack"/>
      <w:bookmarkEnd w:id="0"/>
      <w:r w:rsidRPr="00337774">
        <w:t xml:space="preserve">Chapter 11.  Final Accounting </w:t>
      </w:r>
    </w:p>
    <w:p w:rsidR="00D60D45" w:rsidRPr="00337774" w:rsidRDefault="00D60D45" w:rsidP="00D60D45">
      <w:pPr>
        <w:pStyle w:val="Heading4"/>
      </w:pPr>
      <w:r w:rsidRPr="00337774">
        <w:t>Overview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728"/>
        <w:gridCol w:w="7920"/>
      </w:tblGrid>
      <w:tr w:rsidR="00D60D45" w:rsidRPr="00337774" w:rsidTr="00717114">
        <w:trPr>
          <w:cantSplit/>
        </w:trPr>
        <w:tc>
          <w:tcPr>
            <w:tcW w:w="1728" w:type="dxa"/>
          </w:tcPr>
          <w:p w:rsidR="00D60D45" w:rsidRPr="00337774" w:rsidRDefault="00D60D45" w:rsidP="00717114">
            <w:pPr>
              <w:pStyle w:val="Heading5"/>
            </w:pPr>
            <w:r w:rsidRPr="00337774">
              <w:t>In this Chapter</w:t>
            </w:r>
          </w:p>
        </w:tc>
        <w:tc>
          <w:tcPr>
            <w:tcW w:w="7920" w:type="dxa"/>
          </w:tcPr>
          <w:p w:rsidR="00D60D45" w:rsidRPr="00337774" w:rsidRDefault="00D60D45" w:rsidP="00717114">
            <w:pPr>
              <w:pStyle w:val="BlockText"/>
            </w:pPr>
            <w:r w:rsidRPr="00337774">
              <w:t>This chapter contains the following topics.</w:t>
            </w:r>
          </w:p>
        </w:tc>
      </w:tr>
    </w:tbl>
    <w:p w:rsidR="00D60D45" w:rsidRPr="00337774" w:rsidRDefault="00D60D45" w:rsidP="00D60D45"/>
    <w:tbl>
      <w:tblPr>
        <w:tblW w:w="7820" w:type="dxa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0"/>
        <w:gridCol w:w="6120"/>
        <w:gridCol w:w="900"/>
      </w:tblGrid>
      <w:tr w:rsidR="00D60D45" w:rsidRPr="00337774" w:rsidTr="00717114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45" w:rsidRPr="00337774" w:rsidRDefault="00D60D45" w:rsidP="00717114">
            <w:pPr>
              <w:pStyle w:val="TableHeaderText"/>
            </w:pPr>
            <w:r w:rsidRPr="00337774">
              <w:t>Topic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45" w:rsidRPr="00337774" w:rsidRDefault="00D60D45" w:rsidP="00717114">
            <w:pPr>
              <w:pStyle w:val="TableHeaderText"/>
            </w:pPr>
            <w:r w:rsidRPr="00337774">
              <w:t xml:space="preserve">Topic name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45" w:rsidRPr="00337774" w:rsidRDefault="00D60D45" w:rsidP="00717114">
            <w:pPr>
              <w:pStyle w:val="TableHeaderText"/>
            </w:pPr>
            <w:r w:rsidRPr="00337774">
              <w:t>See Page</w:t>
            </w:r>
          </w:p>
        </w:tc>
      </w:tr>
      <w:tr w:rsidR="00D60D45" w:rsidRPr="00337774" w:rsidTr="00717114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45" w:rsidRPr="00337774" w:rsidRDefault="00D60D45" w:rsidP="00717114">
            <w:pPr>
              <w:pStyle w:val="TableText"/>
              <w:jc w:val="center"/>
            </w:pPr>
            <w:r w:rsidRPr="00337774"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45" w:rsidRPr="00337774" w:rsidRDefault="00D60D45" w:rsidP="00717114">
            <w:pPr>
              <w:pStyle w:val="TableText"/>
            </w:pPr>
            <w:r w:rsidRPr="00337774">
              <w:t xml:space="preserve">Process for Final Accounting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45" w:rsidRPr="00337774" w:rsidRDefault="00D60D45" w:rsidP="00717114">
            <w:pPr>
              <w:pStyle w:val="TableText"/>
              <w:jc w:val="center"/>
            </w:pPr>
            <w:r w:rsidRPr="00337774">
              <w:t>11-2</w:t>
            </w:r>
          </w:p>
        </w:tc>
      </w:tr>
      <w:tr w:rsidR="00D60D45" w:rsidRPr="00337774" w:rsidTr="00717114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45" w:rsidRPr="00337774" w:rsidRDefault="00D60D45" w:rsidP="00717114">
            <w:pPr>
              <w:pStyle w:val="TableText"/>
              <w:ind w:left="540" w:hanging="540"/>
              <w:jc w:val="center"/>
            </w:pPr>
            <w:r w:rsidRPr="00337774"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45" w:rsidRPr="00337774" w:rsidRDefault="00D60D45" w:rsidP="00717114">
            <w:pPr>
              <w:pStyle w:val="TableText"/>
            </w:pPr>
            <w:r w:rsidRPr="00337774">
              <w:t>Obtaining the Supporting Documentation and Providing Required Exhibits to Close the File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45" w:rsidRPr="00337774" w:rsidRDefault="00D60D45" w:rsidP="00717114">
            <w:pPr>
              <w:pStyle w:val="TableText"/>
              <w:jc w:val="center"/>
            </w:pPr>
            <w:r w:rsidRPr="00337774">
              <w:t>11-3</w:t>
            </w:r>
          </w:p>
        </w:tc>
      </w:tr>
      <w:tr w:rsidR="00D60D45" w:rsidRPr="00337774" w:rsidTr="00717114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45" w:rsidRPr="00337774" w:rsidRDefault="00D60D45" w:rsidP="00717114">
            <w:pPr>
              <w:pStyle w:val="TableText"/>
              <w:jc w:val="center"/>
            </w:pPr>
            <w:r w:rsidRPr="00337774"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45" w:rsidRPr="00337774" w:rsidRDefault="00D60D45" w:rsidP="00717114">
            <w:pPr>
              <w:pStyle w:val="TableText"/>
            </w:pPr>
            <w:r w:rsidRPr="00337774">
              <w:t xml:space="preserve">Requirements for Closing Final Accounting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45" w:rsidRPr="00337774" w:rsidRDefault="00D60D45" w:rsidP="00717114">
            <w:pPr>
              <w:pStyle w:val="TableText"/>
              <w:jc w:val="center"/>
            </w:pPr>
            <w:r w:rsidRPr="00337774">
              <w:t>11-4</w:t>
            </w:r>
          </w:p>
        </w:tc>
      </w:tr>
    </w:tbl>
    <w:p w:rsidR="00D60D45" w:rsidRPr="00337774" w:rsidRDefault="00D60D45" w:rsidP="00D60D45">
      <w:pPr>
        <w:pStyle w:val="BlockLine"/>
        <w:ind w:right="-180"/>
      </w:pPr>
      <w:r w:rsidRPr="00337774">
        <w:t xml:space="preserve"> </w:t>
      </w:r>
    </w:p>
    <w:p w:rsidR="00D60D45" w:rsidRPr="00337774" w:rsidRDefault="00D60D45" w:rsidP="00D60D45"/>
    <w:p w:rsidR="00D60D45" w:rsidRPr="00337774" w:rsidRDefault="00D60D45" w:rsidP="00D60D45">
      <w:pPr>
        <w:pStyle w:val="Heading4"/>
        <w:numPr>
          <w:ilvl w:val="0"/>
          <w:numId w:val="6"/>
        </w:numPr>
      </w:pPr>
      <w:r w:rsidRPr="00337774">
        <w:br w:type="page"/>
      </w:r>
      <w:r w:rsidRPr="00337774">
        <w:lastRenderedPageBreak/>
        <w:t xml:space="preserve">Process for Final Accounting </w:t>
      </w:r>
    </w:p>
    <w:p w:rsidR="004044A4" w:rsidRPr="00337774" w:rsidRDefault="00D60D45" w:rsidP="00D60D45">
      <w:pPr>
        <w:pStyle w:val="BlockLine"/>
      </w:pPr>
      <w:r w:rsidRPr="00337774"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740"/>
      </w:tblGrid>
      <w:tr w:rsidR="004044A4" w:rsidTr="004044A4">
        <w:trPr>
          <w:cantSplit/>
        </w:trPr>
        <w:tc>
          <w:tcPr>
            <w:tcW w:w="1728" w:type="dxa"/>
            <w:hideMark/>
          </w:tcPr>
          <w:p w:rsidR="004044A4" w:rsidRPr="004044A4" w:rsidRDefault="00347D15">
            <w:pPr>
              <w:pStyle w:val="Heading5"/>
              <w:spacing w:line="276" w:lineRule="auto"/>
            </w:pPr>
            <w:r>
              <w:t>Change D</w:t>
            </w:r>
            <w:r w:rsidR="004044A4" w:rsidRPr="004044A4">
              <w:t>ate</w:t>
            </w:r>
          </w:p>
        </w:tc>
        <w:tc>
          <w:tcPr>
            <w:tcW w:w="7740" w:type="dxa"/>
            <w:hideMark/>
          </w:tcPr>
          <w:p w:rsidR="008946CF" w:rsidRDefault="008946CF" w:rsidP="008946CF">
            <w:pPr>
              <w:pStyle w:val="BlockTex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February 12, 2014, Change 1</w:t>
            </w:r>
          </w:p>
          <w:p w:rsidR="004044A4" w:rsidRDefault="004044A4" w:rsidP="004044A4">
            <w:pPr>
              <w:pStyle w:val="BulletText1"/>
              <w:numPr>
                <w:ilvl w:val="0"/>
                <w:numId w:val="7"/>
              </w:numPr>
              <w:spacing w:line="276" w:lineRule="auto"/>
              <w:ind w:left="187" w:hanging="187"/>
            </w:pPr>
            <w:r>
              <w:t>This entire section has been updated.</w:t>
            </w:r>
          </w:p>
        </w:tc>
      </w:tr>
    </w:tbl>
    <w:p w:rsidR="00D60D45" w:rsidRPr="00337774" w:rsidRDefault="004044A4" w:rsidP="004044A4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60D45" w:rsidRPr="00337774" w:rsidTr="00717114">
        <w:trPr>
          <w:cantSplit/>
        </w:trPr>
        <w:tc>
          <w:tcPr>
            <w:tcW w:w="1728" w:type="dxa"/>
          </w:tcPr>
          <w:p w:rsidR="00D60D45" w:rsidRPr="00337774" w:rsidRDefault="00D60D45" w:rsidP="00717114">
            <w:pPr>
              <w:pStyle w:val="Heading5"/>
            </w:pPr>
            <w:r w:rsidRPr="00337774">
              <w:t>a. G</w:t>
            </w:r>
            <w:r w:rsidR="0095124E">
              <w:t>eneral Information o</w:t>
            </w:r>
            <w:r w:rsidR="00D100EE">
              <w:t>n Final A</w:t>
            </w:r>
            <w:r w:rsidRPr="00337774">
              <w:t xml:space="preserve">ccounting  </w:t>
            </w:r>
          </w:p>
        </w:tc>
        <w:tc>
          <w:tcPr>
            <w:tcW w:w="7740" w:type="dxa"/>
          </w:tcPr>
          <w:p w:rsidR="00D60D45" w:rsidRPr="00337774" w:rsidRDefault="004044A4" w:rsidP="00717114">
            <w:pPr>
              <w:pStyle w:val="BulletText1"/>
              <w:numPr>
                <w:ilvl w:val="0"/>
                <w:numId w:val="0"/>
              </w:numPr>
              <w:ind w:left="187" w:hanging="187"/>
            </w:pPr>
            <w:r>
              <w:t>Final a</w:t>
            </w:r>
            <w:r w:rsidR="00D60D45" w:rsidRPr="00337774">
              <w:t>ccounting is completed to verify the following:</w:t>
            </w:r>
          </w:p>
          <w:p w:rsidR="00D60D45" w:rsidRPr="00337774" w:rsidRDefault="00D60D45" w:rsidP="00717114">
            <w:pPr>
              <w:pStyle w:val="BulletText1"/>
              <w:numPr>
                <w:ilvl w:val="0"/>
                <w:numId w:val="0"/>
              </w:numPr>
              <w:ind w:left="187" w:hanging="187"/>
            </w:pPr>
          </w:p>
          <w:p w:rsidR="00D60D45" w:rsidRPr="00337774" w:rsidRDefault="00D100EE" w:rsidP="00D60D45">
            <w:pPr>
              <w:pStyle w:val="BulletText1"/>
              <w:numPr>
                <w:ilvl w:val="0"/>
                <w:numId w:val="4"/>
              </w:numPr>
            </w:pPr>
            <w:r>
              <w:t>t</w:t>
            </w:r>
            <w:r w:rsidR="00D60D45" w:rsidRPr="00337774">
              <w:t>he release of all available funds associated with the project</w:t>
            </w:r>
            <w:r>
              <w:t>,</w:t>
            </w:r>
          </w:p>
          <w:p w:rsidR="00D60D45" w:rsidRPr="00337774" w:rsidRDefault="00D100EE" w:rsidP="00D60D45">
            <w:pPr>
              <w:pStyle w:val="BulletText1"/>
              <w:numPr>
                <w:ilvl w:val="0"/>
                <w:numId w:val="4"/>
              </w:numPr>
            </w:pPr>
            <w:r>
              <w:t>t</w:t>
            </w:r>
            <w:r w:rsidR="00D60D45" w:rsidRPr="00337774">
              <w:t>he costs associated with the project, and</w:t>
            </w:r>
          </w:p>
          <w:p w:rsidR="00D60D45" w:rsidRPr="00337774" w:rsidRDefault="00D100EE" w:rsidP="00D60D45">
            <w:pPr>
              <w:pStyle w:val="BulletText1"/>
              <w:numPr>
                <w:ilvl w:val="0"/>
                <w:numId w:val="4"/>
              </w:numPr>
            </w:pPr>
            <w:r>
              <w:t>e</w:t>
            </w:r>
            <w:r w:rsidR="00D60D45" w:rsidRPr="00337774">
              <w:t>vidence that</w:t>
            </w:r>
            <w:r>
              <w:t xml:space="preserve"> the project has been completed.</w:t>
            </w:r>
          </w:p>
        </w:tc>
      </w:tr>
    </w:tbl>
    <w:p w:rsidR="00D60D45" w:rsidRPr="00337774" w:rsidRDefault="00D60D45" w:rsidP="00D60D45">
      <w:pPr>
        <w:pStyle w:val="BlockLine"/>
      </w:pPr>
      <w:r w:rsidRPr="00337774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60D45" w:rsidRPr="00337774" w:rsidTr="00717114">
        <w:trPr>
          <w:cantSplit/>
        </w:trPr>
        <w:tc>
          <w:tcPr>
            <w:tcW w:w="1728" w:type="dxa"/>
          </w:tcPr>
          <w:p w:rsidR="00D60D45" w:rsidRPr="00337774" w:rsidRDefault="00D60D45" w:rsidP="00717114">
            <w:pPr>
              <w:pStyle w:val="Heading5"/>
            </w:pPr>
            <w:r w:rsidRPr="00337774">
              <w:t xml:space="preserve">b. When to </w:t>
            </w:r>
            <w:r w:rsidR="0095124E">
              <w:t>P</w:t>
            </w:r>
            <w:r w:rsidRPr="00337774">
              <w:t xml:space="preserve">erform </w:t>
            </w:r>
          </w:p>
        </w:tc>
        <w:tc>
          <w:tcPr>
            <w:tcW w:w="7740" w:type="dxa"/>
          </w:tcPr>
          <w:p w:rsidR="00D60D45" w:rsidRPr="00337774" w:rsidRDefault="00D60D45" w:rsidP="00717114">
            <w:pPr>
              <w:pStyle w:val="BlockText"/>
              <w:numPr>
                <w:ilvl w:val="12"/>
                <w:numId w:val="0"/>
              </w:numPr>
            </w:pPr>
            <w:r w:rsidRPr="00337774">
              <w:t>Obtain the required exhibits and supporting documentation when all grant funds are released and the escrow account is closed.</w:t>
            </w:r>
          </w:p>
        </w:tc>
      </w:tr>
    </w:tbl>
    <w:p w:rsidR="00D60D45" w:rsidRPr="00337774" w:rsidRDefault="00D60D45" w:rsidP="00D60D45">
      <w:pPr>
        <w:pStyle w:val="BlockLine"/>
      </w:pPr>
      <w:r w:rsidRPr="00337774">
        <w:t xml:space="preserve"> </w:t>
      </w:r>
    </w:p>
    <w:p w:rsidR="00D60D45" w:rsidRPr="00337774" w:rsidRDefault="00D60D45" w:rsidP="00D60D45">
      <w:pPr>
        <w:pStyle w:val="Heading4"/>
        <w:numPr>
          <w:ilvl w:val="0"/>
          <w:numId w:val="6"/>
        </w:numPr>
      </w:pPr>
      <w:r w:rsidRPr="00337774">
        <w:br w:type="page"/>
      </w:r>
      <w:r w:rsidRPr="00337774">
        <w:lastRenderedPageBreak/>
        <w:t>Obtaining the Supporting Documentation and Providing Required Exhibits to Close the File</w:t>
      </w:r>
    </w:p>
    <w:p w:rsidR="004044A4" w:rsidRPr="00337774" w:rsidRDefault="00D60D45" w:rsidP="00D60D45">
      <w:pPr>
        <w:pStyle w:val="BlockLine"/>
      </w:pPr>
      <w:r w:rsidRPr="00337774"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740"/>
      </w:tblGrid>
      <w:tr w:rsidR="004044A4" w:rsidTr="004044A4">
        <w:trPr>
          <w:cantSplit/>
        </w:trPr>
        <w:tc>
          <w:tcPr>
            <w:tcW w:w="1728" w:type="dxa"/>
            <w:hideMark/>
          </w:tcPr>
          <w:p w:rsidR="004044A4" w:rsidRPr="004044A4" w:rsidRDefault="00347D15">
            <w:pPr>
              <w:pStyle w:val="Heading5"/>
              <w:spacing w:line="276" w:lineRule="auto"/>
            </w:pPr>
            <w:r>
              <w:t>Change D</w:t>
            </w:r>
            <w:r w:rsidR="004044A4" w:rsidRPr="004044A4">
              <w:t>ate</w:t>
            </w:r>
          </w:p>
        </w:tc>
        <w:tc>
          <w:tcPr>
            <w:tcW w:w="7740" w:type="dxa"/>
            <w:hideMark/>
          </w:tcPr>
          <w:p w:rsidR="008946CF" w:rsidRDefault="008946CF" w:rsidP="008946CF">
            <w:pPr>
              <w:pStyle w:val="BlockTex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February 12, 2014, Change 1</w:t>
            </w:r>
          </w:p>
          <w:p w:rsidR="004044A4" w:rsidRDefault="004044A4" w:rsidP="004044A4">
            <w:pPr>
              <w:pStyle w:val="BulletText1"/>
              <w:numPr>
                <w:ilvl w:val="0"/>
                <w:numId w:val="7"/>
              </w:numPr>
              <w:spacing w:line="276" w:lineRule="auto"/>
              <w:ind w:left="187" w:hanging="187"/>
            </w:pPr>
            <w:r>
              <w:t>This entire section has been updated.</w:t>
            </w:r>
          </w:p>
        </w:tc>
      </w:tr>
    </w:tbl>
    <w:p w:rsidR="00D60D45" w:rsidRPr="00337774" w:rsidRDefault="004044A4" w:rsidP="004044A4">
      <w:pPr>
        <w:pStyle w:val="BlockLine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60D45" w:rsidRPr="00337774" w:rsidTr="00717114">
        <w:trPr>
          <w:cantSplit/>
          <w:trHeight w:val="5445"/>
        </w:trPr>
        <w:tc>
          <w:tcPr>
            <w:tcW w:w="1728" w:type="dxa"/>
          </w:tcPr>
          <w:p w:rsidR="00D60D45" w:rsidRPr="00337774" w:rsidRDefault="0095124E" w:rsidP="00717114">
            <w:pPr>
              <w:pStyle w:val="Heading5"/>
              <w:numPr>
                <w:ilvl w:val="12"/>
                <w:numId w:val="0"/>
              </w:numPr>
            </w:pPr>
            <w:r>
              <w:t>a. Items t</w:t>
            </w:r>
            <w:r w:rsidR="00D100EE">
              <w:t>o O</w:t>
            </w:r>
            <w:r w:rsidR="00D60D45" w:rsidRPr="00337774">
              <w:t>btain</w:t>
            </w:r>
          </w:p>
          <w:p w:rsidR="00D60D45" w:rsidRPr="00337774" w:rsidRDefault="00D60D45" w:rsidP="00717114">
            <w:pPr>
              <w:jc w:val="center"/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D60D45" w:rsidRPr="00337774" w:rsidRDefault="00D60D45" w:rsidP="00717114">
            <w:pPr>
              <w:pStyle w:val="BlockText"/>
              <w:numPr>
                <w:ilvl w:val="12"/>
                <w:numId w:val="0"/>
              </w:numPr>
            </w:pPr>
            <w:r w:rsidRPr="00337774">
              <w:t>Obtain the following required exhibits and supporting documentation as it relates to the Specially Adapted Housing (SAH)/Special Housing Adaptat</w:t>
            </w:r>
            <w:r w:rsidR="0095124E">
              <w:t>ion</w:t>
            </w:r>
            <w:r w:rsidRPr="00337774">
              <w:t xml:space="preserve"> (SHA) grant:</w:t>
            </w:r>
          </w:p>
          <w:p w:rsidR="00D60D45" w:rsidRPr="00337774" w:rsidRDefault="00D60D45" w:rsidP="00717114">
            <w:pPr>
              <w:pStyle w:val="BlockText"/>
              <w:numPr>
                <w:ilvl w:val="12"/>
                <w:numId w:val="0"/>
              </w:numPr>
              <w:rPr>
                <w:b/>
              </w:rPr>
            </w:pPr>
          </w:p>
          <w:p w:rsidR="00D60D45" w:rsidRPr="00337774" w:rsidRDefault="00D100EE" w:rsidP="00D60D45">
            <w:pPr>
              <w:pStyle w:val="BulletText2"/>
              <w:numPr>
                <w:ilvl w:val="0"/>
                <w:numId w:val="5"/>
              </w:numPr>
            </w:pPr>
            <w:r>
              <w:t>e</w:t>
            </w:r>
            <w:r w:rsidR="00D60D45" w:rsidRPr="00337774">
              <w:t>vidence that the escrow account has been closed, such as a letter or disbursement statement/summary of payment from the escrow agent</w:t>
            </w:r>
            <w:r w:rsidR="00347D15">
              <w:t>;</w:t>
            </w:r>
          </w:p>
          <w:p w:rsidR="00D60D45" w:rsidRPr="00337774" w:rsidRDefault="00D100EE" w:rsidP="00D60D45">
            <w:pPr>
              <w:pStyle w:val="BulletText2"/>
              <w:numPr>
                <w:ilvl w:val="0"/>
                <w:numId w:val="5"/>
              </w:numPr>
            </w:pPr>
            <w:r>
              <w:t>if</w:t>
            </w:r>
            <w:r w:rsidR="00D60D45" w:rsidRPr="00337774">
              <w:t xml:space="preserve"> an interest bearing escrow account was used, evidence that any interest earned was paid to the Veteran, such as a printout from the escrow agent showing the total interest earned and a copy of the check made payable to the Veteran</w:t>
            </w:r>
            <w:r w:rsidR="00347D15">
              <w:t>;</w:t>
            </w:r>
            <w:r w:rsidR="00D60D45" w:rsidRPr="00337774">
              <w:t xml:space="preserve"> </w:t>
            </w:r>
          </w:p>
          <w:p w:rsidR="00D60D45" w:rsidRPr="00337774" w:rsidRDefault="00D100EE" w:rsidP="00D60D45">
            <w:pPr>
              <w:pStyle w:val="BulletText2"/>
              <w:numPr>
                <w:ilvl w:val="0"/>
                <w:numId w:val="5"/>
              </w:numPr>
            </w:pPr>
            <w:r>
              <w:t>i</w:t>
            </w:r>
            <w:r w:rsidR="00D60D45" w:rsidRPr="00337774">
              <w:t>f grant funds were to be applied to the principal balance of a mortgage, evidence such as a copy of the check to the mortgagee, and a printout or mortgage statement from the Veteran indicating the grant funds were applied to reduce the principal balance</w:t>
            </w:r>
            <w:r w:rsidR="00347D15">
              <w:t>;</w:t>
            </w:r>
            <w:r w:rsidR="00D60D45" w:rsidRPr="00337774">
              <w:t xml:space="preserve">   </w:t>
            </w:r>
          </w:p>
          <w:p w:rsidR="00D60D45" w:rsidRPr="00337774" w:rsidRDefault="00D60D45" w:rsidP="00D60D45">
            <w:pPr>
              <w:pStyle w:val="BulletText1"/>
              <w:numPr>
                <w:ilvl w:val="0"/>
                <w:numId w:val="3"/>
              </w:numPr>
              <w:ind w:left="187" w:hanging="187"/>
            </w:pPr>
            <w:r w:rsidRPr="00337774">
              <w:rPr>
                <w:i/>
              </w:rPr>
              <w:t>HUD-1 Settlement Statement</w:t>
            </w:r>
            <w:r w:rsidRPr="00337774">
              <w:t xml:space="preserve"> (if applica</w:t>
            </w:r>
            <w:r w:rsidR="00347D15">
              <w:t>ble) from the Veteran or lender;</w:t>
            </w:r>
            <w:r w:rsidRPr="00337774">
              <w:t xml:space="preserve"> </w:t>
            </w:r>
            <w:r w:rsidRPr="00337774">
              <w:br/>
              <w:t xml:space="preserve">   and</w:t>
            </w:r>
          </w:p>
          <w:p w:rsidR="00D60D45" w:rsidRPr="00337774" w:rsidRDefault="00D100EE" w:rsidP="00D60D45">
            <w:pPr>
              <w:pStyle w:val="BulletText1"/>
              <w:numPr>
                <w:ilvl w:val="0"/>
                <w:numId w:val="3"/>
              </w:numPr>
              <w:ind w:left="187" w:hanging="187"/>
            </w:pPr>
            <w:r>
              <w:t>a</w:t>
            </w:r>
            <w:r w:rsidR="00D60D45" w:rsidRPr="00337774">
              <w:t xml:space="preserve">ny other supporting documentation from the Veteran, lender, or escrow </w:t>
            </w:r>
            <w:r w:rsidR="00D60D45" w:rsidRPr="00337774">
              <w:br/>
              <w:t xml:space="preserve">   agent, as applicable to support the cost of the project and the release of </w:t>
            </w:r>
            <w:r w:rsidR="00D60D45" w:rsidRPr="00337774">
              <w:br/>
              <w:t xml:space="preserve">   funds.</w:t>
            </w:r>
          </w:p>
        </w:tc>
      </w:tr>
    </w:tbl>
    <w:p w:rsidR="00D60D45" w:rsidRPr="00380406" w:rsidRDefault="00D60D45" w:rsidP="00D60D45">
      <w:pPr>
        <w:pStyle w:val="BlockLine"/>
        <w:numPr>
          <w:ilvl w:val="0"/>
          <w:numId w:val="6"/>
        </w:numPr>
        <w:pBdr>
          <w:top w:val="none" w:sz="0" w:space="0" w:color="auto"/>
          <w:between w:val="none" w:sz="0" w:space="0" w:color="auto"/>
        </w:pBdr>
        <w:rPr>
          <w:rFonts w:ascii="Arial" w:hAnsi="Arial" w:cs="Arial"/>
          <w:b/>
          <w:sz w:val="32"/>
          <w:szCs w:val="32"/>
        </w:rPr>
      </w:pPr>
      <w:r w:rsidRPr="00337774">
        <w:br w:type="page"/>
      </w:r>
      <w:r w:rsidRPr="00380406">
        <w:rPr>
          <w:rFonts w:ascii="Arial" w:hAnsi="Arial" w:cs="Arial"/>
          <w:b/>
          <w:sz w:val="32"/>
          <w:szCs w:val="32"/>
        </w:rPr>
        <w:lastRenderedPageBreak/>
        <w:t>Requirements for Closing Final Accounting</w:t>
      </w:r>
    </w:p>
    <w:p w:rsidR="00D60D45" w:rsidRDefault="00D60D45" w:rsidP="00D60D45">
      <w:pPr>
        <w:pStyle w:val="BlockLine"/>
        <w:numPr>
          <w:ilvl w:val="12"/>
          <w:numId w:val="0"/>
        </w:numPr>
        <w:ind w:left="170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740"/>
      </w:tblGrid>
      <w:tr w:rsidR="004044A4" w:rsidTr="004044A4">
        <w:trPr>
          <w:cantSplit/>
        </w:trPr>
        <w:tc>
          <w:tcPr>
            <w:tcW w:w="1728" w:type="dxa"/>
            <w:hideMark/>
          </w:tcPr>
          <w:p w:rsidR="004044A4" w:rsidRPr="004044A4" w:rsidRDefault="00347D15">
            <w:pPr>
              <w:pStyle w:val="Heading5"/>
              <w:spacing w:line="276" w:lineRule="auto"/>
            </w:pPr>
            <w:r>
              <w:t>Change D</w:t>
            </w:r>
            <w:r w:rsidR="004044A4" w:rsidRPr="004044A4">
              <w:t>ate</w:t>
            </w:r>
          </w:p>
        </w:tc>
        <w:tc>
          <w:tcPr>
            <w:tcW w:w="7740" w:type="dxa"/>
            <w:hideMark/>
          </w:tcPr>
          <w:p w:rsidR="008946CF" w:rsidRDefault="008946CF" w:rsidP="008946CF">
            <w:pPr>
              <w:pStyle w:val="BlockTex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February 12, 2014, Change 1</w:t>
            </w:r>
          </w:p>
          <w:p w:rsidR="004044A4" w:rsidRDefault="004044A4" w:rsidP="004044A4">
            <w:pPr>
              <w:pStyle w:val="BulletText1"/>
              <w:numPr>
                <w:ilvl w:val="0"/>
                <w:numId w:val="7"/>
              </w:numPr>
              <w:spacing w:line="276" w:lineRule="auto"/>
              <w:ind w:left="187" w:hanging="187"/>
            </w:pPr>
            <w:r>
              <w:t>This entire section has been updated.</w:t>
            </w:r>
          </w:p>
        </w:tc>
      </w:tr>
    </w:tbl>
    <w:p w:rsidR="004044A4" w:rsidRDefault="004044A4" w:rsidP="004044A4">
      <w:pPr>
        <w:pStyle w:val="BlockLine"/>
      </w:pPr>
      <w:r>
        <w:t xml:space="preserve"> </w:t>
      </w:r>
    </w:p>
    <w:tbl>
      <w:tblPr>
        <w:tblW w:w="9669" w:type="dxa"/>
        <w:tblLayout w:type="fixed"/>
        <w:tblLook w:val="0000" w:firstRow="0" w:lastRow="0" w:firstColumn="0" w:lastColumn="0" w:noHBand="0" w:noVBand="0"/>
      </w:tblPr>
      <w:tblGrid>
        <w:gridCol w:w="1728"/>
        <w:gridCol w:w="37"/>
        <w:gridCol w:w="7702"/>
        <w:gridCol w:w="202"/>
      </w:tblGrid>
      <w:tr w:rsidR="00D60D45" w:rsidRPr="00337774" w:rsidTr="004044A4">
        <w:trPr>
          <w:cantSplit/>
          <w:trHeight w:val="899"/>
        </w:trPr>
        <w:tc>
          <w:tcPr>
            <w:tcW w:w="1765" w:type="dxa"/>
            <w:gridSpan w:val="2"/>
          </w:tcPr>
          <w:p w:rsidR="00D60D45" w:rsidRPr="00337774" w:rsidRDefault="0095124E" w:rsidP="00717114">
            <w:pPr>
              <w:pStyle w:val="Heading5"/>
              <w:numPr>
                <w:ilvl w:val="12"/>
                <w:numId w:val="0"/>
              </w:numPr>
            </w:pPr>
            <w:r>
              <w:t>a. When t</w:t>
            </w:r>
            <w:r w:rsidR="00D60D45" w:rsidRPr="00337774">
              <w:t xml:space="preserve">o </w:t>
            </w:r>
            <w:r w:rsidR="00D100EE">
              <w:t>P</w:t>
            </w:r>
            <w:r w:rsidR="00D60D45" w:rsidRPr="00337774">
              <w:t xml:space="preserve">erform </w:t>
            </w:r>
          </w:p>
        </w:tc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D60D45" w:rsidRDefault="00D60D45" w:rsidP="00717114">
            <w:pPr>
              <w:pStyle w:val="BlockText"/>
              <w:numPr>
                <w:ilvl w:val="12"/>
                <w:numId w:val="0"/>
              </w:numPr>
            </w:pPr>
            <w:r w:rsidRPr="00337774">
              <w:t>Upon receipt of all final documentation by the Regional Loan Center (RLC), and upon confirmation that there are no outstanding issues</w:t>
            </w:r>
            <w:r>
              <w:t xml:space="preserve"> with the completed construction</w:t>
            </w:r>
            <w:r w:rsidRPr="00337774">
              <w:t>, the final accounting may be completed.</w:t>
            </w:r>
          </w:p>
          <w:p w:rsidR="00D100EE" w:rsidRPr="00337774" w:rsidRDefault="00D100EE" w:rsidP="00717114">
            <w:pPr>
              <w:pStyle w:val="BlockText"/>
              <w:numPr>
                <w:ilvl w:val="12"/>
                <w:numId w:val="0"/>
              </w:numPr>
            </w:pPr>
          </w:p>
        </w:tc>
      </w:tr>
      <w:tr w:rsidR="00D60D45" w:rsidRPr="00337774" w:rsidTr="004044A4">
        <w:trPr>
          <w:gridAfter w:val="1"/>
          <w:wAfter w:w="202" w:type="dxa"/>
          <w:cantSplit/>
        </w:trPr>
        <w:tc>
          <w:tcPr>
            <w:tcW w:w="1728" w:type="dxa"/>
          </w:tcPr>
          <w:p w:rsidR="00D60D45" w:rsidRPr="00337774" w:rsidRDefault="00D60D45" w:rsidP="00717114">
            <w:pPr>
              <w:pStyle w:val="Heading5"/>
              <w:numPr>
                <w:ilvl w:val="12"/>
                <w:numId w:val="0"/>
              </w:numPr>
            </w:pPr>
          </w:p>
          <w:p w:rsidR="00D60D45" w:rsidRPr="00337774" w:rsidRDefault="00D60D45" w:rsidP="00717114">
            <w:pPr>
              <w:pStyle w:val="Heading5"/>
              <w:numPr>
                <w:ilvl w:val="12"/>
                <w:numId w:val="0"/>
              </w:numPr>
            </w:pPr>
            <w:r w:rsidRPr="00337774">
              <w:t xml:space="preserve">b. Timeliness </w:t>
            </w:r>
            <w:r w:rsidR="00D100EE">
              <w:t>R</w:t>
            </w:r>
            <w:r w:rsidRPr="00337774">
              <w:t xml:space="preserve">equirements </w:t>
            </w:r>
          </w:p>
        </w:tc>
        <w:tc>
          <w:tcPr>
            <w:tcW w:w="7739" w:type="dxa"/>
            <w:gridSpan w:val="2"/>
            <w:tcBorders>
              <w:bottom w:val="single" w:sz="4" w:space="0" w:color="auto"/>
            </w:tcBorders>
          </w:tcPr>
          <w:p w:rsidR="00D60D45" w:rsidRDefault="00D60D45" w:rsidP="00717114">
            <w:pPr>
              <w:pStyle w:val="BlockText"/>
              <w:numPr>
                <w:ilvl w:val="12"/>
                <w:numId w:val="0"/>
              </w:numPr>
            </w:pPr>
          </w:p>
          <w:p w:rsidR="00D60D45" w:rsidRDefault="00D60D45" w:rsidP="00717114">
            <w:pPr>
              <w:pStyle w:val="BlockText"/>
              <w:numPr>
                <w:ilvl w:val="12"/>
                <w:numId w:val="0"/>
              </w:numPr>
            </w:pPr>
            <w:r w:rsidRPr="00337774">
              <w:t xml:space="preserve">The final accounting </w:t>
            </w:r>
            <w:r w:rsidRPr="00D100EE">
              <w:t>must</w:t>
            </w:r>
            <w:r w:rsidRPr="00337774">
              <w:t xml:space="preserve"> be completed and certified (and th</w:t>
            </w:r>
            <w:r w:rsidR="000B0EC1">
              <w:t>e case closed) no later than 75-</w:t>
            </w:r>
            <w:r w:rsidRPr="00337774">
              <w:t xml:space="preserve">business days after the </w:t>
            </w:r>
            <w:r>
              <w:t xml:space="preserve">date the </w:t>
            </w:r>
            <w:r w:rsidRPr="00337774">
              <w:t xml:space="preserve">final </w:t>
            </w:r>
            <w:r>
              <w:t>field review was completed</w:t>
            </w:r>
            <w:r w:rsidRPr="00337774">
              <w:t>.</w:t>
            </w:r>
          </w:p>
          <w:p w:rsidR="00D60D45" w:rsidRPr="00337774" w:rsidRDefault="00D60D45" w:rsidP="00717114">
            <w:pPr>
              <w:pStyle w:val="BlockText"/>
              <w:numPr>
                <w:ilvl w:val="12"/>
                <w:numId w:val="0"/>
              </w:numPr>
            </w:pPr>
          </w:p>
          <w:p w:rsidR="00D60D45" w:rsidRPr="00337774" w:rsidRDefault="00D60D45" w:rsidP="00717114">
            <w:pPr>
              <w:pStyle w:val="BlockText"/>
              <w:numPr>
                <w:ilvl w:val="12"/>
                <w:numId w:val="0"/>
              </w:numPr>
            </w:pPr>
            <w:r w:rsidRPr="00337774">
              <w:t xml:space="preserve">Closing the </w:t>
            </w:r>
            <w:r w:rsidR="0095124E">
              <w:t>SAH</w:t>
            </w:r>
            <w:r w:rsidRPr="00337774">
              <w:t xml:space="preserve"> or </w:t>
            </w:r>
            <w:r w:rsidR="0095124E">
              <w:t>SHA</w:t>
            </w:r>
            <w:r w:rsidR="000B0EC1">
              <w:t xml:space="preserve"> grant within the 75-</w:t>
            </w:r>
            <w:r w:rsidRPr="00337774">
              <w:t xml:space="preserve">business day timeframe provides better performance tracking metrics.  </w:t>
            </w:r>
          </w:p>
          <w:p w:rsidR="00D60D45" w:rsidRPr="00337774" w:rsidRDefault="00D60D45" w:rsidP="00717114">
            <w:pPr>
              <w:pStyle w:val="BlockText"/>
              <w:numPr>
                <w:ilvl w:val="12"/>
                <w:numId w:val="0"/>
              </w:numPr>
            </w:pPr>
          </w:p>
        </w:tc>
      </w:tr>
      <w:tr w:rsidR="00D60D45" w:rsidRPr="00337774" w:rsidTr="00717114">
        <w:trPr>
          <w:cantSplit/>
        </w:trPr>
        <w:tc>
          <w:tcPr>
            <w:tcW w:w="1765" w:type="dxa"/>
            <w:gridSpan w:val="2"/>
          </w:tcPr>
          <w:p w:rsidR="00D60D45" w:rsidRPr="00337774" w:rsidRDefault="00D60D45" w:rsidP="00717114">
            <w:pPr>
              <w:pStyle w:val="Heading5"/>
              <w:numPr>
                <w:ilvl w:val="12"/>
                <w:numId w:val="0"/>
              </w:numPr>
            </w:pPr>
          </w:p>
          <w:p w:rsidR="00D60D45" w:rsidRPr="00337774" w:rsidRDefault="00D60D45" w:rsidP="00717114">
            <w:pPr>
              <w:pStyle w:val="Heading5"/>
              <w:numPr>
                <w:ilvl w:val="12"/>
                <w:numId w:val="0"/>
              </w:numPr>
            </w:pPr>
            <w:r>
              <w:t>c</w:t>
            </w:r>
            <w:r w:rsidRPr="00337774">
              <w:t xml:space="preserve">. </w:t>
            </w:r>
            <w:r w:rsidR="00D100EE">
              <w:t>Extenuating C</w:t>
            </w:r>
            <w:r>
              <w:t>ircumstances</w:t>
            </w:r>
            <w:r w:rsidRPr="00337774">
              <w:t xml:space="preserve"> </w:t>
            </w:r>
          </w:p>
        </w:tc>
        <w:tc>
          <w:tcPr>
            <w:tcW w:w="7904" w:type="dxa"/>
            <w:gridSpan w:val="2"/>
            <w:tcBorders>
              <w:bottom w:val="single" w:sz="4" w:space="0" w:color="auto"/>
            </w:tcBorders>
          </w:tcPr>
          <w:p w:rsidR="00D60D45" w:rsidRPr="00337774" w:rsidRDefault="00D60D45" w:rsidP="00717114">
            <w:pPr>
              <w:pStyle w:val="BlockText"/>
              <w:numPr>
                <w:ilvl w:val="12"/>
                <w:numId w:val="0"/>
              </w:numPr>
            </w:pPr>
          </w:p>
          <w:p w:rsidR="00D60D45" w:rsidRPr="008C484B" w:rsidRDefault="00D60D45" w:rsidP="00717114">
            <w:pPr>
              <w:pStyle w:val="BlockText"/>
              <w:numPr>
                <w:ilvl w:val="12"/>
                <w:numId w:val="0"/>
              </w:numPr>
            </w:pPr>
            <w:r>
              <w:t>There will occasionally be situations in which the RLC is unable to obtain final accounting documentation, or in which the documentation received is incorrect</w:t>
            </w:r>
            <w:r w:rsidRPr="00337774">
              <w:t>.</w:t>
            </w:r>
            <w:r w:rsidR="0095124E">
              <w:t xml:space="preserve">  The SAH A</w:t>
            </w:r>
            <w:r>
              <w:t xml:space="preserve">gent </w:t>
            </w:r>
            <w:r w:rsidRPr="00D100EE">
              <w:t>must</w:t>
            </w:r>
            <w:r>
              <w:t xml:space="preserve"> make every attempt to obtain all required final accounting documentation and to ensure its accuracy.  If a third party does not provide correct and c</w:t>
            </w:r>
            <w:r w:rsidR="00D9764D">
              <w:t>omplete documentation, the SAH A</w:t>
            </w:r>
            <w:r>
              <w:t xml:space="preserve">gent </w:t>
            </w:r>
            <w:r w:rsidRPr="00D100EE">
              <w:t>must</w:t>
            </w:r>
            <w:r>
              <w:t xml:space="preserve"> document all attempts to obtain the documentation and then contact Central Office for authorization to close the case.</w:t>
            </w:r>
          </w:p>
          <w:p w:rsidR="00D60D45" w:rsidRPr="00337774" w:rsidRDefault="00D60D45" w:rsidP="00717114">
            <w:pPr>
              <w:pStyle w:val="BlockText"/>
              <w:numPr>
                <w:ilvl w:val="12"/>
                <w:numId w:val="0"/>
              </w:numPr>
            </w:pPr>
          </w:p>
        </w:tc>
      </w:tr>
    </w:tbl>
    <w:p w:rsidR="00C95E3A" w:rsidRDefault="00C95E3A"/>
    <w:sectPr w:rsidR="00C95E3A" w:rsidSect="0064278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EE" w:rsidRDefault="00D100EE" w:rsidP="00D100EE">
      <w:r>
        <w:separator/>
      </w:r>
    </w:p>
  </w:endnote>
  <w:endnote w:type="continuationSeparator" w:id="0">
    <w:p w:rsidR="00D100EE" w:rsidRDefault="00D100EE" w:rsidP="00D1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8C" w:rsidRDefault="0064278C" w:rsidP="0064278C">
    <w:pPr>
      <w:pStyle w:val="Footer"/>
    </w:pPr>
    <w:r>
      <w:t>11-</w:t>
    </w:r>
    <w:r>
      <w:fldChar w:fldCharType="begin"/>
    </w:r>
    <w:r>
      <w:instrText xml:space="preserve"> PAGE   \* MERGEFORMAT </w:instrText>
    </w:r>
    <w:r>
      <w:fldChar w:fldCharType="separate"/>
    </w:r>
    <w:r w:rsidR="008F268F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340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78C" w:rsidRDefault="0064278C" w:rsidP="0064278C">
        <w:pPr>
          <w:pStyle w:val="Footer"/>
          <w:jc w:val="right"/>
        </w:pPr>
        <w:r>
          <w:t>11-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6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278C" w:rsidRDefault="00642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EE" w:rsidRDefault="00D100EE" w:rsidP="00D100EE">
      <w:r>
        <w:separator/>
      </w:r>
    </w:p>
  </w:footnote>
  <w:footnote w:type="continuationSeparator" w:id="0">
    <w:p w:rsidR="00D100EE" w:rsidRDefault="00D100EE" w:rsidP="00D10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4D" w:rsidRDefault="00D9764D" w:rsidP="00D9764D">
    <w:pPr>
      <w:pStyle w:val="Header"/>
      <w:tabs>
        <w:tab w:val="left" w:pos="1710"/>
        <w:tab w:val="right" w:pos="9270"/>
      </w:tabs>
      <w:rPr>
        <w:i/>
        <w:iCs/>
        <w:szCs w:val="22"/>
      </w:rPr>
    </w:pPr>
    <w:r>
      <w:rPr>
        <w:i/>
        <w:iCs/>
      </w:rPr>
      <w:t>VA Manual 26-12, Revised</w:t>
    </w:r>
    <w:r>
      <w:rPr>
        <w:i/>
        <w:iCs/>
        <w:szCs w:val="22"/>
      </w:rPr>
      <w:t xml:space="preserve"> </w:t>
    </w:r>
  </w:p>
  <w:p w:rsidR="00D9764D" w:rsidRDefault="00D9764D" w:rsidP="00D9764D">
    <w:pPr>
      <w:pStyle w:val="Header"/>
      <w:rPr>
        <w:i/>
        <w:iCs/>
        <w:szCs w:val="22"/>
      </w:rPr>
    </w:pPr>
    <w:r>
      <w:rPr>
        <w:i/>
        <w:iCs/>
        <w:szCs w:val="22"/>
      </w:rPr>
      <w:t>Chapter 11: Final Accounting</w:t>
    </w:r>
  </w:p>
  <w:p w:rsidR="0064278C" w:rsidRDefault="0064278C" w:rsidP="003E627C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B6" w:rsidRDefault="00D9764D" w:rsidP="009573B6">
    <w:pPr>
      <w:pStyle w:val="Header"/>
      <w:tabs>
        <w:tab w:val="left" w:pos="1710"/>
        <w:tab w:val="right" w:pos="9270"/>
      </w:tabs>
      <w:jc w:val="right"/>
      <w:rPr>
        <w:i/>
        <w:iCs/>
        <w:szCs w:val="22"/>
      </w:rPr>
    </w:pPr>
    <w:r>
      <w:rPr>
        <w:i/>
        <w:iCs/>
      </w:rPr>
      <w:t>VA Manual 26</w:t>
    </w:r>
    <w:r w:rsidR="009573B6">
      <w:rPr>
        <w:i/>
        <w:iCs/>
      </w:rPr>
      <w:t>-12, Revised</w:t>
    </w:r>
    <w:r w:rsidR="009573B6">
      <w:rPr>
        <w:i/>
        <w:iCs/>
        <w:szCs w:val="22"/>
      </w:rPr>
      <w:t xml:space="preserve"> </w:t>
    </w:r>
  </w:p>
  <w:p w:rsidR="009573B6" w:rsidRDefault="00D9764D" w:rsidP="009573B6">
    <w:pPr>
      <w:pStyle w:val="Header"/>
      <w:jc w:val="right"/>
      <w:rPr>
        <w:i/>
        <w:iCs/>
        <w:szCs w:val="22"/>
      </w:rPr>
    </w:pPr>
    <w:r>
      <w:rPr>
        <w:i/>
        <w:iCs/>
        <w:szCs w:val="22"/>
      </w:rPr>
      <w:t xml:space="preserve">Chapter 11: </w:t>
    </w:r>
    <w:r w:rsidR="009573B6">
      <w:rPr>
        <w:i/>
        <w:iCs/>
        <w:szCs w:val="22"/>
      </w:rPr>
      <w:t>Final Accounting</w:t>
    </w:r>
  </w:p>
  <w:p w:rsidR="009573B6" w:rsidRDefault="009573B6" w:rsidP="009573B6">
    <w:pPr>
      <w:pStyle w:val="Header"/>
      <w:jc w:val="right"/>
    </w:pPr>
  </w:p>
  <w:p w:rsidR="009573B6" w:rsidRPr="009573B6" w:rsidRDefault="009573B6" w:rsidP="00957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14916E"/>
    <w:lvl w:ilvl="0">
      <w:numFmt w:val="decimal"/>
      <w:lvlText w:val="*"/>
      <w:lvlJc w:val="left"/>
    </w:lvl>
  </w:abstractNum>
  <w:abstractNum w:abstractNumId="1">
    <w:nsid w:val="44E95511"/>
    <w:multiLevelType w:val="hybridMultilevel"/>
    <w:tmpl w:val="27D44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4413D3"/>
    <w:multiLevelType w:val="hybridMultilevel"/>
    <w:tmpl w:val="FC1C8556"/>
    <w:lvl w:ilvl="0" w:tplc="3A12586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F4807"/>
    <w:multiLevelType w:val="hybridMultilevel"/>
    <w:tmpl w:val="F252C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6B02AF"/>
    <w:multiLevelType w:val="singleLevel"/>
    <w:tmpl w:val="B07628FE"/>
    <w:lvl w:ilvl="0">
      <w:start w:val="1"/>
      <w:numFmt w:val="bullet"/>
      <w:pStyle w:val="BulletText2"/>
      <w:lvlText w:val=""/>
      <w:lvlJc w:val="left"/>
      <w:pPr>
        <w:tabs>
          <w:tab w:val="num" w:pos="547"/>
        </w:tabs>
        <w:ind w:left="360" w:hanging="173"/>
      </w:pPr>
      <w:rPr>
        <w:rFonts w:ascii="Symbol" w:hAnsi="Symbol" w:hint="default"/>
      </w:rPr>
    </w:lvl>
  </w:abstractNum>
  <w:abstractNum w:abstractNumId="5">
    <w:nsid w:val="78407290"/>
    <w:multiLevelType w:val="singleLevel"/>
    <w:tmpl w:val="74904ABE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45"/>
    <w:rsid w:val="000B0EC1"/>
    <w:rsid w:val="00347D15"/>
    <w:rsid w:val="003E627C"/>
    <w:rsid w:val="004044A4"/>
    <w:rsid w:val="0064278C"/>
    <w:rsid w:val="00826265"/>
    <w:rsid w:val="008946CF"/>
    <w:rsid w:val="008F268F"/>
    <w:rsid w:val="0095124E"/>
    <w:rsid w:val="009573B6"/>
    <w:rsid w:val="00C95E3A"/>
    <w:rsid w:val="00D100EE"/>
    <w:rsid w:val="00D60D45"/>
    <w:rsid w:val="00D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D60D45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D60D45"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D60D45"/>
    <w:pPr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D60D45"/>
    <w:rPr>
      <w:rFonts w:ascii="Arial" w:eastAsia="Times New Roman" w:hAnsi="Arial" w:cs="Times New Roman"/>
      <w:b/>
      <w:sz w:val="32"/>
      <w:szCs w:val="20"/>
    </w:rPr>
  </w:style>
  <w:style w:type="character" w:customStyle="1" w:styleId="Heading4Char">
    <w:name w:val="Heading 4 Char"/>
    <w:aliases w:val="Map Title Char"/>
    <w:basedOn w:val="DefaultParagraphFont"/>
    <w:link w:val="Heading4"/>
    <w:rsid w:val="00D60D45"/>
    <w:rPr>
      <w:rFonts w:ascii="Arial" w:eastAsia="Times New Roman" w:hAnsi="Arial" w:cs="Times New Roman"/>
      <w:b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D60D45"/>
    <w:rPr>
      <w:rFonts w:ascii="Times New Roman" w:eastAsia="Times New Roman" w:hAnsi="Times New Roman" w:cs="Times New Roman"/>
      <w:b/>
      <w:szCs w:val="20"/>
    </w:rPr>
  </w:style>
  <w:style w:type="paragraph" w:customStyle="1" w:styleId="BulletText2">
    <w:name w:val="Bullet Text 2"/>
    <w:basedOn w:val="Normal"/>
    <w:rsid w:val="00D60D45"/>
    <w:pPr>
      <w:numPr>
        <w:numId w:val="2"/>
      </w:numPr>
      <w:tabs>
        <w:tab w:val="left" w:pos="374"/>
      </w:tabs>
    </w:pPr>
  </w:style>
  <w:style w:type="paragraph" w:customStyle="1" w:styleId="BlockLine">
    <w:name w:val="Block Line"/>
    <w:basedOn w:val="Normal"/>
    <w:next w:val="Normal"/>
    <w:rsid w:val="00D60D45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D60D45"/>
  </w:style>
  <w:style w:type="paragraph" w:customStyle="1" w:styleId="TableHeaderText">
    <w:name w:val="Table Header Text"/>
    <w:basedOn w:val="TableText"/>
    <w:rsid w:val="00D60D45"/>
    <w:pPr>
      <w:jc w:val="center"/>
    </w:pPr>
    <w:rPr>
      <w:b/>
    </w:rPr>
  </w:style>
  <w:style w:type="paragraph" w:customStyle="1" w:styleId="TableText">
    <w:name w:val="Table Text"/>
    <w:basedOn w:val="Normal"/>
    <w:rsid w:val="00D60D45"/>
  </w:style>
  <w:style w:type="paragraph" w:customStyle="1" w:styleId="BulletText1">
    <w:name w:val="Bullet Text 1"/>
    <w:basedOn w:val="Normal"/>
    <w:rsid w:val="00D60D45"/>
    <w:pPr>
      <w:numPr>
        <w:numId w:val="1"/>
      </w:numPr>
      <w:tabs>
        <w:tab w:val="left" w:pos="187"/>
      </w:tabs>
      <w:ind w:left="187" w:hanging="187"/>
    </w:pPr>
  </w:style>
  <w:style w:type="paragraph" w:styleId="Header">
    <w:name w:val="header"/>
    <w:basedOn w:val="Normal"/>
    <w:link w:val="HeaderChar"/>
    <w:unhideWhenUsed/>
    <w:rsid w:val="00D10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00E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10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E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B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6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2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2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27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D60D45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D60D45"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D60D45"/>
    <w:pPr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D60D45"/>
    <w:rPr>
      <w:rFonts w:ascii="Arial" w:eastAsia="Times New Roman" w:hAnsi="Arial" w:cs="Times New Roman"/>
      <w:b/>
      <w:sz w:val="32"/>
      <w:szCs w:val="20"/>
    </w:rPr>
  </w:style>
  <w:style w:type="character" w:customStyle="1" w:styleId="Heading4Char">
    <w:name w:val="Heading 4 Char"/>
    <w:aliases w:val="Map Title Char"/>
    <w:basedOn w:val="DefaultParagraphFont"/>
    <w:link w:val="Heading4"/>
    <w:rsid w:val="00D60D45"/>
    <w:rPr>
      <w:rFonts w:ascii="Arial" w:eastAsia="Times New Roman" w:hAnsi="Arial" w:cs="Times New Roman"/>
      <w:b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D60D45"/>
    <w:rPr>
      <w:rFonts w:ascii="Times New Roman" w:eastAsia="Times New Roman" w:hAnsi="Times New Roman" w:cs="Times New Roman"/>
      <w:b/>
      <w:szCs w:val="20"/>
    </w:rPr>
  </w:style>
  <w:style w:type="paragraph" w:customStyle="1" w:styleId="BulletText2">
    <w:name w:val="Bullet Text 2"/>
    <w:basedOn w:val="Normal"/>
    <w:rsid w:val="00D60D45"/>
    <w:pPr>
      <w:numPr>
        <w:numId w:val="2"/>
      </w:numPr>
      <w:tabs>
        <w:tab w:val="left" w:pos="374"/>
      </w:tabs>
    </w:pPr>
  </w:style>
  <w:style w:type="paragraph" w:customStyle="1" w:styleId="BlockLine">
    <w:name w:val="Block Line"/>
    <w:basedOn w:val="Normal"/>
    <w:next w:val="Normal"/>
    <w:rsid w:val="00D60D45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D60D45"/>
  </w:style>
  <w:style w:type="paragraph" w:customStyle="1" w:styleId="TableHeaderText">
    <w:name w:val="Table Header Text"/>
    <w:basedOn w:val="TableText"/>
    <w:rsid w:val="00D60D45"/>
    <w:pPr>
      <w:jc w:val="center"/>
    </w:pPr>
    <w:rPr>
      <w:b/>
    </w:rPr>
  </w:style>
  <w:style w:type="paragraph" w:customStyle="1" w:styleId="TableText">
    <w:name w:val="Table Text"/>
    <w:basedOn w:val="Normal"/>
    <w:rsid w:val="00D60D45"/>
  </w:style>
  <w:style w:type="paragraph" w:customStyle="1" w:styleId="BulletText1">
    <w:name w:val="Bullet Text 1"/>
    <w:basedOn w:val="Normal"/>
    <w:rsid w:val="00D60D45"/>
    <w:pPr>
      <w:numPr>
        <w:numId w:val="1"/>
      </w:numPr>
      <w:tabs>
        <w:tab w:val="left" w:pos="187"/>
      </w:tabs>
      <w:ind w:left="187" w:hanging="187"/>
    </w:pPr>
  </w:style>
  <w:style w:type="paragraph" w:styleId="Header">
    <w:name w:val="header"/>
    <w:basedOn w:val="Normal"/>
    <w:link w:val="HeaderChar"/>
    <w:unhideWhenUsed/>
    <w:rsid w:val="00D10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00E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10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E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B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6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2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2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27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BCCE-E1FB-48F1-BA62-281150F6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Wiley, Melissa, VBAVACO</dc:creator>
  <cp:lastModifiedBy>Ricardo Da Silva</cp:lastModifiedBy>
  <cp:revision>2</cp:revision>
  <cp:lastPrinted>2013-11-20T20:57:00Z</cp:lastPrinted>
  <dcterms:created xsi:type="dcterms:W3CDTF">2014-02-19T19:21:00Z</dcterms:created>
  <dcterms:modified xsi:type="dcterms:W3CDTF">2014-02-19T19:21:00Z</dcterms:modified>
</cp:coreProperties>
</file>