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2B" w:rsidRDefault="00741FED" w:rsidP="00F92183">
      <w:pPr>
        <w:pStyle w:val="Heading2"/>
        <w:jc w:val="left"/>
      </w:pPr>
      <w:bookmarkStart w:id="0" w:name="_GoBack"/>
      <w:bookmarkEnd w:id="0"/>
      <w:r>
        <w:t xml:space="preserve">Appendix </w:t>
      </w:r>
      <w:r w:rsidR="00EA4C9B">
        <w:t>F</w:t>
      </w:r>
      <w:r>
        <w:t xml:space="preserve">. </w:t>
      </w:r>
      <w:r>
        <w:tab/>
        <w:t>Timeliness R</w:t>
      </w:r>
      <w:r w:rsidR="00305BD8" w:rsidRPr="00337774">
        <w:t>equirements</w:t>
      </w:r>
      <w:r w:rsidR="00FA722B">
        <w:t xml:space="preserve"> </w:t>
      </w:r>
    </w:p>
    <w:p w:rsidR="00185F25" w:rsidRPr="00185F25" w:rsidRDefault="00185F25" w:rsidP="00185F25">
      <w:pPr>
        <w:pStyle w:val="Heading4"/>
        <w:rPr>
          <w:rFonts w:ascii="Arial" w:hAnsi="Arial" w:cs="Arial"/>
          <w:i w:val="0"/>
          <w:color w:val="auto"/>
          <w:sz w:val="32"/>
          <w:szCs w:val="32"/>
        </w:rPr>
      </w:pPr>
      <w:r w:rsidRPr="00185F25">
        <w:rPr>
          <w:rFonts w:ascii="Arial" w:hAnsi="Arial" w:cs="Arial"/>
          <w:i w:val="0"/>
          <w:color w:val="auto"/>
          <w:sz w:val="32"/>
          <w:szCs w:val="32"/>
        </w:rPr>
        <w:t>Overview</w:t>
      </w:r>
    </w:p>
    <w:tbl>
      <w:tblPr>
        <w:tblW w:w="9648" w:type="dxa"/>
        <w:tblLayout w:type="fixed"/>
        <w:tblLook w:val="0000" w:firstRow="0" w:lastRow="0" w:firstColumn="0" w:lastColumn="0" w:noHBand="0" w:noVBand="0"/>
      </w:tblPr>
      <w:tblGrid>
        <w:gridCol w:w="1728"/>
        <w:gridCol w:w="7920"/>
      </w:tblGrid>
      <w:tr w:rsidR="00305BD8" w:rsidRPr="00337774" w:rsidTr="00717114">
        <w:trPr>
          <w:cantSplit/>
        </w:trPr>
        <w:tc>
          <w:tcPr>
            <w:tcW w:w="1728" w:type="dxa"/>
          </w:tcPr>
          <w:p w:rsidR="00185F25" w:rsidRDefault="00185F25" w:rsidP="00717114">
            <w:pPr>
              <w:pStyle w:val="Heading5"/>
            </w:pPr>
          </w:p>
          <w:p w:rsidR="00305BD8" w:rsidRPr="00337774" w:rsidRDefault="00305BD8" w:rsidP="00717114">
            <w:pPr>
              <w:pStyle w:val="Heading5"/>
            </w:pPr>
            <w:r w:rsidRPr="00337774">
              <w:t>In this Chapter</w:t>
            </w:r>
          </w:p>
        </w:tc>
        <w:tc>
          <w:tcPr>
            <w:tcW w:w="7920" w:type="dxa"/>
          </w:tcPr>
          <w:p w:rsidR="00185F25" w:rsidRDefault="00185F25" w:rsidP="00717114">
            <w:pPr>
              <w:pStyle w:val="BlockText"/>
            </w:pPr>
          </w:p>
          <w:p w:rsidR="008551DC" w:rsidRPr="00337774" w:rsidRDefault="00305BD8" w:rsidP="00717114">
            <w:pPr>
              <w:pStyle w:val="BlockText"/>
            </w:pPr>
            <w:r w:rsidRPr="00337774">
              <w:t>This chapter contains a quick reference table for all timeliness measures</w:t>
            </w:r>
            <w:r w:rsidR="00F97AE1">
              <w:t>.</w:t>
            </w:r>
            <w:r w:rsidRPr="00337774">
              <w:t xml:space="preserve"> </w:t>
            </w:r>
          </w:p>
        </w:tc>
      </w:tr>
    </w:tbl>
    <w:p w:rsidR="00305BD8" w:rsidRPr="00337774" w:rsidRDefault="00305BD8" w:rsidP="00305B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50"/>
        <w:gridCol w:w="1934"/>
        <w:gridCol w:w="4906"/>
      </w:tblGrid>
      <w:tr w:rsidR="00305BD8" w:rsidRPr="00337774" w:rsidTr="00BE6BFD">
        <w:tc>
          <w:tcPr>
            <w:tcW w:w="1368" w:type="dxa"/>
            <w:shd w:val="clear" w:color="auto" w:fill="auto"/>
          </w:tcPr>
          <w:p w:rsidR="00305BD8" w:rsidRPr="008039BE" w:rsidRDefault="00305BD8" w:rsidP="00717114">
            <w:pPr>
              <w:rPr>
                <w:b/>
                <w:sz w:val="20"/>
              </w:rPr>
            </w:pPr>
            <w:r w:rsidRPr="008039BE">
              <w:rPr>
                <w:b/>
                <w:sz w:val="20"/>
              </w:rPr>
              <w:t>Chapter</w:t>
            </w:r>
          </w:p>
        </w:tc>
        <w:tc>
          <w:tcPr>
            <w:tcW w:w="1350" w:type="dxa"/>
            <w:shd w:val="clear" w:color="auto" w:fill="auto"/>
          </w:tcPr>
          <w:p w:rsidR="00305BD8" w:rsidRPr="008039BE" w:rsidRDefault="00305BD8" w:rsidP="00717114">
            <w:pPr>
              <w:rPr>
                <w:b/>
                <w:sz w:val="20"/>
              </w:rPr>
            </w:pPr>
            <w:r w:rsidRPr="008039BE">
              <w:rPr>
                <w:b/>
                <w:sz w:val="20"/>
              </w:rPr>
              <w:t xml:space="preserve">Topic  </w:t>
            </w:r>
          </w:p>
        </w:tc>
        <w:tc>
          <w:tcPr>
            <w:tcW w:w="1934" w:type="dxa"/>
            <w:shd w:val="clear" w:color="auto" w:fill="auto"/>
          </w:tcPr>
          <w:p w:rsidR="00305BD8" w:rsidRPr="008039BE" w:rsidRDefault="00305BD8" w:rsidP="00717114">
            <w:pPr>
              <w:rPr>
                <w:b/>
                <w:sz w:val="20"/>
              </w:rPr>
            </w:pPr>
            <w:r w:rsidRPr="008039BE">
              <w:rPr>
                <w:b/>
                <w:sz w:val="20"/>
              </w:rPr>
              <w:t xml:space="preserve">Section </w:t>
            </w:r>
          </w:p>
        </w:tc>
        <w:tc>
          <w:tcPr>
            <w:tcW w:w="4906" w:type="dxa"/>
            <w:shd w:val="clear" w:color="auto" w:fill="auto"/>
          </w:tcPr>
          <w:p w:rsidR="00305BD8" w:rsidRPr="008039BE" w:rsidRDefault="00185F25" w:rsidP="00717114">
            <w:pPr>
              <w:rPr>
                <w:b/>
                <w:sz w:val="20"/>
              </w:rPr>
            </w:pPr>
            <w:r>
              <w:rPr>
                <w:b/>
                <w:sz w:val="20"/>
              </w:rPr>
              <w:t>Description of Timeliness Measure and Page N</w:t>
            </w:r>
            <w:r w:rsidR="00305BD8" w:rsidRPr="008039BE">
              <w:rPr>
                <w:b/>
                <w:sz w:val="20"/>
              </w:rPr>
              <w:t>umber</w:t>
            </w:r>
          </w:p>
        </w:tc>
      </w:tr>
      <w:tr w:rsidR="00305BD8" w:rsidRPr="00337774" w:rsidTr="00BE6BFD">
        <w:tc>
          <w:tcPr>
            <w:tcW w:w="1368" w:type="dxa"/>
            <w:shd w:val="clear" w:color="auto" w:fill="auto"/>
          </w:tcPr>
          <w:p w:rsidR="00305BD8" w:rsidRPr="00337774" w:rsidRDefault="00305BD8" w:rsidP="00717114">
            <w:pPr>
              <w:rPr>
                <w:sz w:val="20"/>
              </w:rPr>
            </w:pPr>
            <w:r w:rsidRPr="00337774">
              <w:rPr>
                <w:sz w:val="20"/>
              </w:rPr>
              <w:t xml:space="preserve">(1) Specially Adapted Housing </w:t>
            </w:r>
            <w:r w:rsidR="009007E8">
              <w:rPr>
                <w:sz w:val="20"/>
              </w:rPr>
              <w:t xml:space="preserve">(SAH) </w:t>
            </w:r>
            <w:r w:rsidRPr="00337774">
              <w:rPr>
                <w:sz w:val="20"/>
              </w:rPr>
              <w:t xml:space="preserve">Application </w:t>
            </w:r>
            <w:r w:rsidR="00741FED" w:rsidRPr="00337774">
              <w:rPr>
                <w:sz w:val="20"/>
              </w:rPr>
              <w:t>Eligibility</w:t>
            </w:r>
            <w:r w:rsidRPr="00337774">
              <w:rPr>
                <w:sz w:val="20"/>
              </w:rPr>
              <w:t xml:space="preserve">  </w:t>
            </w:r>
          </w:p>
        </w:tc>
        <w:tc>
          <w:tcPr>
            <w:tcW w:w="1350" w:type="dxa"/>
            <w:shd w:val="clear" w:color="auto" w:fill="auto"/>
          </w:tcPr>
          <w:p w:rsidR="00305BD8" w:rsidRPr="00337774" w:rsidRDefault="009007E8" w:rsidP="00717114">
            <w:pPr>
              <w:rPr>
                <w:sz w:val="20"/>
              </w:rPr>
            </w:pPr>
            <w:r>
              <w:rPr>
                <w:sz w:val="20"/>
              </w:rPr>
              <w:t>(7) Outreach to Veterans Not Y</w:t>
            </w:r>
            <w:r w:rsidR="00305BD8" w:rsidRPr="00337774">
              <w:rPr>
                <w:sz w:val="20"/>
              </w:rPr>
              <w:t xml:space="preserve">et Rated </w:t>
            </w:r>
          </w:p>
        </w:tc>
        <w:tc>
          <w:tcPr>
            <w:tcW w:w="1934" w:type="dxa"/>
            <w:shd w:val="clear" w:color="auto" w:fill="auto"/>
          </w:tcPr>
          <w:p w:rsidR="00305BD8" w:rsidRPr="00337774" w:rsidRDefault="00305BD8" w:rsidP="00717114">
            <w:pPr>
              <w:tabs>
                <w:tab w:val="left" w:pos="882"/>
              </w:tabs>
              <w:ind w:right="26"/>
              <w:rPr>
                <w:sz w:val="20"/>
              </w:rPr>
            </w:pPr>
            <w:r w:rsidRPr="00337774">
              <w:rPr>
                <w:sz w:val="20"/>
              </w:rPr>
              <w:t>(b) Verify Application Info</w:t>
            </w:r>
            <w:r w:rsidR="009007E8">
              <w:rPr>
                <w:sz w:val="20"/>
              </w:rPr>
              <w:t>rmation</w:t>
            </w:r>
            <w:r w:rsidRPr="00337774">
              <w:rPr>
                <w:sz w:val="20"/>
              </w:rPr>
              <w:t xml:space="preserve"> </w:t>
            </w:r>
          </w:p>
        </w:tc>
        <w:tc>
          <w:tcPr>
            <w:tcW w:w="4906" w:type="dxa"/>
            <w:shd w:val="clear" w:color="auto" w:fill="auto"/>
          </w:tcPr>
          <w:p w:rsidR="00305BD8" w:rsidRPr="000A7EAB" w:rsidRDefault="00305BD8" w:rsidP="00717114">
            <w:pPr>
              <w:rPr>
                <w:sz w:val="23"/>
                <w:szCs w:val="23"/>
              </w:rPr>
            </w:pPr>
            <w:r w:rsidRPr="000A7EAB">
              <w:rPr>
                <w:sz w:val="23"/>
                <w:szCs w:val="23"/>
              </w:rPr>
              <w:t>When the R</w:t>
            </w:r>
            <w:r w:rsidR="00326BF2" w:rsidRPr="000A7EAB">
              <w:rPr>
                <w:sz w:val="23"/>
                <w:szCs w:val="23"/>
              </w:rPr>
              <w:t xml:space="preserve">egional </w:t>
            </w:r>
            <w:r w:rsidRPr="000A7EAB">
              <w:rPr>
                <w:sz w:val="23"/>
                <w:szCs w:val="23"/>
              </w:rPr>
              <w:t>L</w:t>
            </w:r>
            <w:r w:rsidR="00326BF2" w:rsidRPr="000A7EAB">
              <w:rPr>
                <w:sz w:val="23"/>
                <w:szCs w:val="23"/>
              </w:rPr>
              <w:t xml:space="preserve">oan </w:t>
            </w:r>
            <w:r w:rsidRPr="000A7EAB">
              <w:rPr>
                <w:sz w:val="23"/>
                <w:szCs w:val="23"/>
              </w:rPr>
              <w:t>C</w:t>
            </w:r>
            <w:r w:rsidR="00326BF2" w:rsidRPr="000A7EAB">
              <w:rPr>
                <w:sz w:val="23"/>
                <w:szCs w:val="23"/>
              </w:rPr>
              <w:t>enter (RLC)</w:t>
            </w:r>
            <w:r w:rsidRPr="000A7EAB">
              <w:rPr>
                <w:sz w:val="23"/>
                <w:szCs w:val="23"/>
              </w:rPr>
              <w:t xml:space="preserve"> receives an application (</w:t>
            </w:r>
            <w:r w:rsidRPr="000A7EAB">
              <w:rPr>
                <w:i/>
                <w:sz w:val="23"/>
                <w:szCs w:val="23"/>
              </w:rPr>
              <w:t>VA Form 26-4555</w:t>
            </w:r>
            <w:r w:rsidRPr="000A7EAB">
              <w:rPr>
                <w:sz w:val="23"/>
                <w:szCs w:val="23"/>
              </w:rPr>
              <w:t>) from a Veteran, regardless of the method of submission, SAH personnel must contact the Veteran within 7 business days to verify the information provided in the application.  (1-12)</w:t>
            </w:r>
          </w:p>
        </w:tc>
      </w:tr>
      <w:tr w:rsidR="00305BD8" w:rsidRPr="00337774" w:rsidTr="00BE6BFD">
        <w:tc>
          <w:tcPr>
            <w:tcW w:w="1368" w:type="dxa"/>
            <w:shd w:val="clear" w:color="auto" w:fill="auto"/>
          </w:tcPr>
          <w:p w:rsidR="00305BD8" w:rsidRPr="00337774" w:rsidRDefault="00305BD8" w:rsidP="00717114">
            <w:pPr>
              <w:rPr>
                <w:sz w:val="20"/>
              </w:rPr>
            </w:pPr>
            <w:r w:rsidRPr="00337774">
              <w:rPr>
                <w:sz w:val="20"/>
              </w:rPr>
              <w:t xml:space="preserve">(2) Pre-Grant Approval, Initial Interview </w:t>
            </w:r>
          </w:p>
        </w:tc>
        <w:tc>
          <w:tcPr>
            <w:tcW w:w="1350" w:type="dxa"/>
            <w:shd w:val="clear" w:color="auto" w:fill="auto"/>
          </w:tcPr>
          <w:p w:rsidR="00305BD8" w:rsidRPr="00337774" w:rsidRDefault="009007E8" w:rsidP="00717114">
            <w:pPr>
              <w:rPr>
                <w:sz w:val="20"/>
              </w:rPr>
            </w:pPr>
            <w:r>
              <w:rPr>
                <w:sz w:val="20"/>
              </w:rPr>
              <w:t>(1) General Information About the Initial I</w:t>
            </w:r>
            <w:r w:rsidR="00305BD8" w:rsidRPr="00337774">
              <w:rPr>
                <w:sz w:val="20"/>
              </w:rPr>
              <w:t>nterview</w:t>
            </w:r>
          </w:p>
        </w:tc>
        <w:tc>
          <w:tcPr>
            <w:tcW w:w="1934" w:type="dxa"/>
            <w:shd w:val="clear" w:color="auto" w:fill="auto"/>
          </w:tcPr>
          <w:p w:rsidR="00305BD8" w:rsidRPr="00337774" w:rsidRDefault="00305BD8" w:rsidP="00717114">
            <w:pPr>
              <w:rPr>
                <w:sz w:val="20"/>
              </w:rPr>
            </w:pPr>
            <w:r w:rsidRPr="00337774">
              <w:rPr>
                <w:sz w:val="20"/>
              </w:rPr>
              <w:t xml:space="preserve">(b) When to Perform </w:t>
            </w:r>
          </w:p>
        </w:tc>
        <w:tc>
          <w:tcPr>
            <w:tcW w:w="4906" w:type="dxa"/>
            <w:shd w:val="clear" w:color="auto" w:fill="auto"/>
          </w:tcPr>
          <w:p w:rsidR="00305BD8" w:rsidRPr="000A7EAB" w:rsidRDefault="00305BD8" w:rsidP="00717114">
            <w:pPr>
              <w:rPr>
                <w:sz w:val="23"/>
                <w:szCs w:val="23"/>
              </w:rPr>
            </w:pPr>
            <w:r w:rsidRPr="000A7EAB">
              <w:rPr>
                <w:sz w:val="23"/>
                <w:szCs w:val="23"/>
              </w:rPr>
              <w:t xml:space="preserve">Within 7 business days of eligibility being established, the SAH </w:t>
            </w:r>
            <w:r w:rsidR="00046E56" w:rsidRPr="000A7EAB">
              <w:rPr>
                <w:sz w:val="23"/>
                <w:szCs w:val="23"/>
              </w:rPr>
              <w:t>Agent</w:t>
            </w:r>
            <w:r w:rsidRPr="000A7EAB">
              <w:rPr>
                <w:sz w:val="23"/>
                <w:szCs w:val="23"/>
              </w:rPr>
              <w:t xml:space="preserve"> must notify the Veteran of initial interview eligibility in writing using either the </w:t>
            </w:r>
            <w:r w:rsidRPr="000A7EAB">
              <w:rPr>
                <w:i/>
                <w:sz w:val="23"/>
                <w:szCs w:val="23"/>
              </w:rPr>
              <w:t xml:space="preserve">FL 26-39 </w:t>
            </w:r>
            <w:r w:rsidRPr="000A7EAB">
              <w:rPr>
                <w:sz w:val="23"/>
                <w:szCs w:val="23"/>
              </w:rPr>
              <w:t xml:space="preserve">(the SAH eligibility letter) or the </w:t>
            </w:r>
            <w:r w:rsidRPr="000A7EAB">
              <w:rPr>
                <w:i/>
                <w:sz w:val="23"/>
                <w:szCs w:val="23"/>
              </w:rPr>
              <w:t>FL 26-39b</w:t>
            </w:r>
            <w:r w:rsidRPr="000A7EAB">
              <w:rPr>
                <w:sz w:val="23"/>
                <w:szCs w:val="23"/>
              </w:rPr>
              <w:t xml:space="preserve"> (the S</w:t>
            </w:r>
            <w:r w:rsidR="009007E8" w:rsidRPr="000A7EAB">
              <w:rPr>
                <w:sz w:val="23"/>
                <w:szCs w:val="23"/>
              </w:rPr>
              <w:t xml:space="preserve">pecial </w:t>
            </w:r>
            <w:r w:rsidRPr="000A7EAB">
              <w:rPr>
                <w:sz w:val="23"/>
                <w:szCs w:val="23"/>
              </w:rPr>
              <w:t>H</w:t>
            </w:r>
            <w:r w:rsidR="009007E8" w:rsidRPr="000A7EAB">
              <w:rPr>
                <w:sz w:val="23"/>
                <w:szCs w:val="23"/>
              </w:rPr>
              <w:t xml:space="preserve">ousing </w:t>
            </w:r>
            <w:r w:rsidRPr="000A7EAB">
              <w:rPr>
                <w:sz w:val="23"/>
                <w:szCs w:val="23"/>
              </w:rPr>
              <w:t>A</w:t>
            </w:r>
            <w:r w:rsidR="009007E8" w:rsidRPr="000A7EAB">
              <w:rPr>
                <w:sz w:val="23"/>
                <w:szCs w:val="23"/>
              </w:rPr>
              <w:t>daptation [SHA]</w:t>
            </w:r>
            <w:r w:rsidRPr="000A7EAB">
              <w:rPr>
                <w:sz w:val="23"/>
                <w:szCs w:val="23"/>
              </w:rPr>
              <w:t xml:space="preserve"> eligibility letter).  (2-2)</w:t>
            </w:r>
          </w:p>
        </w:tc>
      </w:tr>
      <w:tr w:rsidR="00305BD8" w:rsidRPr="00337774" w:rsidTr="00BE6BFD">
        <w:tc>
          <w:tcPr>
            <w:tcW w:w="1368" w:type="dxa"/>
            <w:shd w:val="clear" w:color="auto" w:fill="auto"/>
          </w:tcPr>
          <w:p w:rsidR="00305BD8" w:rsidRPr="00337774" w:rsidRDefault="00185F25" w:rsidP="00717114">
            <w:pPr>
              <w:rPr>
                <w:sz w:val="20"/>
              </w:rPr>
            </w:pPr>
            <w:r>
              <w:rPr>
                <w:sz w:val="20"/>
              </w:rPr>
              <w:t>(2) Pre-G</w:t>
            </w:r>
            <w:r w:rsidR="00305BD8" w:rsidRPr="00337774">
              <w:rPr>
                <w:sz w:val="20"/>
              </w:rPr>
              <w:t>rant Approval Initial Interview</w:t>
            </w:r>
          </w:p>
        </w:tc>
        <w:tc>
          <w:tcPr>
            <w:tcW w:w="1350" w:type="dxa"/>
            <w:shd w:val="clear" w:color="auto" w:fill="auto"/>
          </w:tcPr>
          <w:p w:rsidR="00305BD8" w:rsidRPr="00337774" w:rsidRDefault="009007E8" w:rsidP="00717114">
            <w:pPr>
              <w:rPr>
                <w:sz w:val="20"/>
              </w:rPr>
            </w:pPr>
            <w:r>
              <w:rPr>
                <w:sz w:val="20"/>
              </w:rPr>
              <w:t>(1) General Information About the Initial I</w:t>
            </w:r>
            <w:r w:rsidRPr="00337774">
              <w:rPr>
                <w:sz w:val="20"/>
              </w:rPr>
              <w:t>nterview</w:t>
            </w:r>
          </w:p>
        </w:tc>
        <w:tc>
          <w:tcPr>
            <w:tcW w:w="1934" w:type="dxa"/>
            <w:shd w:val="clear" w:color="auto" w:fill="auto"/>
          </w:tcPr>
          <w:p w:rsidR="00305BD8" w:rsidRPr="00337774" w:rsidRDefault="00305BD8" w:rsidP="00717114">
            <w:pPr>
              <w:rPr>
                <w:sz w:val="20"/>
              </w:rPr>
            </w:pPr>
            <w:r w:rsidRPr="00337774">
              <w:rPr>
                <w:sz w:val="20"/>
              </w:rPr>
              <w:t xml:space="preserve">(c) Telephone Interview </w:t>
            </w:r>
          </w:p>
        </w:tc>
        <w:tc>
          <w:tcPr>
            <w:tcW w:w="4906" w:type="dxa"/>
            <w:shd w:val="clear" w:color="auto" w:fill="auto"/>
          </w:tcPr>
          <w:p w:rsidR="00305BD8" w:rsidRPr="000A7EAB" w:rsidRDefault="00305BD8" w:rsidP="00717114">
            <w:pPr>
              <w:rPr>
                <w:sz w:val="23"/>
                <w:szCs w:val="23"/>
              </w:rPr>
            </w:pPr>
            <w:r w:rsidRPr="000A7EAB">
              <w:rPr>
                <w:sz w:val="23"/>
                <w:szCs w:val="23"/>
              </w:rPr>
              <w:t xml:space="preserve">If a telephone interview was completed, and the Veteran indicates they are interested in a Plan 3 SAH grant use, a feasibility study must be completed within 30 business days of the telephone interview.  </w:t>
            </w:r>
          </w:p>
        </w:tc>
      </w:tr>
      <w:tr w:rsidR="00305BD8" w:rsidRPr="00337774" w:rsidTr="00BE6BFD">
        <w:tc>
          <w:tcPr>
            <w:tcW w:w="1368" w:type="dxa"/>
            <w:shd w:val="clear" w:color="auto" w:fill="auto"/>
          </w:tcPr>
          <w:p w:rsidR="00305BD8" w:rsidRPr="00337774" w:rsidRDefault="00185F25" w:rsidP="00717114">
            <w:pPr>
              <w:rPr>
                <w:sz w:val="20"/>
              </w:rPr>
            </w:pPr>
            <w:r>
              <w:rPr>
                <w:sz w:val="20"/>
              </w:rPr>
              <w:t>(2) Pre-G</w:t>
            </w:r>
            <w:r w:rsidR="00305BD8" w:rsidRPr="00337774">
              <w:rPr>
                <w:sz w:val="20"/>
              </w:rPr>
              <w:t>rant Approval Initial Interview</w:t>
            </w:r>
          </w:p>
        </w:tc>
        <w:tc>
          <w:tcPr>
            <w:tcW w:w="1350" w:type="dxa"/>
            <w:shd w:val="clear" w:color="auto" w:fill="auto"/>
          </w:tcPr>
          <w:p w:rsidR="00305BD8" w:rsidRPr="00337774" w:rsidRDefault="009007E8" w:rsidP="00717114">
            <w:pPr>
              <w:rPr>
                <w:sz w:val="20"/>
              </w:rPr>
            </w:pPr>
            <w:r>
              <w:rPr>
                <w:sz w:val="20"/>
              </w:rPr>
              <w:t>(1) General Information About the Initial I</w:t>
            </w:r>
            <w:r w:rsidRPr="00337774">
              <w:rPr>
                <w:sz w:val="20"/>
              </w:rPr>
              <w:t>nterview</w:t>
            </w:r>
          </w:p>
        </w:tc>
        <w:tc>
          <w:tcPr>
            <w:tcW w:w="1934" w:type="dxa"/>
            <w:shd w:val="clear" w:color="auto" w:fill="auto"/>
          </w:tcPr>
          <w:p w:rsidR="00305BD8" w:rsidRPr="00337774" w:rsidRDefault="00305BD8" w:rsidP="00717114">
            <w:pPr>
              <w:rPr>
                <w:sz w:val="20"/>
              </w:rPr>
            </w:pPr>
            <w:r w:rsidRPr="00337774">
              <w:rPr>
                <w:sz w:val="20"/>
              </w:rPr>
              <w:t xml:space="preserve">(d) Timeliness Requirements </w:t>
            </w:r>
          </w:p>
        </w:tc>
        <w:tc>
          <w:tcPr>
            <w:tcW w:w="4906" w:type="dxa"/>
            <w:shd w:val="clear" w:color="auto" w:fill="auto"/>
          </w:tcPr>
          <w:p w:rsidR="00305BD8" w:rsidRPr="000A7EAB" w:rsidRDefault="00305BD8" w:rsidP="00717114">
            <w:pPr>
              <w:rPr>
                <w:sz w:val="23"/>
                <w:szCs w:val="23"/>
              </w:rPr>
            </w:pPr>
            <w:r w:rsidRPr="000A7EAB">
              <w:rPr>
                <w:sz w:val="23"/>
                <w:szCs w:val="23"/>
              </w:rPr>
              <w:t xml:space="preserve">The initial interview must be completed within 30 business days of eligibility.  (2-3) </w:t>
            </w:r>
          </w:p>
        </w:tc>
      </w:tr>
      <w:tr w:rsidR="00305BD8" w:rsidRPr="00337774" w:rsidTr="00BE6BFD">
        <w:tc>
          <w:tcPr>
            <w:tcW w:w="1368" w:type="dxa"/>
            <w:shd w:val="clear" w:color="auto" w:fill="auto"/>
          </w:tcPr>
          <w:p w:rsidR="00305BD8" w:rsidRPr="00337774" w:rsidRDefault="00185F25" w:rsidP="00717114">
            <w:pPr>
              <w:rPr>
                <w:sz w:val="20"/>
              </w:rPr>
            </w:pPr>
            <w:r>
              <w:rPr>
                <w:sz w:val="20"/>
              </w:rPr>
              <w:t>(2) Pre-G</w:t>
            </w:r>
            <w:r w:rsidR="00305BD8" w:rsidRPr="00337774">
              <w:rPr>
                <w:sz w:val="20"/>
              </w:rPr>
              <w:t>rant Approval Initial Interview</w:t>
            </w:r>
          </w:p>
        </w:tc>
        <w:tc>
          <w:tcPr>
            <w:tcW w:w="1350" w:type="dxa"/>
            <w:shd w:val="clear" w:color="auto" w:fill="auto"/>
          </w:tcPr>
          <w:p w:rsidR="00305BD8" w:rsidRPr="00337774" w:rsidRDefault="00305BD8" w:rsidP="00717114">
            <w:pPr>
              <w:rPr>
                <w:sz w:val="20"/>
              </w:rPr>
            </w:pPr>
            <w:r w:rsidRPr="00337774">
              <w:rPr>
                <w:sz w:val="20"/>
              </w:rPr>
              <w:t>(4) Documenting the Initial Interview and Follow Up</w:t>
            </w:r>
          </w:p>
        </w:tc>
        <w:tc>
          <w:tcPr>
            <w:tcW w:w="1934" w:type="dxa"/>
            <w:shd w:val="clear" w:color="auto" w:fill="auto"/>
          </w:tcPr>
          <w:p w:rsidR="00305BD8" w:rsidRPr="00337774" w:rsidRDefault="00305BD8" w:rsidP="00717114">
            <w:pPr>
              <w:rPr>
                <w:sz w:val="20"/>
              </w:rPr>
            </w:pPr>
            <w:r w:rsidRPr="00337774">
              <w:rPr>
                <w:sz w:val="20"/>
              </w:rPr>
              <w:t>(c) Follow Up</w:t>
            </w:r>
          </w:p>
        </w:tc>
        <w:tc>
          <w:tcPr>
            <w:tcW w:w="4906" w:type="dxa"/>
            <w:shd w:val="clear" w:color="auto" w:fill="auto"/>
          </w:tcPr>
          <w:p w:rsidR="00305BD8" w:rsidRPr="000A7EAB" w:rsidRDefault="00305BD8" w:rsidP="00741FED">
            <w:pPr>
              <w:numPr>
                <w:ilvl w:val="12"/>
                <w:numId w:val="0"/>
              </w:numPr>
              <w:rPr>
                <w:sz w:val="23"/>
                <w:szCs w:val="23"/>
              </w:rPr>
            </w:pPr>
            <w:r w:rsidRPr="000A7EAB">
              <w:rPr>
                <w:sz w:val="23"/>
                <w:szCs w:val="23"/>
              </w:rPr>
              <w:t xml:space="preserve">The SAH </w:t>
            </w:r>
            <w:r w:rsidR="00046E56" w:rsidRPr="000A7EAB">
              <w:rPr>
                <w:sz w:val="23"/>
                <w:szCs w:val="23"/>
              </w:rPr>
              <w:t>Agent</w:t>
            </w:r>
            <w:r w:rsidRPr="000A7EAB">
              <w:rPr>
                <w:sz w:val="23"/>
                <w:szCs w:val="23"/>
              </w:rPr>
              <w:t xml:space="preserve"> must follow up with the Veteran within 30 business days of the initial interview to review items discussed during the interview</w:t>
            </w:r>
            <w:r w:rsidR="00BE6BFD" w:rsidRPr="000A7EAB">
              <w:rPr>
                <w:sz w:val="23"/>
                <w:szCs w:val="23"/>
              </w:rPr>
              <w:t xml:space="preserve">.  </w:t>
            </w:r>
            <w:r w:rsidRPr="000A7EAB">
              <w:rPr>
                <w:sz w:val="23"/>
                <w:szCs w:val="23"/>
              </w:rPr>
              <w:t xml:space="preserve">The SAH </w:t>
            </w:r>
            <w:r w:rsidR="00046E56" w:rsidRPr="000A7EAB">
              <w:rPr>
                <w:sz w:val="23"/>
                <w:szCs w:val="23"/>
              </w:rPr>
              <w:t>Agent</w:t>
            </w:r>
            <w:r w:rsidRPr="000A7EAB">
              <w:rPr>
                <w:sz w:val="23"/>
                <w:szCs w:val="23"/>
              </w:rPr>
              <w:t xml:space="preserve"> must continue to contact the Veteran every 30 days up to grant approval or until the case is made inactive (2-8)</w:t>
            </w:r>
            <w:r w:rsidR="00741FED" w:rsidRPr="000A7EAB">
              <w:rPr>
                <w:sz w:val="23"/>
                <w:szCs w:val="23"/>
              </w:rPr>
              <w:t>.</w:t>
            </w:r>
          </w:p>
        </w:tc>
      </w:tr>
      <w:tr w:rsidR="00305BD8" w:rsidRPr="00337774" w:rsidTr="00BE6BFD">
        <w:tc>
          <w:tcPr>
            <w:tcW w:w="1368" w:type="dxa"/>
            <w:shd w:val="clear" w:color="auto" w:fill="auto"/>
          </w:tcPr>
          <w:p w:rsidR="00305BD8" w:rsidRPr="00337774" w:rsidRDefault="00185F25" w:rsidP="00717114">
            <w:pPr>
              <w:rPr>
                <w:sz w:val="20"/>
              </w:rPr>
            </w:pPr>
            <w:r>
              <w:rPr>
                <w:sz w:val="20"/>
              </w:rPr>
              <w:t>(2) Pre-G</w:t>
            </w:r>
            <w:r w:rsidR="00305BD8" w:rsidRPr="00337774">
              <w:rPr>
                <w:sz w:val="20"/>
              </w:rPr>
              <w:t>rant Approval Initial Interview</w:t>
            </w:r>
          </w:p>
        </w:tc>
        <w:tc>
          <w:tcPr>
            <w:tcW w:w="1350" w:type="dxa"/>
            <w:shd w:val="clear" w:color="auto" w:fill="auto"/>
          </w:tcPr>
          <w:p w:rsidR="00305BD8" w:rsidRPr="00337774" w:rsidRDefault="00305BD8" w:rsidP="00717114">
            <w:pPr>
              <w:rPr>
                <w:sz w:val="20"/>
              </w:rPr>
            </w:pPr>
            <w:r w:rsidRPr="00337774">
              <w:rPr>
                <w:sz w:val="20"/>
              </w:rPr>
              <w:t>(4) Documenting the Initial Interview and Follow Up</w:t>
            </w:r>
          </w:p>
        </w:tc>
        <w:tc>
          <w:tcPr>
            <w:tcW w:w="1934" w:type="dxa"/>
            <w:shd w:val="clear" w:color="auto" w:fill="auto"/>
          </w:tcPr>
          <w:p w:rsidR="00305BD8" w:rsidRPr="00337774" w:rsidRDefault="00305BD8" w:rsidP="00717114">
            <w:pPr>
              <w:rPr>
                <w:sz w:val="20"/>
              </w:rPr>
            </w:pPr>
            <w:r w:rsidRPr="00337774">
              <w:rPr>
                <w:sz w:val="20"/>
              </w:rPr>
              <w:t xml:space="preserve">(d) Veteran Inactivity </w:t>
            </w:r>
          </w:p>
        </w:tc>
        <w:tc>
          <w:tcPr>
            <w:tcW w:w="4906" w:type="dxa"/>
            <w:shd w:val="clear" w:color="auto" w:fill="auto"/>
          </w:tcPr>
          <w:p w:rsidR="00305BD8" w:rsidRPr="000A7EAB" w:rsidRDefault="00305BD8" w:rsidP="00717114">
            <w:pPr>
              <w:numPr>
                <w:ilvl w:val="12"/>
                <w:numId w:val="0"/>
              </w:numPr>
              <w:rPr>
                <w:sz w:val="23"/>
                <w:szCs w:val="23"/>
              </w:rPr>
            </w:pPr>
            <w:r w:rsidRPr="000A7EAB">
              <w:rPr>
                <w:sz w:val="23"/>
                <w:szCs w:val="23"/>
              </w:rPr>
              <w:t xml:space="preserve">If the Veteran becomes non-responsive after the initial interview, the SAH </w:t>
            </w:r>
            <w:r w:rsidR="00046E56" w:rsidRPr="000A7EAB">
              <w:rPr>
                <w:sz w:val="23"/>
                <w:szCs w:val="23"/>
              </w:rPr>
              <w:t>Agent</w:t>
            </w:r>
            <w:r w:rsidRPr="000A7EAB">
              <w:rPr>
                <w:sz w:val="23"/>
                <w:szCs w:val="23"/>
              </w:rPr>
              <w:t xml:space="preserve"> may place the case on inactive status after three attempts to contact the Veteran at successive 30 business day intervals.  The first 30 business day interval begins on the day after the initial interview is completed.  (2-9)</w:t>
            </w:r>
          </w:p>
        </w:tc>
      </w:tr>
    </w:tbl>
    <w:p w:rsidR="00BE6BFD" w:rsidRPr="00BE6BFD" w:rsidRDefault="00BE6BFD" w:rsidP="00BE6BFD">
      <w:pPr>
        <w:pStyle w:val="Heading2"/>
        <w:jc w:val="right"/>
        <w:rPr>
          <w:rFonts w:ascii="Times New Roman" w:hAnsi="Times New Roman"/>
          <w:b w:val="0"/>
          <w:i/>
          <w:sz w:val="22"/>
          <w:szCs w:val="22"/>
        </w:rPr>
      </w:pPr>
      <w:r w:rsidRPr="00BE6BFD">
        <w:rPr>
          <w:rFonts w:ascii="Times New Roman" w:hAnsi="Times New Roman"/>
          <w:b w:val="0"/>
          <w:i/>
          <w:sz w:val="22"/>
          <w:szCs w:val="22"/>
        </w:rPr>
        <w:t>Continued on next page</w:t>
      </w:r>
    </w:p>
    <w:p w:rsidR="00BE6BFD" w:rsidRDefault="00BE6BFD" w:rsidP="00BE6BFD">
      <w:pPr>
        <w:pStyle w:val="Heading4"/>
      </w:pPr>
    </w:p>
    <w:p w:rsidR="00185F25" w:rsidRDefault="00185F25" w:rsidP="00185F25">
      <w:pPr>
        <w:pStyle w:val="Heading2"/>
        <w:jc w:val="left"/>
      </w:pPr>
    </w:p>
    <w:p w:rsidR="00185F25" w:rsidRDefault="00185F25" w:rsidP="00185F25">
      <w:pPr>
        <w:pStyle w:val="Heading2"/>
        <w:jc w:val="left"/>
      </w:pPr>
    </w:p>
    <w:p w:rsidR="00185F25" w:rsidRPr="00185F25" w:rsidRDefault="00185F25" w:rsidP="00185F25">
      <w:pPr>
        <w:pStyle w:val="Heading2"/>
        <w:spacing w:after="0"/>
        <w:jc w:val="left"/>
        <w:rPr>
          <w:sz w:val="24"/>
          <w:szCs w:val="24"/>
        </w:rPr>
      </w:pPr>
    </w:p>
    <w:p w:rsidR="00305BD8" w:rsidRDefault="000A7EAB" w:rsidP="005C3D9E">
      <w:pPr>
        <w:pStyle w:val="Heading2"/>
        <w:spacing w:after="0"/>
        <w:jc w:val="left"/>
      </w:pPr>
      <w:r>
        <w:t>A</w:t>
      </w:r>
      <w:r w:rsidR="00185F25">
        <w:t>ppendix F</w:t>
      </w:r>
      <w:r w:rsidR="00BE6BFD">
        <w:t xml:space="preserve">. </w:t>
      </w:r>
      <w:r w:rsidR="00BE6BFD">
        <w:tab/>
        <w:t>Timeliness Requirements, continued</w:t>
      </w:r>
    </w:p>
    <w:p w:rsidR="005C3D9E" w:rsidRPr="005C3D9E" w:rsidRDefault="005C3D9E" w:rsidP="005C3D9E">
      <w:pPr>
        <w:pStyle w:val="Heading4"/>
        <w:spacing w:befor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94"/>
        <w:gridCol w:w="1895"/>
        <w:gridCol w:w="4293"/>
      </w:tblGrid>
      <w:tr w:rsidR="00305BD8" w:rsidRPr="00337774" w:rsidTr="00717114">
        <w:tc>
          <w:tcPr>
            <w:tcW w:w="1894" w:type="dxa"/>
            <w:shd w:val="clear" w:color="auto" w:fill="auto"/>
          </w:tcPr>
          <w:p w:rsidR="00305BD8" w:rsidRPr="008039BE" w:rsidRDefault="00305BD8" w:rsidP="00717114">
            <w:pPr>
              <w:rPr>
                <w:b/>
                <w:sz w:val="20"/>
              </w:rPr>
            </w:pPr>
            <w:r w:rsidRPr="008039BE">
              <w:rPr>
                <w:b/>
                <w:sz w:val="20"/>
              </w:rPr>
              <w:t>Chapter</w:t>
            </w:r>
          </w:p>
        </w:tc>
        <w:tc>
          <w:tcPr>
            <w:tcW w:w="1494" w:type="dxa"/>
            <w:shd w:val="clear" w:color="auto" w:fill="auto"/>
          </w:tcPr>
          <w:p w:rsidR="00305BD8" w:rsidRPr="008039BE" w:rsidRDefault="00305BD8" w:rsidP="00717114">
            <w:pPr>
              <w:rPr>
                <w:b/>
                <w:sz w:val="20"/>
              </w:rPr>
            </w:pPr>
            <w:r w:rsidRPr="008039BE">
              <w:rPr>
                <w:b/>
                <w:sz w:val="20"/>
              </w:rPr>
              <w:t xml:space="preserve">Topic  </w:t>
            </w:r>
          </w:p>
        </w:tc>
        <w:tc>
          <w:tcPr>
            <w:tcW w:w="1895" w:type="dxa"/>
            <w:shd w:val="clear" w:color="auto" w:fill="auto"/>
          </w:tcPr>
          <w:p w:rsidR="00305BD8" w:rsidRPr="008039BE" w:rsidRDefault="00305BD8" w:rsidP="00717114">
            <w:pPr>
              <w:rPr>
                <w:b/>
                <w:sz w:val="20"/>
              </w:rPr>
            </w:pPr>
            <w:r w:rsidRPr="008039BE">
              <w:rPr>
                <w:b/>
                <w:sz w:val="20"/>
              </w:rPr>
              <w:t xml:space="preserve">Section </w:t>
            </w:r>
          </w:p>
        </w:tc>
        <w:tc>
          <w:tcPr>
            <w:tcW w:w="4293" w:type="dxa"/>
            <w:shd w:val="clear" w:color="auto" w:fill="auto"/>
          </w:tcPr>
          <w:p w:rsidR="00305BD8" w:rsidRPr="008039BE" w:rsidRDefault="00185F25" w:rsidP="00717114">
            <w:pPr>
              <w:rPr>
                <w:b/>
                <w:sz w:val="20"/>
              </w:rPr>
            </w:pPr>
            <w:r>
              <w:rPr>
                <w:b/>
                <w:sz w:val="20"/>
              </w:rPr>
              <w:t>Description of Timeliness Measure and Page N</w:t>
            </w:r>
            <w:r w:rsidR="00305BD8" w:rsidRPr="008039BE">
              <w:rPr>
                <w:b/>
                <w:sz w:val="20"/>
              </w:rPr>
              <w:t>umber</w:t>
            </w:r>
          </w:p>
        </w:tc>
      </w:tr>
      <w:tr w:rsidR="00BE6BFD" w:rsidRPr="00337774" w:rsidTr="00717114">
        <w:tc>
          <w:tcPr>
            <w:tcW w:w="1894" w:type="dxa"/>
            <w:shd w:val="clear" w:color="auto" w:fill="auto"/>
          </w:tcPr>
          <w:p w:rsidR="00BE6BFD" w:rsidRPr="00337774" w:rsidRDefault="00BE6BFD" w:rsidP="00E84D30">
            <w:pPr>
              <w:rPr>
                <w:sz w:val="20"/>
              </w:rPr>
            </w:pPr>
            <w:r w:rsidRPr="00337774">
              <w:rPr>
                <w:sz w:val="20"/>
              </w:rPr>
              <w:t>(3) Pre-G</w:t>
            </w:r>
            <w:r>
              <w:rPr>
                <w:sz w:val="20"/>
              </w:rPr>
              <w:t xml:space="preserve">rant Approval: Feasibility and Suitability </w:t>
            </w:r>
          </w:p>
        </w:tc>
        <w:tc>
          <w:tcPr>
            <w:tcW w:w="1494" w:type="dxa"/>
            <w:shd w:val="clear" w:color="auto" w:fill="auto"/>
          </w:tcPr>
          <w:p w:rsidR="00BE6BFD" w:rsidRPr="00337774" w:rsidRDefault="00BE6BFD" w:rsidP="00E84D30">
            <w:pPr>
              <w:rPr>
                <w:sz w:val="20"/>
              </w:rPr>
            </w:pPr>
            <w:r w:rsidRPr="00337774">
              <w:rPr>
                <w:sz w:val="20"/>
              </w:rPr>
              <w:t xml:space="preserve">(1) General Information about Feasibility Studies </w:t>
            </w:r>
          </w:p>
        </w:tc>
        <w:tc>
          <w:tcPr>
            <w:tcW w:w="1895" w:type="dxa"/>
            <w:shd w:val="clear" w:color="auto" w:fill="auto"/>
          </w:tcPr>
          <w:p w:rsidR="00BE6BFD" w:rsidRPr="00337774" w:rsidRDefault="00BE6BFD" w:rsidP="00E84D30">
            <w:pPr>
              <w:rPr>
                <w:sz w:val="20"/>
              </w:rPr>
            </w:pPr>
            <w:r w:rsidRPr="00337774">
              <w:rPr>
                <w:sz w:val="20"/>
              </w:rPr>
              <w:t xml:space="preserve">(d) </w:t>
            </w:r>
            <w:r>
              <w:rPr>
                <w:sz w:val="20"/>
              </w:rPr>
              <w:t xml:space="preserve">Timeliness </w:t>
            </w:r>
          </w:p>
        </w:tc>
        <w:tc>
          <w:tcPr>
            <w:tcW w:w="4293" w:type="dxa"/>
            <w:shd w:val="clear" w:color="auto" w:fill="auto"/>
          </w:tcPr>
          <w:p w:rsidR="00BE6BFD" w:rsidRPr="00337774" w:rsidRDefault="000C5893" w:rsidP="00185F25">
            <w:pPr>
              <w:pStyle w:val="BlockText"/>
              <w:numPr>
                <w:ilvl w:val="12"/>
                <w:numId w:val="0"/>
              </w:numPr>
            </w:pPr>
            <w:r>
              <w:t xml:space="preserve">The </w:t>
            </w:r>
            <w:r w:rsidR="00BE6BFD" w:rsidRPr="00337774">
              <w:t xml:space="preserve">SAH </w:t>
            </w:r>
            <w:r w:rsidR="00BE6BFD">
              <w:t>Agent</w:t>
            </w:r>
            <w:r w:rsidR="00BE6BFD" w:rsidRPr="00337774">
              <w:t xml:space="preserve"> </w:t>
            </w:r>
            <w:r w:rsidR="00BE6BFD" w:rsidRPr="00741FED">
              <w:t>must</w:t>
            </w:r>
            <w:r w:rsidR="00BE6BFD" w:rsidRPr="00337774">
              <w:t xml:space="preserve"> </w:t>
            </w:r>
            <w:r w:rsidR="00BE6BFD">
              <w:t>complete</w:t>
            </w:r>
            <w:r w:rsidR="00BE6BFD" w:rsidRPr="00337774">
              <w:t xml:space="preserve"> the </w:t>
            </w:r>
            <w:r w:rsidR="00BE6BFD">
              <w:t>lot/housing unit inspection</w:t>
            </w:r>
            <w:r w:rsidR="00BE6BFD" w:rsidRPr="00337774">
              <w:t xml:space="preserve"> within 30 business days of the initial interview or document the case notes if </w:t>
            </w:r>
            <w:r w:rsidR="00BE6BFD">
              <w:t>an inspection is</w:t>
            </w:r>
            <w:r>
              <w:t xml:space="preserve"> not applicable </w:t>
            </w:r>
            <w:r w:rsidR="00BE6BFD">
              <w:t>(3-2)</w:t>
            </w:r>
            <w:r>
              <w:t xml:space="preserve">.  </w:t>
            </w:r>
            <w:r w:rsidRPr="00337774">
              <w:t xml:space="preserve">The SAH </w:t>
            </w:r>
            <w:r>
              <w:t>Agent</w:t>
            </w:r>
            <w:r w:rsidRPr="00337774">
              <w:t xml:space="preserve"> </w:t>
            </w:r>
            <w:r w:rsidRPr="00741FED">
              <w:t>must</w:t>
            </w:r>
            <w:r w:rsidRPr="00337774">
              <w:t xml:space="preserve"> determine financial feasibility and include the findings in the feasibility study report (on the</w:t>
            </w:r>
            <w:r w:rsidR="00166EE4">
              <w:t xml:space="preserve"> appropriate version of</w:t>
            </w:r>
            <w:r w:rsidRPr="00337774">
              <w:t xml:space="preserve"> VA Form 26-1858) that </w:t>
            </w:r>
            <w:r w:rsidRPr="00741FED">
              <w:t>must</w:t>
            </w:r>
            <w:r w:rsidRPr="00337774">
              <w:t xml:space="preserve"> be completed and uploaded</w:t>
            </w:r>
            <w:r>
              <w:t xml:space="preserve"> to the system</w:t>
            </w:r>
            <w:r w:rsidRPr="00337774">
              <w:t xml:space="preserve"> within 10 b</w:t>
            </w:r>
            <w:r>
              <w:t>usiness days of the date of the lot/housing unit inspection</w:t>
            </w:r>
            <w:r w:rsidRPr="00337774">
              <w:t>.</w:t>
            </w:r>
            <w:r>
              <w:t xml:space="preserve">  I</w:t>
            </w:r>
            <w:r w:rsidRPr="00337774">
              <w:t xml:space="preserve">f other extenuating circumstances exist which prevent the 10 business day requirement from being met, the SAH </w:t>
            </w:r>
            <w:r>
              <w:t>Agent</w:t>
            </w:r>
            <w:r w:rsidRPr="00337774">
              <w:t xml:space="preserve"> </w:t>
            </w:r>
            <w:r w:rsidRPr="00741FED">
              <w:t>must</w:t>
            </w:r>
            <w:r w:rsidRPr="00337774">
              <w:t xml:space="preserve"> clearly document the case notes in the system.</w:t>
            </w:r>
            <w:r>
              <w:t xml:space="preserve">  Again, all</w:t>
            </w:r>
            <w:r w:rsidRPr="00337774">
              <w:t xml:space="preserve"> components </w:t>
            </w:r>
            <w:r>
              <w:t xml:space="preserve">of the feasibility study </w:t>
            </w:r>
            <w:r w:rsidRPr="00337774">
              <w:t>(medical feasibility</w:t>
            </w:r>
            <w:r>
              <w:t>, financial feasibility,</w:t>
            </w:r>
            <w:r w:rsidRPr="00337774">
              <w:t xml:space="preserve"> and </w:t>
            </w:r>
            <w:r>
              <w:t xml:space="preserve">property </w:t>
            </w:r>
            <w:r w:rsidRPr="00337774">
              <w:t>s</w:t>
            </w:r>
            <w:r>
              <w:t>uitability)</w:t>
            </w:r>
            <w:r w:rsidRPr="00337774">
              <w:t xml:space="preserve"> </w:t>
            </w:r>
            <w:r w:rsidRPr="00741FED">
              <w:t>must</w:t>
            </w:r>
            <w:r w:rsidRPr="00337774">
              <w:t xml:space="preserve"> be completed and uploaded in the system within 10 business days of completing the </w:t>
            </w:r>
            <w:r>
              <w:t>lot/housing unit inspection</w:t>
            </w:r>
            <w:r w:rsidRPr="00337774">
              <w:t xml:space="preserve">.  </w:t>
            </w:r>
          </w:p>
        </w:tc>
      </w:tr>
      <w:tr w:rsidR="00305BD8" w:rsidRPr="00337774" w:rsidTr="00717114">
        <w:tc>
          <w:tcPr>
            <w:tcW w:w="1894" w:type="dxa"/>
            <w:shd w:val="clear" w:color="auto" w:fill="auto"/>
          </w:tcPr>
          <w:p w:rsidR="00305BD8" w:rsidRPr="00337774" w:rsidRDefault="00305BD8" w:rsidP="00717114">
            <w:pPr>
              <w:rPr>
                <w:sz w:val="20"/>
              </w:rPr>
            </w:pPr>
            <w:r w:rsidRPr="00337774">
              <w:rPr>
                <w:sz w:val="20"/>
              </w:rPr>
              <w:t>(4) Getting to Conditional Approval</w:t>
            </w:r>
          </w:p>
        </w:tc>
        <w:tc>
          <w:tcPr>
            <w:tcW w:w="1494" w:type="dxa"/>
            <w:shd w:val="clear" w:color="auto" w:fill="auto"/>
          </w:tcPr>
          <w:p w:rsidR="00305BD8" w:rsidRPr="00337774" w:rsidRDefault="00305BD8" w:rsidP="00717114">
            <w:pPr>
              <w:rPr>
                <w:sz w:val="20"/>
              </w:rPr>
            </w:pPr>
            <w:r w:rsidRPr="00337774">
              <w:rPr>
                <w:sz w:val="20"/>
              </w:rPr>
              <w:t>(4) More Information Regarding Financial Information</w:t>
            </w:r>
          </w:p>
        </w:tc>
        <w:tc>
          <w:tcPr>
            <w:tcW w:w="1895" w:type="dxa"/>
            <w:shd w:val="clear" w:color="auto" w:fill="auto"/>
          </w:tcPr>
          <w:p w:rsidR="00305BD8" w:rsidRPr="00337774" w:rsidRDefault="00305BD8" w:rsidP="00717114">
            <w:pPr>
              <w:rPr>
                <w:sz w:val="20"/>
              </w:rPr>
            </w:pPr>
            <w:r w:rsidRPr="00337774">
              <w:rPr>
                <w:sz w:val="20"/>
              </w:rPr>
              <w:t>c) Timeliness</w:t>
            </w:r>
          </w:p>
        </w:tc>
        <w:tc>
          <w:tcPr>
            <w:tcW w:w="4293" w:type="dxa"/>
            <w:shd w:val="clear" w:color="auto" w:fill="auto"/>
          </w:tcPr>
          <w:p w:rsidR="00305BD8" w:rsidRPr="000A7EAB" w:rsidRDefault="00305BD8" w:rsidP="000A7EAB">
            <w:pPr>
              <w:pStyle w:val="BlockText"/>
              <w:numPr>
                <w:ilvl w:val="12"/>
                <w:numId w:val="0"/>
              </w:numPr>
            </w:pPr>
            <w:r w:rsidRPr="00337774">
              <w:t xml:space="preserve">If the SAH </w:t>
            </w:r>
            <w:r w:rsidR="00046E56">
              <w:t>Agent</w:t>
            </w:r>
            <w:r w:rsidRPr="00337774">
              <w:t xml:space="preserve"> experiences delay in the Veteran providing information (to complete financial feasibility), or if other extenuating circumstances exist which prevent the 10 business day requirement from being met, the SAH </w:t>
            </w:r>
            <w:r w:rsidR="00046E56">
              <w:t>Agent</w:t>
            </w:r>
            <w:r w:rsidRPr="00337774">
              <w:t xml:space="preserve"> must clearly document the case notes in the system. (4-5)</w:t>
            </w:r>
          </w:p>
        </w:tc>
      </w:tr>
      <w:tr w:rsidR="00305BD8" w:rsidRPr="00337774" w:rsidTr="00717114">
        <w:tc>
          <w:tcPr>
            <w:tcW w:w="1894" w:type="dxa"/>
            <w:shd w:val="clear" w:color="auto" w:fill="auto"/>
          </w:tcPr>
          <w:p w:rsidR="00305BD8" w:rsidRPr="00337774" w:rsidRDefault="00305BD8" w:rsidP="00717114">
            <w:pPr>
              <w:rPr>
                <w:sz w:val="20"/>
              </w:rPr>
            </w:pPr>
            <w:r w:rsidRPr="00337774">
              <w:rPr>
                <w:sz w:val="20"/>
              </w:rPr>
              <w:t xml:space="preserve">(5) Getting to Final Approval </w:t>
            </w:r>
          </w:p>
        </w:tc>
        <w:tc>
          <w:tcPr>
            <w:tcW w:w="1494" w:type="dxa"/>
            <w:shd w:val="clear" w:color="auto" w:fill="auto"/>
          </w:tcPr>
          <w:p w:rsidR="00305BD8" w:rsidRPr="00337774" w:rsidRDefault="00305BD8" w:rsidP="00717114">
            <w:pPr>
              <w:rPr>
                <w:sz w:val="20"/>
              </w:rPr>
            </w:pPr>
            <w:r w:rsidRPr="00337774">
              <w:rPr>
                <w:sz w:val="20"/>
              </w:rPr>
              <w:t xml:space="preserve">(9) RLC Requirements for Grant Disapproval </w:t>
            </w:r>
          </w:p>
        </w:tc>
        <w:tc>
          <w:tcPr>
            <w:tcW w:w="1895" w:type="dxa"/>
            <w:shd w:val="clear" w:color="auto" w:fill="auto"/>
          </w:tcPr>
          <w:p w:rsidR="00305BD8" w:rsidRPr="00337774" w:rsidRDefault="00305BD8" w:rsidP="00717114">
            <w:pPr>
              <w:rPr>
                <w:sz w:val="20"/>
              </w:rPr>
            </w:pPr>
            <w:r w:rsidRPr="00337774">
              <w:rPr>
                <w:sz w:val="20"/>
              </w:rPr>
              <w:t xml:space="preserve">(c) Follow Up Requirements </w:t>
            </w:r>
          </w:p>
        </w:tc>
        <w:tc>
          <w:tcPr>
            <w:tcW w:w="4293" w:type="dxa"/>
            <w:shd w:val="clear" w:color="auto" w:fill="auto"/>
          </w:tcPr>
          <w:p w:rsidR="00305BD8" w:rsidRPr="00337774" w:rsidRDefault="00305BD8" w:rsidP="000C5893">
            <w:pPr>
              <w:pStyle w:val="BlockText"/>
              <w:numPr>
                <w:ilvl w:val="12"/>
                <w:numId w:val="0"/>
              </w:numPr>
            </w:pPr>
            <w:r w:rsidRPr="00337774">
              <w:t xml:space="preserve">If RLC management disapproves a grant and additional documentation is required from the Veteran and/or builder, the SAH </w:t>
            </w:r>
            <w:r w:rsidR="00046E56">
              <w:t>Agent</w:t>
            </w:r>
            <w:r w:rsidRPr="00337774">
              <w:t xml:space="preserve"> must communicate this to the Veteran and/or builder within 5 business days of disapproval via e</w:t>
            </w:r>
            <w:r w:rsidR="00C0225B">
              <w:t>-</w:t>
            </w:r>
            <w:r w:rsidRPr="00337774">
              <w:t>mail or mail.  A copy of this communication must be uploaded in the system. (5-25)</w:t>
            </w:r>
          </w:p>
        </w:tc>
      </w:tr>
    </w:tbl>
    <w:p w:rsidR="000C5893" w:rsidRDefault="000C5893" w:rsidP="000C5893">
      <w:pPr>
        <w:pStyle w:val="Heading2"/>
        <w:jc w:val="right"/>
        <w:rPr>
          <w:rFonts w:ascii="Times New Roman" w:hAnsi="Times New Roman"/>
          <w:b w:val="0"/>
          <w:i/>
          <w:sz w:val="22"/>
          <w:szCs w:val="22"/>
        </w:rPr>
      </w:pPr>
      <w:r w:rsidRPr="000C5893">
        <w:rPr>
          <w:rFonts w:ascii="Times New Roman" w:hAnsi="Times New Roman"/>
          <w:b w:val="0"/>
          <w:i/>
          <w:sz w:val="22"/>
          <w:szCs w:val="22"/>
        </w:rPr>
        <w:t>Continued on next page</w:t>
      </w:r>
    </w:p>
    <w:p w:rsidR="000C5893" w:rsidRPr="000C5893" w:rsidRDefault="000C5893" w:rsidP="000C5893">
      <w:pPr>
        <w:pStyle w:val="Heading4"/>
      </w:pPr>
    </w:p>
    <w:p w:rsidR="000A7EAB" w:rsidRDefault="000A7EAB" w:rsidP="00FA722B">
      <w:pPr>
        <w:pStyle w:val="Heading2"/>
        <w:jc w:val="left"/>
      </w:pPr>
    </w:p>
    <w:p w:rsidR="00FA722B" w:rsidRDefault="00185F25" w:rsidP="005C3D9E">
      <w:pPr>
        <w:pStyle w:val="Heading2"/>
        <w:spacing w:after="0"/>
        <w:jc w:val="left"/>
      </w:pPr>
      <w:r>
        <w:t>Appendix F</w:t>
      </w:r>
      <w:r w:rsidR="00FA722B">
        <w:t xml:space="preserve">. </w:t>
      </w:r>
      <w:r w:rsidR="00FA722B">
        <w:tab/>
        <w:t>Timeliness Requirements, continued</w:t>
      </w:r>
    </w:p>
    <w:p w:rsidR="005C3D9E" w:rsidRPr="005C3D9E" w:rsidRDefault="005C3D9E" w:rsidP="005C3D9E">
      <w:pPr>
        <w:pStyle w:val="Heading4"/>
        <w:spacing w:befor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94"/>
        <w:gridCol w:w="1895"/>
        <w:gridCol w:w="4293"/>
      </w:tblGrid>
      <w:tr w:rsidR="00305BD8" w:rsidRPr="00337774" w:rsidTr="00717114">
        <w:tc>
          <w:tcPr>
            <w:tcW w:w="1894" w:type="dxa"/>
            <w:shd w:val="clear" w:color="auto" w:fill="auto"/>
          </w:tcPr>
          <w:p w:rsidR="00305BD8" w:rsidRPr="008039BE" w:rsidRDefault="00305BD8" w:rsidP="00717114">
            <w:pPr>
              <w:rPr>
                <w:b/>
                <w:sz w:val="20"/>
              </w:rPr>
            </w:pPr>
            <w:r w:rsidRPr="008039BE">
              <w:rPr>
                <w:b/>
                <w:sz w:val="20"/>
              </w:rPr>
              <w:t>Chapter</w:t>
            </w:r>
          </w:p>
        </w:tc>
        <w:tc>
          <w:tcPr>
            <w:tcW w:w="1494" w:type="dxa"/>
            <w:shd w:val="clear" w:color="auto" w:fill="auto"/>
          </w:tcPr>
          <w:p w:rsidR="00305BD8" w:rsidRPr="008039BE" w:rsidRDefault="00305BD8" w:rsidP="00717114">
            <w:pPr>
              <w:rPr>
                <w:b/>
                <w:sz w:val="20"/>
              </w:rPr>
            </w:pPr>
            <w:r w:rsidRPr="008039BE">
              <w:rPr>
                <w:b/>
                <w:sz w:val="20"/>
              </w:rPr>
              <w:t xml:space="preserve">Topic  </w:t>
            </w:r>
          </w:p>
        </w:tc>
        <w:tc>
          <w:tcPr>
            <w:tcW w:w="1895" w:type="dxa"/>
            <w:shd w:val="clear" w:color="auto" w:fill="auto"/>
          </w:tcPr>
          <w:p w:rsidR="00305BD8" w:rsidRPr="008039BE" w:rsidRDefault="00305BD8" w:rsidP="00717114">
            <w:pPr>
              <w:rPr>
                <w:b/>
                <w:sz w:val="20"/>
              </w:rPr>
            </w:pPr>
            <w:r w:rsidRPr="008039BE">
              <w:rPr>
                <w:b/>
                <w:sz w:val="20"/>
              </w:rPr>
              <w:t xml:space="preserve">Section </w:t>
            </w:r>
          </w:p>
        </w:tc>
        <w:tc>
          <w:tcPr>
            <w:tcW w:w="4293" w:type="dxa"/>
            <w:shd w:val="clear" w:color="auto" w:fill="auto"/>
          </w:tcPr>
          <w:p w:rsidR="00305BD8" w:rsidRPr="008039BE" w:rsidRDefault="00185F25" w:rsidP="00185F25">
            <w:pPr>
              <w:rPr>
                <w:b/>
                <w:sz w:val="20"/>
              </w:rPr>
            </w:pPr>
            <w:r>
              <w:rPr>
                <w:b/>
                <w:sz w:val="20"/>
              </w:rPr>
              <w:t>Description of Timeliness M</w:t>
            </w:r>
            <w:r w:rsidR="00305BD8" w:rsidRPr="008039BE">
              <w:rPr>
                <w:b/>
                <w:sz w:val="20"/>
              </w:rPr>
              <w:t xml:space="preserve">easure and </w:t>
            </w:r>
            <w:r>
              <w:rPr>
                <w:b/>
                <w:sz w:val="20"/>
              </w:rPr>
              <w:t>Page N</w:t>
            </w:r>
            <w:r w:rsidR="00305BD8" w:rsidRPr="008039BE">
              <w:rPr>
                <w:b/>
                <w:sz w:val="20"/>
              </w:rPr>
              <w:t>umber</w:t>
            </w:r>
          </w:p>
        </w:tc>
      </w:tr>
      <w:tr w:rsidR="000C5893" w:rsidRPr="00337774" w:rsidTr="00717114">
        <w:tc>
          <w:tcPr>
            <w:tcW w:w="1894" w:type="dxa"/>
            <w:shd w:val="clear" w:color="auto" w:fill="auto"/>
          </w:tcPr>
          <w:p w:rsidR="000C5893" w:rsidRPr="00337774" w:rsidRDefault="000C5893" w:rsidP="00E84D30">
            <w:pPr>
              <w:rPr>
                <w:sz w:val="20"/>
              </w:rPr>
            </w:pPr>
            <w:r w:rsidRPr="00337774">
              <w:rPr>
                <w:sz w:val="20"/>
              </w:rPr>
              <w:t xml:space="preserve">(6) SAH Agent’s Responsibilities During Construction and Handling Disputes/Complaints </w:t>
            </w:r>
          </w:p>
        </w:tc>
        <w:tc>
          <w:tcPr>
            <w:tcW w:w="1494" w:type="dxa"/>
            <w:shd w:val="clear" w:color="auto" w:fill="auto"/>
          </w:tcPr>
          <w:p w:rsidR="000C5893" w:rsidRPr="00337774" w:rsidRDefault="000C5893" w:rsidP="00E84D30">
            <w:pPr>
              <w:rPr>
                <w:sz w:val="20"/>
              </w:rPr>
            </w:pPr>
            <w:r w:rsidRPr="00337774">
              <w:rPr>
                <w:sz w:val="20"/>
              </w:rPr>
              <w:t xml:space="preserve">(1) Project Management Responsibilities </w:t>
            </w:r>
          </w:p>
        </w:tc>
        <w:tc>
          <w:tcPr>
            <w:tcW w:w="1895" w:type="dxa"/>
            <w:shd w:val="clear" w:color="auto" w:fill="auto"/>
          </w:tcPr>
          <w:p w:rsidR="000C5893" w:rsidRPr="00337774" w:rsidRDefault="000C5893" w:rsidP="00E84D30">
            <w:pPr>
              <w:rPr>
                <w:sz w:val="20"/>
              </w:rPr>
            </w:pPr>
            <w:r w:rsidRPr="00337774">
              <w:rPr>
                <w:sz w:val="20"/>
              </w:rPr>
              <w:t xml:space="preserve">(b) Notifying the Veteran and Builder After Grant Approval </w:t>
            </w:r>
          </w:p>
        </w:tc>
        <w:tc>
          <w:tcPr>
            <w:tcW w:w="4293" w:type="dxa"/>
            <w:shd w:val="clear" w:color="auto" w:fill="auto"/>
          </w:tcPr>
          <w:p w:rsidR="000C5893" w:rsidRPr="00337774" w:rsidRDefault="000C5893" w:rsidP="00E84D30">
            <w:pPr>
              <w:numPr>
                <w:ilvl w:val="12"/>
                <w:numId w:val="0"/>
              </w:numPr>
            </w:pPr>
            <w:r w:rsidRPr="00337774">
              <w:t xml:space="preserve">The SAH </w:t>
            </w:r>
            <w:r>
              <w:t>Agent</w:t>
            </w:r>
            <w:r w:rsidRPr="00337774">
              <w:t xml:space="preserve"> is required to notify the Veteran receiving the SAH/SHA grant within 3 busi</w:t>
            </w:r>
            <w:r w:rsidR="008039BE">
              <w:t>ness days after grant approval</w:t>
            </w:r>
            <w:r w:rsidRPr="00337774">
              <w:t xml:space="preserve"> (6-2)</w:t>
            </w:r>
            <w:r w:rsidR="008039BE">
              <w:t>.</w:t>
            </w:r>
            <w:r w:rsidRPr="00337774">
              <w:t xml:space="preserve"> </w:t>
            </w:r>
          </w:p>
        </w:tc>
      </w:tr>
      <w:tr w:rsidR="000C5893" w:rsidRPr="00337774" w:rsidTr="00717114">
        <w:tc>
          <w:tcPr>
            <w:tcW w:w="1894" w:type="dxa"/>
            <w:shd w:val="clear" w:color="auto" w:fill="auto"/>
          </w:tcPr>
          <w:p w:rsidR="000C5893" w:rsidRPr="00337774" w:rsidRDefault="000C5893" w:rsidP="00E84D30">
            <w:pPr>
              <w:rPr>
                <w:sz w:val="20"/>
              </w:rPr>
            </w:pPr>
            <w:r w:rsidRPr="00337774">
              <w:rPr>
                <w:sz w:val="20"/>
              </w:rPr>
              <w:t>(6) SAH Agent’s Responsibilities During Construction and Handling Disputes/Complaints</w:t>
            </w:r>
          </w:p>
        </w:tc>
        <w:tc>
          <w:tcPr>
            <w:tcW w:w="1494" w:type="dxa"/>
            <w:shd w:val="clear" w:color="auto" w:fill="auto"/>
          </w:tcPr>
          <w:p w:rsidR="000C5893" w:rsidRPr="00337774" w:rsidRDefault="000C5893" w:rsidP="00E84D30">
            <w:pPr>
              <w:rPr>
                <w:sz w:val="20"/>
              </w:rPr>
            </w:pPr>
            <w:r w:rsidRPr="00337774">
              <w:rPr>
                <w:sz w:val="20"/>
              </w:rPr>
              <w:t>(1) Project Management Responsibilities</w:t>
            </w:r>
          </w:p>
        </w:tc>
        <w:tc>
          <w:tcPr>
            <w:tcW w:w="1895" w:type="dxa"/>
            <w:shd w:val="clear" w:color="auto" w:fill="auto"/>
          </w:tcPr>
          <w:p w:rsidR="000C5893" w:rsidRPr="00337774" w:rsidRDefault="000C5893" w:rsidP="00E84D30">
            <w:pPr>
              <w:rPr>
                <w:sz w:val="20"/>
              </w:rPr>
            </w:pPr>
            <w:r w:rsidRPr="00337774">
              <w:rPr>
                <w:sz w:val="20"/>
              </w:rPr>
              <w:t xml:space="preserve"> (f) Required Communication During Construction </w:t>
            </w:r>
          </w:p>
        </w:tc>
        <w:tc>
          <w:tcPr>
            <w:tcW w:w="4293" w:type="dxa"/>
            <w:shd w:val="clear" w:color="auto" w:fill="auto"/>
          </w:tcPr>
          <w:p w:rsidR="000C5893" w:rsidRPr="00337774" w:rsidRDefault="000C5893" w:rsidP="00E84D30">
            <w:pPr>
              <w:numPr>
                <w:ilvl w:val="12"/>
                <w:numId w:val="0"/>
              </w:numPr>
            </w:pPr>
            <w:r w:rsidRPr="00337774">
              <w:t xml:space="preserve">The SAH Agent is </w:t>
            </w:r>
            <w:r w:rsidRPr="00741FED">
              <w:t>required</w:t>
            </w:r>
            <w:r w:rsidRPr="00337774">
              <w:t xml:space="preserve"> to maintain communication with the Veteran and builder at least every 10 business days, beginning at the construction start date</w:t>
            </w:r>
            <w:r w:rsidR="008039BE">
              <w:t xml:space="preserve"> (</w:t>
            </w:r>
            <w:r>
              <w:t>6-3</w:t>
            </w:r>
            <w:r w:rsidR="008039BE">
              <w:t>).</w:t>
            </w:r>
          </w:p>
        </w:tc>
      </w:tr>
      <w:tr w:rsidR="000C5893" w:rsidRPr="00337774" w:rsidTr="00717114">
        <w:tc>
          <w:tcPr>
            <w:tcW w:w="1894" w:type="dxa"/>
            <w:shd w:val="clear" w:color="auto" w:fill="auto"/>
          </w:tcPr>
          <w:p w:rsidR="000C5893" w:rsidRPr="00337774" w:rsidRDefault="000C5893" w:rsidP="00717114">
            <w:pPr>
              <w:rPr>
                <w:sz w:val="20"/>
              </w:rPr>
            </w:pPr>
            <w:r w:rsidRPr="00337774">
              <w:rPr>
                <w:sz w:val="20"/>
              </w:rPr>
              <w:t>6) SAH Agent’s Responsibilities During Construction and Handling Disputes/Complaints</w:t>
            </w:r>
          </w:p>
          <w:p w:rsidR="000C5893" w:rsidRPr="00337774" w:rsidRDefault="000C5893" w:rsidP="00717114">
            <w:pPr>
              <w:rPr>
                <w:sz w:val="20"/>
              </w:rPr>
            </w:pPr>
          </w:p>
        </w:tc>
        <w:tc>
          <w:tcPr>
            <w:tcW w:w="1494" w:type="dxa"/>
            <w:shd w:val="clear" w:color="auto" w:fill="auto"/>
          </w:tcPr>
          <w:p w:rsidR="000C5893" w:rsidRPr="00337774" w:rsidRDefault="000C5893" w:rsidP="00717114">
            <w:pPr>
              <w:rPr>
                <w:sz w:val="20"/>
              </w:rPr>
            </w:pPr>
            <w:r w:rsidRPr="00337774">
              <w:rPr>
                <w:sz w:val="20"/>
              </w:rPr>
              <w:t xml:space="preserve">(3) Dispute Resolution </w:t>
            </w:r>
          </w:p>
        </w:tc>
        <w:tc>
          <w:tcPr>
            <w:tcW w:w="1895" w:type="dxa"/>
            <w:shd w:val="clear" w:color="auto" w:fill="auto"/>
          </w:tcPr>
          <w:p w:rsidR="000C5893" w:rsidRPr="00337774" w:rsidRDefault="000C5893" w:rsidP="00717114">
            <w:pPr>
              <w:rPr>
                <w:sz w:val="20"/>
              </w:rPr>
            </w:pPr>
            <w:r w:rsidRPr="00337774">
              <w:rPr>
                <w:sz w:val="20"/>
              </w:rPr>
              <w:t xml:space="preserve">(c) How to Handle Complaints </w:t>
            </w:r>
          </w:p>
        </w:tc>
        <w:tc>
          <w:tcPr>
            <w:tcW w:w="4293" w:type="dxa"/>
            <w:shd w:val="clear" w:color="auto" w:fill="auto"/>
          </w:tcPr>
          <w:p w:rsidR="000C5893" w:rsidRPr="00337774" w:rsidRDefault="000C5893" w:rsidP="002024C5">
            <w:pPr>
              <w:pStyle w:val="BulletText1"/>
              <w:numPr>
                <w:ilvl w:val="0"/>
                <w:numId w:val="0"/>
              </w:numPr>
              <w:tabs>
                <w:tab w:val="clear" w:pos="187"/>
                <w:tab w:val="left" w:pos="0"/>
              </w:tabs>
              <w:rPr>
                <w:sz w:val="20"/>
              </w:rPr>
            </w:pPr>
            <w:r w:rsidRPr="00337774">
              <w:t>By maintaining contact every 10 business da</w:t>
            </w:r>
            <w:r w:rsidR="008039BE">
              <w:t xml:space="preserve">ys with the Veteran and builder </w:t>
            </w:r>
            <w:r w:rsidRPr="00337774">
              <w:t xml:space="preserve"> throughout the duration of the construction project and during any period of dispute/complaint, the SAH </w:t>
            </w:r>
            <w:r>
              <w:t>Agent</w:t>
            </w:r>
            <w:r w:rsidRPr="00337774">
              <w:t xml:space="preserve"> should effectively manage the project and avoid issues from escalating beyond the po</w:t>
            </w:r>
            <w:r w:rsidR="008039BE">
              <w:t>int of control of the SAH Agent</w:t>
            </w:r>
            <w:r w:rsidRPr="00337774">
              <w:t xml:space="preserve"> </w:t>
            </w:r>
            <w:r w:rsidR="008039BE">
              <w:t>(</w:t>
            </w:r>
            <w:r w:rsidRPr="00337774">
              <w:t>6-7</w:t>
            </w:r>
            <w:r w:rsidR="008039BE">
              <w:t>).</w:t>
            </w:r>
          </w:p>
        </w:tc>
      </w:tr>
      <w:tr w:rsidR="00305BD8" w:rsidRPr="00337774" w:rsidTr="00717114">
        <w:tc>
          <w:tcPr>
            <w:tcW w:w="1894" w:type="dxa"/>
            <w:shd w:val="clear" w:color="auto" w:fill="auto"/>
          </w:tcPr>
          <w:p w:rsidR="00305BD8" w:rsidRPr="00337774" w:rsidRDefault="00305BD8" w:rsidP="00717114">
            <w:pPr>
              <w:rPr>
                <w:sz w:val="20"/>
              </w:rPr>
            </w:pPr>
            <w:r w:rsidRPr="00337774">
              <w:rPr>
                <w:sz w:val="20"/>
              </w:rPr>
              <w:t>(6) SAH Agent’s Responsibilities During Construction and Handling Disputes/Complaints</w:t>
            </w:r>
          </w:p>
        </w:tc>
        <w:tc>
          <w:tcPr>
            <w:tcW w:w="1494" w:type="dxa"/>
            <w:shd w:val="clear" w:color="auto" w:fill="auto"/>
          </w:tcPr>
          <w:p w:rsidR="00305BD8" w:rsidRPr="00337774" w:rsidRDefault="00305BD8" w:rsidP="00717114">
            <w:pPr>
              <w:rPr>
                <w:sz w:val="20"/>
              </w:rPr>
            </w:pPr>
            <w:r w:rsidRPr="00337774">
              <w:rPr>
                <w:sz w:val="20"/>
              </w:rPr>
              <w:t xml:space="preserve">(3) Dispute Resolution </w:t>
            </w:r>
          </w:p>
        </w:tc>
        <w:tc>
          <w:tcPr>
            <w:tcW w:w="1895" w:type="dxa"/>
            <w:shd w:val="clear" w:color="auto" w:fill="auto"/>
          </w:tcPr>
          <w:p w:rsidR="00305BD8" w:rsidRPr="00337774" w:rsidRDefault="00305BD8" w:rsidP="00717114">
            <w:pPr>
              <w:tabs>
                <w:tab w:val="left" w:pos="882"/>
              </w:tabs>
              <w:ind w:right="26"/>
              <w:rPr>
                <w:sz w:val="20"/>
              </w:rPr>
            </w:pPr>
            <w:r w:rsidRPr="00337774">
              <w:rPr>
                <w:sz w:val="20"/>
              </w:rPr>
              <w:t xml:space="preserve">(e) Handling Formal Construction Complaints </w:t>
            </w:r>
          </w:p>
        </w:tc>
        <w:tc>
          <w:tcPr>
            <w:tcW w:w="4293" w:type="dxa"/>
            <w:shd w:val="clear" w:color="auto" w:fill="auto"/>
          </w:tcPr>
          <w:p w:rsidR="00305BD8" w:rsidRPr="00337774" w:rsidRDefault="00305BD8" w:rsidP="002024C5">
            <w:pPr>
              <w:pStyle w:val="BulletText1"/>
              <w:numPr>
                <w:ilvl w:val="0"/>
                <w:numId w:val="0"/>
              </w:numPr>
              <w:tabs>
                <w:tab w:val="clear" w:pos="187"/>
                <w:tab w:val="left" w:pos="0"/>
              </w:tabs>
              <w:rPr>
                <w:sz w:val="20"/>
              </w:rPr>
            </w:pPr>
            <w:r w:rsidRPr="00337774">
              <w:t>Upload all complaint documentation to the system within 5 business days of receipt and notify the Assistant Valuation Officer (</w:t>
            </w:r>
            <w:r w:rsidR="008039BE">
              <w:t xml:space="preserve">AVO) and Valuation Officer (VO).  </w:t>
            </w:r>
            <w:r w:rsidR="008039BE" w:rsidRPr="00337774">
              <w:t xml:space="preserve">The site inspection report </w:t>
            </w:r>
            <w:r w:rsidR="008039BE" w:rsidRPr="00046E56">
              <w:t>must</w:t>
            </w:r>
            <w:r w:rsidR="008039BE" w:rsidRPr="00337774">
              <w:t xml:space="preserve"> be completed and uploaded to the system within 10 business days of completing the site inspection.  </w:t>
            </w:r>
            <w:r w:rsidR="002024C5" w:rsidRPr="00337774">
              <w:t xml:space="preserve">The SAH Agent </w:t>
            </w:r>
            <w:r w:rsidR="002024C5" w:rsidRPr="00046E56">
              <w:t>must</w:t>
            </w:r>
            <w:r w:rsidR="002024C5" w:rsidRPr="00337774">
              <w:t xml:space="preserve"> create and provide to the builder via mail, e</w:t>
            </w:r>
            <w:r w:rsidR="00C0225B">
              <w:t>-</w:t>
            </w:r>
            <w:r w:rsidR="002024C5" w:rsidRPr="00337774">
              <w:t xml:space="preserve">mail, or fax and upload to the system, a builder remediation plan that notifies the builder of dispute/complaint items within 10 business days of completing the site inspection </w:t>
            </w:r>
            <w:r w:rsidRPr="00337774">
              <w:t>(6-9)</w:t>
            </w:r>
            <w:r w:rsidR="002024C5">
              <w:t>.</w:t>
            </w:r>
          </w:p>
        </w:tc>
      </w:tr>
      <w:tr w:rsidR="00305BD8" w:rsidRPr="00337774" w:rsidTr="00717114">
        <w:tc>
          <w:tcPr>
            <w:tcW w:w="1894" w:type="dxa"/>
            <w:shd w:val="clear" w:color="auto" w:fill="auto"/>
          </w:tcPr>
          <w:p w:rsidR="00305BD8" w:rsidRPr="00337774" w:rsidRDefault="00305BD8" w:rsidP="00717114">
            <w:pPr>
              <w:rPr>
                <w:sz w:val="20"/>
              </w:rPr>
            </w:pPr>
            <w:r w:rsidRPr="00337774">
              <w:rPr>
                <w:sz w:val="20"/>
              </w:rPr>
              <w:t>(6) SAH Agent’s Responsibilities During Construction and Handling Disputes/Complaints</w:t>
            </w:r>
          </w:p>
        </w:tc>
        <w:tc>
          <w:tcPr>
            <w:tcW w:w="1494" w:type="dxa"/>
            <w:shd w:val="clear" w:color="auto" w:fill="auto"/>
          </w:tcPr>
          <w:p w:rsidR="00305BD8" w:rsidRPr="00337774" w:rsidRDefault="00305BD8" w:rsidP="00717114">
            <w:pPr>
              <w:rPr>
                <w:sz w:val="20"/>
              </w:rPr>
            </w:pPr>
            <w:r w:rsidRPr="00337774">
              <w:rPr>
                <w:sz w:val="20"/>
              </w:rPr>
              <w:t>(3) Dispute Resolution</w:t>
            </w:r>
          </w:p>
        </w:tc>
        <w:tc>
          <w:tcPr>
            <w:tcW w:w="1895" w:type="dxa"/>
            <w:shd w:val="clear" w:color="auto" w:fill="auto"/>
          </w:tcPr>
          <w:p w:rsidR="00305BD8" w:rsidRPr="00337774" w:rsidRDefault="00305BD8" w:rsidP="00717114">
            <w:pPr>
              <w:rPr>
                <w:sz w:val="20"/>
              </w:rPr>
            </w:pPr>
            <w:r w:rsidRPr="00337774">
              <w:rPr>
                <w:sz w:val="20"/>
              </w:rPr>
              <w:t xml:space="preserve">(g) How to Handle Legal Action Between the Veteran and the Builder </w:t>
            </w:r>
          </w:p>
        </w:tc>
        <w:tc>
          <w:tcPr>
            <w:tcW w:w="4293" w:type="dxa"/>
            <w:shd w:val="clear" w:color="auto" w:fill="auto"/>
          </w:tcPr>
          <w:p w:rsidR="00305BD8" w:rsidRPr="00337774" w:rsidRDefault="00305BD8" w:rsidP="002024C5">
            <w:pPr>
              <w:pStyle w:val="BulletText1"/>
              <w:numPr>
                <w:ilvl w:val="0"/>
                <w:numId w:val="0"/>
              </w:numPr>
              <w:tabs>
                <w:tab w:val="clear" w:pos="187"/>
                <w:tab w:val="left" w:pos="0"/>
              </w:tabs>
            </w:pPr>
            <w:r w:rsidRPr="00337774">
              <w:t>Document the system with the details of the litigation within 5 business days of their receipt, and advise C</w:t>
            </w:r>
            <w:r w:rsidR="00C0225B">
              <w:t xml:space="preserve">entral </w:t>
            </w:r>
            <w:r w:rsidRPr="00337774">
              <w:t>O</w:t>
            </w:r>
            <w:r w:rsidR="00C0225B">
              <w:t>ffice</w:t>
            </w:r>
            <w:r w:rsidRPr="00337774">
              <w:t xml:space="preserve"> of the litigation issues. (6-10) </w:t>
            </w:r>
          </w:p>
        </w:tc>
      </w:tr>
    </w:tbl>
    <w:p w:rsidR="00305BD8" w:rsidRPr="002024C5" w:rsidRDefault="002024C5" w:rsidP="002024C5">
      <w:pPr>
        <w:pStyle w:val="Heading5"/>
        <w:jc w:val="right"/>
        <w:rPr>
          <w:b w:val="0"/>
          <w:i/>
          <w:szCs w:val="22"/>
        </w:rPr>
      </w:pPr>
      <w:r w:rsidRPr="002024C5">
        <w:rPr>
          <w:b w:val="0"/>
          <w:i/>
          <w:szCs w:val="22"/>
        </w:rPr>
        <w:t>Continued on next page</w:t>
      </w:r>
    </w:p>
    <w:p w:rsidR="002024C5" w:rsidRDefault="002024C5" w:rsidP="002024C5"/>
    <w:p w:rsidR="000A7EAB" w:rsidRDefault="000A7EAB" w:rsidP="002024C5"/>
    <w:p w:rsidR="000A7EAB" w:rsidRDefault="000A7EAB" w:rsidP="002024C5"/>
    <w:p w:rsidR="000A7EAB" w:rsidRDefault="000A7EAB" w:rsidP="002024C5"/>
    <w:p w:rsidR="000A7EAB" w:rsidRDefault="000A7EAB" w:rsidP="002024C5"/>
    <w:p w:rsidR="00185F25" w:rsidRPr="00185F25" w:rsidRDefault="00185F25" w:rsidP="00185F25">
      <w:pPr>
        <w:pStyle w:val="Heading2"/>
        <w:spacing w:after="0"/>
        <w:jc w:val="left"/>
        <w:rPr>
          <w:sz w:val="24"/>
          <w:szCs w:val="24"/>
        </w:rPr>
      </w:pPr>
    </w:p>
    <w:p w:rsidR="00FA722B" w:rsidRDefault="00185F25" w:rsidP="005C3D9E">
      <w:pPr>
        <w:pStyle w:val="Heading2"/>
        <w:spacing w:after="0"/>
        <w:jc w:val="left"/>
      </w:pPr>
      <w:r>
        <w:t>Appendix F</w:t>
      </w:r>
      <w:r w:rsidR="00FA722B">
        <w:t xml:space="preserve">. </w:t>
      </w:r>
      <w:r w:rsidR="00FA722B">
        <w:tab/>
        <w:t>Timeliness Requirements, continued</w:t>
      </w:r>
    </w:p>
    <w:p w:rsidR="005C3D9E" w:rsidRPr="005C3D9E" w:rsidRDefault="005C3D9E" w:rsidP="005C3D9E">
      <w:pPr>
        <w:pStyle w:val="Heading4"/>
        <w:spacing w:befor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94"/>
        <w:gridCol w:w="1895"/>
        <w:gridCol w:w="4293"/>
      </w:tblGrid>
      <w:tr w:rsidR="00305BD8" w:rsidRPr="00337774" w:rsidTr="00FA722B">
        <w:tc>
          <w:tcPr>
            <w:tcW w:w="1894" w:type="dxa"/>
            <w:shd w:val="clear" w:color="auto" w:fill="auto"/>
          </w:tcPr>
          <w:p w:rsidR="00305BD8" w:rsidRPr="00FA722B" w:rsidRDefault="00305BD8" w:rsidP="00717114">
            <w:pPr>
              <w:rPr>
                <w:b/>
                <w:sz w:val="20"/>
              </w:rPr>
            </w:pPr>
            <w:r w:rsidRPr="00FA722B">
              <w:rPr>
                <w:b/>
                <w:sz w:val="20"/>
              </w:rPr>
              <w:t>Chapter</w:t>
            </w:r>
          </w:p>
        </w:tc>
        <w:tc>
          <w:tcPr>
            <w:tcW w:w="1494" w:type="dxa"/>
            <w:shd w:val="clear" w:color="auto" w:fill="auto"/>
          </w:tcPr>
          <w:p w:rsidR="00305BD8" w:rsidRPr="00FA722B" w:rsidRDefault="00305BD8" w:rsidP="00717114">
            <w:pPr>
              <w:rPr>
                <w:b/>
                <w:sz w:val="20"/>
              </w:rPr>
            </w:pPr>
            <w:r w:rsidRPr="00FA722B">
              <w:rPr>
                <w:b/>
                <w:sz w:val="20"/>
              </w:rPr>
              <w:t xml:space="preserve">Topic  </w:t>
            </w:r>
          </w:p>
        </w:tc>
        <w:tc>
          <w:tcPr>
            <w:tcW w:w="1895" w:type="dxa"/>
            <w:shd w:val="clear" w:color="auto" w:fill="auto"/>
          </w:tcPr>
          <w:p w:rsidR="00305BD8" w:rsidRPr="00FA722B" w:rsidRDefault="00305BD8" w:rsidP="00717114">
            <w:pPr>
              <w:rPr>
                <w:b/>
                <w:sz w:val="20"/>
              </w:rPr>
            </w:pPr>
            <w:r w:rsidRPr="00FA722B">
              <w:rPr>
                <w:b/>
                <w:sz w:val="20"/>
              </w:rPr>
              <w:t xml:space="preserve">Section </w:t>
            </w:r>
          </w:p>
        </w:tc>
        <w:tc>
          <w:tcPr>
            <w:tcW w:w="4293" w:type="dxa"/>
            <w:shd w:val="clear" w:color="auto" w:fill="auto"/>
          </w:tcPr>
          <w:p w:rsidR="00305BD8" w:rsidRPr="00FA722B" w:rsidRDefault="00185F25" w:rsidP="00717114">
            <w:pPr>
              <w:rPr>
                <w:b/>
                <w:sz w:val="20"/>
              </w:rPr>
            </w:pPr>
            <w:r>
              <w:rPr>
                <w:b/>
                <w:sz w:val="20"/>
              </w:rPr>
              <w:t>Description of Timeliness Measure and Page N</w:t>
            </w:r>
            <w:r w:rsidR="00305BD8" w:rsidRPr="00FA722B">
              <w:rPr>
                <w:b/>
                <w:sz w:val="20"/>
              </w:rPr>
              <w:t>umber</w:t>
            </w:r>
          </w:p>
        </w:tc>
      </w:tr>
      <w:tr w:rsidR="002024C5" w:rsidRPr="00337774" w:rsidTr="00FA722B">
        <w:tc>
          <w:tcPr>
            <w:tcW w:w="1894" w:type="dxa"/>
            <w:shd w:val="clear" w:color="auto" w:fill="auto"/>
          </w:tcPr>
          <w:p w:rsidR="002024C5" w:rsidRPr="00337774" w:rsidRDefault="002024C5" w:rsidP="00E84D30">
            <w:pPr>
              <w:rPr>
                <w:sz w:val="20"/>
              </w:rPr>
            </w:pPr>
            <w:r w:rsidRPr="00337774">
              <w:rPr>
                <w:sz w:val="20"/>
              </w:rPr>
              <w:t xml:space="preserve"> (7) The Compliance Inspection and Review of Compliance Inspection Reports </w:t>
            </w:r>
            <w:r w:rsidR="00C0225B">
              <w:rPr>
                <w:sz w:val="20"/>
              </w:rPr>
              <w:t>(CIR)</w:t>
            </w:r>
          </w:p>
        </w:tc>
        <w:tc>
          <w:tcPr>
            <w:tcW w:w="1494" w:type="dxa"/>
            <w:shd w:val="clear" w:color="auto" w:fill="auto"/>
          </w:tcPr>
          <w:p w:rsidR="002024C5" w:rsidRPr="00337774" w:rsidRDefault="002024C5" w:rsidP="00E84D30">
            <w:pPr>
              <w:rPr>
                <w:sz w:val="20"/>
              </w:rPr>
            </w:pPr>
            <w:r w:rsidRPr="00337774">
              <w:rPr>
                <w:sz w:val="20"/>
              </w:rPr>
              <w:t>(6) Reviewing VA Form 26-1839, Compliance Inspection Report</w:t>
            </w:r>
          </w:p>
        </w:tc>
        <w:tc>
          <w:tcPr>
            <w:tcW w:w="1895" w:type="dxa"/>
            <w:shd w:val="clear" w:color="auto" w:fill="auto"/>
          </w:tcPr>
          <w:p w:rsidR="002024C5" w:rsidRPr="00337774" w:rsidRDefault="002024C5" w:rsidP="00E84D30">
            <w:pPr>
              <w:rPr>
                <w:sz w:val="20"/>
              </w:rPr>
            </w:pPr>
            <w:r w:rsidRPr="00337774">
              <w:rPr>
                <w:sz w:val="20"/>
              </w:rPr>
              <w:t xml:space="preserve">(c) Timeliness of CIR Review </w:t>
            </w:r>
          </w:p>
        </w:tc>
        <w:tc>
          <w:tcPr>
            <w:tcW w:w="4293" w:type="dxa"/>
            <w:shd w:val="clear" w:color="auto" w:fill="auto"/>
          </w:tcPr>
          <w:p w:rsidR="002024C5" w:rsidRPr="00337774" w:rsidRDefault="002024C5" w:rsidP="00E84D30">
            <w:pPr>
              <w:numPr>
                <w:ilvl w:val="12"/>
                <w:numId w:val="0"/>
              </w:numPr>
            </w:pPr>
            <w:r w:rsidRPr="00337774">
              <w:t>The AVO/</w:t>
            </w:r>
            <w:r w:rsidR="00FA722B">
              <w:t xml:space="preserve">VO must review and approve the </w:t>
            </w:r>
            <w:r w:rsidRPr="00337774">
              <w:t xml:space="preserve">CIR within 5 business days of when the CIR was uploaded by the </w:t>
            </w:r>
            <w:r>
              <w:t>Agent</w:t>
            </w:r>
            <w:r w:rsidR="00FA722B">
              <w:t xml:space="preserve"> or C</w:t>
            </w:r>
            <w:r w:rsidR="00C0225B">
              <w:t xml:space="preserve">ompliance </w:t>
            </w:r>
            <w:r w:rsidR="00FA722B">
              <w:t>I</w:t>
            </w:r>
            <w:r w:rsidR="00C0225B">
              <w:t>nspector (CI)</w:t>
            </w:r>
            <w:r w:rsidR="00FA722B">
              <w:t xml:space="preserve">.  </w:t>
            </w:r>
            <w:r w:rsidRPr="00337774">
              <w:t xml:space="preserve">When the final CIR from the CI is received and approved, indicating that all SAH or SHA related construction is satisfactorily complete, the SAH </w:t>
            </w:r>
            <w:r>
              <w:t>Agent</w:t>
            </w:r>
            <w:r w:rsidRPr="00337774">
              <w:t xml:space="preserve"> </w:t>
            </w:r>
            <w:r w:rsidRPr="00046E56">
              <w:t>must</w:t>
            </w:r>
            <w:r w:rsidRPr="00337774">
              <w:t xml:space="preserve"> complete the Final Field Review</w:t>
            </w:r>
            <w:r w:rsidR="000A7EAB">
              <w:t xml:space="preserve"> (FFR)</w:t>
            </w:r>
            <w:r w:rsidRPr="00337774">
              <w:t xml:space="preserve"> within 10 business days (7-9)</w:t>
            </w:r>
            <w:r w:rsidR="00FA722B">
              <w:t>.</w:t>
            </w:r>
          </w:p>
        </w:tc>
      </w:tr>
      <w:tr w:rsidR="002024C5" w:rsidRPr="00337774" w:rsidTr="00FA722B">
        <w:tc>
          <w:tcPr>
            <w:tcW w:w="1894" w:type="dxa"/>
            <w:shd w:val="clear" w:color="auto" w:fill="auto"/>
          </w:tcPr>
          <w:p w:rsidR="002024C5" w:rsidRPr="00337774" w:rsidRDefault="002024C5" w:rsidP="00E84D30">
            <w:pPr>
              <w:rPr>
                <w:sz w:val="20"/>
              </w:rPr>
            </w:pPr>
            <w:r w:rsidRPr="00337774">
              <w:rPr>
                <w:sz w:val="20"/>
              </w:rPr>
              <w:t xml:space="preserve">(8) Escrows, Escrow </w:t>
            </w:r>
            <w:r>
              <w:rPr>
                <w:sz w:val="20"/>
              </w:rPr>
              <w:t>Agent</w:t>
            </w:r>
            <w:r w:rsidRPr="00337774">
              <w:rPr>
                <w:sz w:val="20"/>
              </w:rPr>
              <w:t>s, and the Authorization of Funds</w:t>
            </w:r>
          </w:p>
        </w:tc>
        <w:tc>
          <w:tcPr>
            <w:tcW w:w="1494" w:type="dxa"/>
            <w:shd w:val="clear" w:color="auto" w:fill="auto"/>
          </w:tcPr>
          <w:p w:rsidR="002024C5" w:rsidRPr="00337774" w:rsidRDefault="002024C5" w:rsidP="00E84D30">
            <w:pPr>
              <w:rPr>
                <w:sz w:val="20"/>
              </w:rPr>
            </w:pPr>
            <w:r w:rsidRPr="00337774">
              <w:rPr>
                <w:sz w:val="20"/>
              </w:rPr>
              <w:t xml:space="preserve">(1) Escrow and When Escrow is Required </w:t>
            </w:r>
          </w:p>
        </w:tc>
        <w:tc>
          <w:tcPr>
            <w:tcW w:w="1895" w:type="dxa"/>
            <w:shd w:val="clear" w:color="auto" w:fill="auto"/>
          </w:tcPr>
          <w:p w:rsidR="002024C5" w:rsidRPr="00337774" w:rsidRDefault="002024C5" w:rsidP="00E84D30">
            <w:pPr>
              <w:rPr>
                <w:sz w:val="20"/>
              </w:rPr>
            </w:pPr>
            <w:r w:rsidRPr="00337774">
              <w:rPr>
                <w:sz w:val="20"/>
              </w:rPr>
              <w:t xml:space="preserve">(d) When the Escrow Account is not Required </w:t>
            </w:r>
          </w:p>
        </w:tc>
        <w:tc>
          <w:tcPr>
            <w:tcW w:w="4293" w:type="dxa"/>
            <w:shd w:val="clear" w:color="auto" w:fill="auto"/>
          </w:tcPr>
          <w:p w:rsidR="002024C5" w:rsidRPr="00337774" w:rsidRDefault="002024C5" w:rsidP="00FA722B">
            <w:r w:rsidRPr="00337774">
              <w:t>Escrows are not required if funds are to be released immediately or within 10 business days after receipt of the grant check (8-3)</w:t>
            </w:r>
            <w:r w:rsidR="00FA722B">
              <w:t>.</w:t>
            </w:r>
          </w:p>
        </w:tc>
      </w:tr>
      <w:tr w:rsidR="002024C5" w:rsidRPr="00337774" w:rsidTr="00FA722B">
        <w:tc>
          <w:tcPr>
            <w:tcW w:w="1894" w:type="dxa"/>
            <w:shd w:val="clear" w:color="auto" w:fill="auto"/>
          </w:tcPr>
          <w:p w:rsidR="002024C5" w:rsidRPr="00337774" w:rsidRDefault="002024C5" w:rsidP="00E84D30">
            <w:pPr>
              <w:rPr>
                <w:sz w:val="20"/>
              </w:rPr>
            </w:pPr>
            <w:r w:rsidRPr="00337774">
              <w:rPr>
                <w:sz w:val="20"/>
              </w:rPr>
              <w:t xml:space="preserve">(8) Escrows, Escrow </w:t>
            </w:r>
            <w:r>
              <w:rPr>
                <w:sz w:val="20"/>
              </w:rPr>
              <w:t>Agent</w:t>
            </w:r>
            <w:r w:rsidRPr="00337774">
              <w:rPr>
                <w:sz w:val="20"/>
              </w:rPr>
              <w:t>s, and the Authorization of Funds</w:t>
            </w:r>
          </w:p>
        </w:tc>
        <w:tc>
          <w:tcPr>
            <w:tcW w:w="1494" w:type="dxa"/>
            <w:shd w:val="clear" w:color="auto" w:fill="auto"/>
          </w:tcPr>
          <w:p w:rsidR="002024C5" w:rsidRPr="00337774" w:rsidRDefault="002024C5" w:rsidP="00E84D30">
            <w:pPr>
              <w:rPr>
                <w:sz w:val="20"/>
              </w:rPr>
            </w:pPr>
            <w:r w:rsidRPr="00337774">
              <w:rPr>
                <w:sz w:val="20"/>
              </w:rPr>
              <w:t xml:space="preserve">(4) Authorization to Disburse Funds When VA is not the Escrow </w:t>
            </w:r>
            <w:r>
              <w:rPr>
                <w:sz w:val="20"/>
              </w:rPr>
              <w:t>Agent</w:t>
            </w:r>
            <w:r w:rsidRPr="00337774">
              <w:rPr>
                <w:sz w:val="20"/>
              </w:rPr>
              <w:t xml:space="preserve"> </w:t>
            </w:r>
          </w:p>
        </w:tc>
        <w:tc>
          <w:tcPr>
            <w:tcW w:w="1895" w:type="dxa"/>
            <w:shd w:val="clear" w:color="auto" w:fill="auto"/>
          </w:tcPr>
          <w:p w:rsidR="002024C5" w:rsidRPr="00337774" w:rsidRDefault="002024C5" w:rsidP="00E84D30">
            <w:pPr>
              <w:rPr>
                <w:sz w:val="20"/>
              </w:rPr>
            </w:pPr>
            <w:r w:rsidRPr="00337774">
              <w:rPr>
                <w:sz w:val="20"/>
              </w:rPr>
              <w:t xml:space="preserve">(c) How to Authorize the Fund Release and Timeliness Requirements </w:t>
            </w:r>
          </w:p>
        </w:tc>
        <w:tc>
          <w:tcPr>
            <w:tcW w:w="4293" w:type="dxa"/>
            <w:shd w:val="clear" w:color="auto" w:fill="auto"/>
          </w:tcPr>
          <w:p w:rsidR="002024C5" w:rsidRPr="00337774" w:rsidRDefault="002024C5" w:rsidP="00FA722B">
            <w:pPr>
              <w:pStyle w:val="BulletText1"/>
              <w:numPr>
                <w:ilvl w:val="0"/>
                <w:numId w:val="0"/>
              </w:numPr>
            </w:pPr>
            <w:r w:rsidRPr="00337774">
              <w:t xml:space="preserve">To provide expectations for all parties involved in the construction and avoid potential delays, the escrow release letter </w:t>
            </w:r>
            <w:r w:rsidRPr="00741FED">
              <w:t>must</w:t>
            </w:r>
            <w:r w:rsidRPr="00337774">
              <w:t xml:space="preserve"> be created within 3 business days of the AVO/VO approving the CIR</w:t>
            </w:r>
            <w:r w:rsidR="00FA722B">
              <w:t xml:space="preserve"> </w:t>
            </w:r>
            <w:r w:rsidRPr="00337774">
              <w:t>(8-9)</w:t>
            </w:r>
            <w:r w:rsidR="00FA722B">
              <w:t>.</w:t>
            </w:r>
          </w:p>
        </w:tc>
      </w:tr>
      <w:tr w:rsidR="002024C5" w:rsidRPr="00337774" w:rsidTr="00FA722B">
        <w:tc>
          <w:tcPr>
            <w:tcW w:w="1894" w:type="dxa"/>
            <w:shd w:val="clear" w:color="auto" w:fill="auto"/>
          </w:tcPr>
          <w:p w:rsidR="002024C5" w:rsidRPr="00337774" w:rsidRDefault="002024C5" w:rsidP="00717114">
            <w:pPr>
              <w:rPr>
                <w:sz w:val="20"/>
              </w:rPr>
            </w:pPr>
            <w:r w:rsidRPr="00337774">
              <w:rPr>
                <w:sz w:val="20"/>
              </w:rPr>
              <w:t>(10) SAH Agent Final Field Review</w:t>
            </w:r>
          </w:p>
        </w:tc>
        <w:tc>
          <w:tcPr>
            <w:tcW w:w="1494" w:type="dxa"/>
            <w:shd w:val="clear" w:color="auto" w:fill="auto"/>
          </w:tcPr>
          <w:p w:rsidR="002024C5" w:rsidRPr="00337774" w:rsidRDefault="000A7EAB" w:rsidP="00717114">
            <w:pPr>
              <w:rPr>
                <w:sz w:val="20"/>
              </w:rPr>
            </w:pPr>
            <w:r>
              <w:rPr>
                <w:sz w:val="20"/>
              </w:rPr>
              <w:t>(3) Following U</w:t>
            </w:r>
            <w:r w:rsidR="002024C5" w:rsidRPr="00337774">
              <w:rPr>
                <w:sz w:val="20"/>
              </w:rPr>
              <w:t xml:space="preserve">p With the Veteran, Builder, and CI </w:t>
            </w:r>
          </w:p>
        </w:tc>
        <w:tc>
          <w:tcPr>
            <w:tcW w:w="1895" w:type="dxa"/>
            <w:shd w:val="clear" w:color="auto" w:fill="auto"/>
          </w:tcPr>
          <w:p w:rsidR="002024C5" w:rsidRPr="00337774" w:rsidRDefault="000A7EAB" w:rsidP="00717114">
            <w:pPr>
              <w:rPr>
                <w:sz w:val="20"/>
              </w:rPr>
            </w:pPr>
            <w:r>
              <w:rPr>
                <w:sz w:val="20"/>
              </w:rPr>
              <w:t>(b) Follow-</w:t>
            </w:r>
            <w:r w:rsidR="002024C5" w:rsidRPr="00337774">
              <w:rPr>
                <w:sz w:val="20"/>
              </w:rPr>
              <w:t xml:space="preserve">Up Procedure </w:t>
            </w:r>
          </w:p>
        </w:tc>
        <w:tc>
          <w:tcPr>
            <w:tcW w:w="4293" w:type="dxa"/>
            <w:shd w:val="clear" w:color="auto" w:fill="auto"/>
          </w:tcPr>
          <w:p w:rsidR="002024C5" w:rsidRPr="00337774" w:rsidRDefault="002024C5" w:rsidP="00717114">
            <w:pPr>
              <w:numPr>
                <w:ilvl w:val="12"/>
                <w:numId w:val="0"/>
              </w:numPr>
            </w:pPr>
            <w:r w:rsidRPr="00337774">
              <w:t xml:space="preserve">The SAH </w:t>
            </w:r>
            <w:r>
              <w:t>Agent</w:t>
            </w:r>
            <w:r w:rsidRPr="00337774">
              <w:t xml:space="preserve"> must communicate the results of the FFR to the Veteran, builder, and CI within 3 business days of completion and approval.  (11-4)</w:t>
            </w:r>
          </w:p>
        </w:tc>
      </w:tr>
      <w:tr w:rsidR="002024C5" w:rsidRPr="00337774" w:rsidTr="00FA722B">
        <w:tc>
          <w:tcPr>
            <w:tcW w:w="1894" w:type="dxa"/>
            <w:shd w:val="clear" w:color="auto" w:fill="auto"/>
          </w:tcPr>
          <w:p w:rsidR="002024C5" w:rsidRPr="00337774" w:rsidRDefault="002024C5" w:rsidP="00717114">
            <w:pPr>
              <w:rPr>
                <w:sz w:val="20"/>
              </w:rPr>
            </w:pPr>
            <w:r w:rsidRPr="00337774">
              <w:rPr>
                <w:sz w:val="20"/>
              </w:rPr>
              <w:t xml:space="preserve">(11) Final Accounting </w:t>
            </w:r>
          </w:p>
        </w:tc>
        <w:tc>
          <w:tcPr>
            <w:tcW w:w="1494" w:type="dxa"/>
            <w:shd w:val="clear" w:color="auto" w:fill="auto"/>
          </w:tcPr>
          <w:p w:rsidR="002024C5" w:rsidRPr="00337774" w:rsidRDefault="002024C5" w:rsidP="00717114">
            <w:pPr>
              <w:rPr>
                <w:sz w:val="20"/>
              </w:rPr>
            </w:pPr>
            <w:r w:rsidRPr="00337774">
              <w:rPr>
                <w:sz w:val="20"/>
              </w:rPr>
              <w:t xml:space="preserve">(3) Requirements for Closing Final Accounting </w:t>
            </w:r>
          </w:p>
        </w:tc>
        <w:tc>
          <w:tcPr>
            <w:tcW w:w="1895" w:type="dxa"/>
            <w:shd w:val="clear" w:color="auto" w:fill="auto"/>
          </w:tcPr>
          <w:p w:rsidR="002024C5" w:rsidRPr="00337774" w:rsidRDefault="002024C5" w:rsidP="00717114">
            <w:pPr>
              <w:rPr>
                <w:sz w:val="20"/>
              </w:rPr>
            </w:pPr>
            <w:r w:rsidRPr="00337774">
              <w:rPr>
                <w:sz w:val="20"/>
              </w:rPr>
              <w:t xml:space="preserve">(a) When to Perform </w:t>
            </w:r>
          </w:p>
        </w:tc>
        <w:tc>
          <w:tcPr>
            <w:tcW w:w="4293" w:type="dxa"/>
            <w:shd w:val="clear" w:color="auto" w:fill="auto"/>
          </w:tcPr>
          <w:p w:rsidR="002024C5" w:rsidRPr="00337774" w:rsidRDefault="002024C5" w:rsidP="000A7EAB">
            <w:pPr>
              <w:pStyle w:val="BlockText"/>
            </w:pPr>
            <w:r w:rsidRPr="00337774">
              <w:t>The final accounting must be completed and certified (and the case closed) no later than 75 business days after the final escrow close</w:t>
            </w:r>
            <w:r w:rsidR="000A7EAB">
              <w:t>-</w:t>
            </w:r>
            <w:r w:rsidRPr="00337774">
              <w:t xml:space="preserve">out </w:t>
            </w:r>
            <w:r w:rsidR="00FA722B">
              <w:t>documentation has been received</w:t>
            </w:r>
            <w:r w:rsidRPr="00337774">
              <w:t xml:space="preserve"> (11-6)</w:t>
            </w:r>
            <w:r w:rsidR="00FA722B">
              <w:t>.</w:t>
            </w:r>
            <w:r w:rsidR="00FA722B" w:rsidRPr="00337774">
              <w:t xml:space="preserve"> </w:t>
            </w:r>
          </w:p>
        </w:tc>
      </w:tr>
      <w:tr w:rsidR="002024C5" w:rsidTr="00FA722B">
        <w:tc>
          <w:tcPr>
            <w:tcW w:w="1894" w:type="dxa"/>
            <w:shd w:val="clear" w:color="auto" w:fill="auto"/>
          </w:tcPr>
          <w:p w:rsidR="002024C5" w:rsidRPr="00337774" w:rsidRDefault="002024C5" w:rsidP="00717114">
            <w:pPr>
              <w:rPr>
                <w:sz w:val="20"/>
              </w:rPr>
            </w:pPr>
            <w:r w:rsidRPr="00337774">
              <w:rPr>
                <w:sz w:val="20"/>
              </w:rPr>
              <w:t xml:space="preserve">(12) Death Cases </w:t>
            </w:r>
          </w:p>
        </w:tc>
        <w:tc>
          <w:tcPr>
            <w:tcW w:w="1494" w:type="dxa"/>
            <w:shd w:val="clear" w:color="auto" w:fill="auto"/>
          </w:tcPr>
          <w:p w:rsidR="002024C5" w:rsidRPr="00337774" w:rsidRDefault="002024C5" w:rsidP="00717114">
            <w:pPr>
              <w:rPr>
                <w:sz w:val="20"/>
              </w:rPr>
            </w:pPr>
            <w:r w:rsidRPr="00337774">
              <w:rPr>
                <w:sz w:val="20"/>
              </w:rPr>
              <w:t xml:space="preserve">(3) Processing Death Cases when </w:t>
            </w:r>
            <w:r w:rsidR="00FA722B" w:rsidRPr="00337774">
              <w:rPr>
                <w:sz w:val="20"/>
              </w:rPr>
              <w:t>Outstanding</w:t>
            </w:r>
            <w:r w:rsidRPr="00337774">
              <w:rPr>
                <w:sz w:val="20"/>
              </w:rPr>
              <w:t xml:space="preserve"> Expenses were Claimed </w:t>
            </w:r>
          </w:p>
        </w:tc>
        <w:tc>
          <w:tcPr>
            <w:tcW w:w="1895" w:type="dxa"/>
            <w:shd w:val="clear" w:color="auto" w:fill="auto"/>
          </w:tcPr>
          <w:p w:rsidR="002024C5" w:rsidRPr="00337774" w:rsidRDefault="002024C5" w:rsidP="00717114">
            <w:pPr>
              <w:rPr>
                <w:sz w:val="20"/>
              </w:rPr>
            </w:pPr>
            <w:r w:rsidRPr="00337774">
              <w:rPr>
                <w:sz w:val="20"/>
              </w:rPr>
              <w:t>(e) Documenting the Next of Kin Contact and Closing File For Lack of Response or No Expenses Claimed</w:t>
            </w:r>
          </w:p>
        </w:tc>
        <w:tc>
          <w:tcPr>
            <w:tcW w:w="4293" w:type="dxa"/>
            <w:shd w:val="clear" w:color="auto" w:fill="auto"/>
          </w:tcPr>
          <w:p w:rsidR="002024C5" w:rsidRDefault="002024C5" w:rsidP="00717114">
            <w:r w:rsidRPr="00337774">
              <w:t xml:space="preserve">Close the grant when the family/estate does not reply to the Next of Kin </w:t>
            </w:r>
            <w:r w:rsidR="000A7EAB">
              <w:t xml:space="preserve">(NOK) </w:t>
            </w:r>
            <w:r w:rsidRPr="00337774">
              <w:t>letter for 90 days (from th</w:t>
            </w:r>
            <w:r w:rsidR="00FA722B">
              <w:t xml:space="preserve">e date the NOK letter was sent) </w:t>
            </w:r>
            <w:r w:rsidRPr="00337774">
              <w:t>(12-4)</w:t>
            </w:r>
            <w:r w:rsidR="00FA722B">
              <w:t>.</w:t>
            </w:r>
          </w:p>
        </w:tc>
      </w:tr>
    </w:tbl>
    <w:p w:rsidR="00305BD8" w:rsidRDefault="00305BD8" w:rsidP="00305BD8">
      <w:pPr>
        <w:pStyle w:val="Heading5"/>
        <w:rPr>
          <w:sz w:val="20"/>
        </w:rPr>
      </w:pPr>
      <w:r>
        <w:rPr>
          <w:sz w:val="20"/>
        </w:rPr>
        <w:t xml:space="preserve"> </w:t>
      </w:r>
    </w:p>
    <w:p w:rsidR="00C95E3A" w:rsidRDefault="00C95E3A"/>
    <w:sectPr w:rsidR="00C95E3A" w:rsidSect="00741FED">
      <w:headerReference w:type="even" r:id="rId8"/>
      <w:headerReference w:type="default" r:id="rId9"/>
      <w:footerReference w:type="even" r:id="rId10"/>
      <w:footerReference w:type="default" r:id="rId11"/>
      <w:pgSz w:w="12240" w:h="15840"/>
      <w:pgMar w:top="1152" w:right="1440" w:bottom="57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65" w:rsidRDefault="00AB1565" w:rsidP="00741FED">
      <w:r>
        <w:separator/>
      </w:r>
    </w:p>
  </w:endnote>
  <w:endnote w:type="continuationSeparator" w:id="0">
    <w:p w:rsidR="00AB1565" w:rsidRDefault="00AB1565" w:rsidP="0074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ED" w:rsidRDefault="00185F25">
    <w:pPr>
      <w:pStyle w:val="Footer"/>
    </w:pPr>
    <w:r>
      <w:t>F</w:t>
    </w:r>
    <w:r w:rsidR="00741FED">
      <w:t>-</w:t>
    </w:r>
    <w:sdt>
      <w:sdtPr>
        <w:id w:val="-1497096074"/>
        <w:docPartObj>
          <w:docPartGallery w:val="Page Numbers (Bottom of Page)"/>
          <w:docPartUnique/>
        </w:docPartObj>
      </w:sdtPr>
      <w:sdtEndPr>
        <w:rPr>
          <w:noProof/>
        </w:rPr>
      </w:sdtEndPr>
      <w:sdtContent>
        <w:r w:rsidR="00741FED">
          <w:fldChar w:fldCharType="begin"/>
        </w:r>
        <w:r w:rsidR="00741FED">
          <w:instrText xml:space="preserve"> PAGE   \* MERGEFORMAT </w:instrText>
        </w:r>
        <w:r w:rsidR="00741FED">
          <w:fldChar w:fldCharType="separate"/>
        </w:r>
        <w:r w:rsidR="00F323DC">
          <w:rPr>
            <w:noProof/>
          </w:rPr>
          <w:t>4</w:t>
        </w:r>
        <w:r w:rsidR="00741FED">
          <w:rPr>
            <w:noProof/>
          </w:rPr>
          <w:fldChar w:fldCharType="end"/>
        </w:r>
      </w:sdtContent>
    </w:sdt>
  </w:p>
  <w:p w:rsidR="00741FED" w:rsidRDefault="00741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ED" w:rsidRDefault="00185F25">
    <w:pPr>
      <w:pStyle w:val="Footer"/>
      <w:jc w:val="right"/>
    </w:pPr>
    <w:r>
      <w:t>F</w:t>
    </w:r>
    <w:r w:rsidR="00741FED">
      <w:t>-</w:t>
    </w:r>
    <w:sdt>
      <w:sdtPr>
        <w:id w:val="-617909347"/>
        <w:docPartObj>
          <w:docPartGallery w:val="Page Numbers (Bottom of Page)"/>
          <w:docPartUnique/>
        </w:docPartObj>
      </w:sdtPr>
      <w:sdtEndPr>
        <w:rPr>
          <w:noProof/>
        </w:rPr>
      </w:sdtEndPr>
      <w:sdtContent>
        <w:r w:rsidR="00741FED">
          <w:fldChar w:fldCharType="begin"/>
        </w:r>
        <w:r w:rsidR="00741FED">
          <w:instrText xml:space="preserve"> PAGE   \* MERGEFORMAT </w:instrText>
        </w:r>
        <w:r w:rsidR="00741FED">
          <w:fldChar w:fldCharType="separate"/>
        </w:r>
        <w:r w:rsidR="00F323DC">
          <w:rPr>
            <w:noProof/>
          </w:rPr>
          <w:t>1</w:t>
        </w:r>
        <w:r w:rsidR="00741FED">
          <w:rPr>
            <w:noProof/>
          </w:rPr>
          <w:fldChar w:fldCharType="end"/>
        </w:r>
      </w:sdtContent>
    </w:sdt>
  </w:p>
  <w:p w:rsidR="00741FED" w:rsidRDefault="00741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65" w:rsidRDefault="00AB1565" w:rsidP="00741FED">
      <w:r>
        <w:separator/>
      </w:r>
    </w:p>
  </w:footnote>
  <w:footnote w:type="continuationSeparator" w:id="0">
    <w:p w:rsidR="00AB1565" w:rsidRDefault="00AB1565" w:rsidP="00741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ED" w:rsidRDefault="00741FED" w:rsidP="00741FED">
    <w:pPr>
      <w:pStyle w:val="Header"/>
      <w:rPr>
        <w:i/>
        <w:iCs/>
        <w:szCs w:val="22"/>
      </w:rPr>
    </w:pPr>
    <w:r>
      <w:rPr>
        <w:i/>
        <w:iCs/>
      </w:rPr>
      <w:t>VA Manual 26-12, Revised</w:t>
    </w:r>
    <w:r>
      <w:rPr>
        <w:i/>
        <w:iCs/>
        <w:szCs w:val="22"/>
      </w:rPr>
      <w:t xml:space="preserve"> </w:t>
    </w:r>
  </w:p>
  <w:p w:rsidR="00741FED" w:rsidRPr="008215B7" w:rsidRDefault="00741FED" w:rsidP="00741FED">
    <w:pPr>
      <w:pStyle w:val="Header"/>
      <w:rPr>
        <w:i/>
        <w:iCs/>
        <w:szCs w:val="22"/>
      </w:rPr>
    </w:pPr>
    <w:r>
      <w:rPr>
        <w:i/>
        <w:iCs/>
        <w:szCs w:val="22"/>
      </w:rPr>
      <w:t xml:space="preserve">Appendix </w:t>
    </w:r>
    <w:r w:rsidR="008215B7">
      <w:rPr>
        <w:i/>
        <w:iCs/>
        <w:szCs w:val="22"/>
      </w:rPr>
      <w:t>F</w:t>
    </w:r>
    <w:r>
      <w:rPr>
        <w:i/>
        <w:iCs/>
        <w:szCs w:val="22"/>
      </w:rPr>
      <w:t>: Timeliness Requirements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ED" w:rsidRDefault="00741FED" w:rsidP="00741FED">
    <w:pPr>
      <w:pStyle w:val="Header"/>
      <w:jc w:val="right"/>
      <w:rPr>
        <w:i/>
        <w:iCs/>
        <w:szCs w:val="22"/>
      </w:rPr>
    </w:pPr>
    <w:r>
      <w:rPr>
        <w:i/>
        <w:iCs/>
      </w:rPr>
      <w:t>VA Manual 26-12, Revised</w:t>
    </w:r>
    <w:r>
      <w:rPr>
        <w:i/>
        <w:iCs/>
        <w:szCs w:val="22"/>
      </w:rPr>
      <w:t xml:space="preserve"> </w:t>
    </w:r>
  </w:p>
  <w:p w:rsidR="00741FED" w:rsidRDefault="008215B7" w:rsidP="00741FED">
    <w:pPr>
      <w:pStyle w:val="Header"/>
      <w:jc w:val="right"/>
    </w:pPr>
    <w:r>
      <w:rPr>
        <w:i/>
        <w:iCs/>
        <w:szCs w:val="22"/>
      </w:rPr>
      <w:t>Appendix F</w:t>
    </w:r>
    <w:r w:rsidR="00741FED">
      <w:rPr>
        <w:i/>
        <w:iCs/>
        <w:szCs w:val="22"/>
      </w:rPr>
      <w:t>: Timeliness Requirements</w:t>
    </w:r>
  </w:p>
  <w:p w:rsidR="00741FED" w:rsidRDefault="00741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D8"/>
    <w:rsid w:val="00046E56"/>
    <w:rsid w:val="000A7EAB"/>
    <w:rsid w:val="000C5893"/>
    <w:rsid w:val="00166EE4"/>
    <w:rsid w:val="00185F25"/>
    <w:rsid w:val="002024C5"/>
    <w:rsid w:val="00206B0A"/>
    <w:rsid w:val="00305BD8"/>
    <w:rsid w:val="00326BF2"/>
    <w:rsid w:val="005C3D9E"/>
    <w:rsid w:val="006515A5"/>
    <w:rsid w:val="007336B1"/>
    <w:rsid w:val="00741FED"/>
    <w:rsid w:val="008039BE"/>
    <w:rsid w:val="008215B7"/>
    <w:rsid w:val="008551DC"/>
    <w:rsid w:val="009007E8"/>
    <w:rsid w:val="00AB1565"/>
    <w:rsid w:val="00BE6BFD"/>
    <w:rsid w:val="00C0225B"/>
    <w:rsid w:val="00C52561"/>
    <w:rsid w:val="00C95E3A"/>
    <w:rsid w:val="00DA196E"/>
    <w:rsid w:val="00EA4C9B"/>
    <w:rsid w:val="00F323DC"/>
    <w:rsid w:val="00F92183"/>
    <w:rsid w:val="00F97AE1"/>
    <w:rsid w:val="00FA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D8"/>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qFormat/>
    <w:rsid w:val="00305BD8"/>
    <w:pPr>
      <w:spacing w:after="240"/>
      <w:jc w:val="center"/>
      <w:outlineLvl w:val="1"/>
    </w:pPr>
    <w:rPr>
      <w:rFonts w:ascii="Arial" w:hAnsi="Arial"/>
      <w:b/>
      <w:sz w:val="32"/>
    </w:rPr>
  </w:style>
  <w:style w:type="paragraph" w:styleId="Heading4">
    <w:name w:val="heading 4"/>
    <w:basedOn w:val="Normal"/>
    <w:next w:val="Normal"/>
    <w:link w:val="Heading4Char"/>
    <w:uiPriority w:val="9"/>
    <w:semiHidden/>
    <w:unhideWhenUsed/>
    <w:qFormat/>
    <w:rsid w:val="00305B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Block Label"/>
    <w:basedOn w:val="Normal"/>
    <w:next w:val="Normal"/>
    <w:link w:val="Heading5Char"/>
    <w:qFormat/>
    <w:rsid w:val="00305BD8"/>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305BD8"/>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305BD8"/>
    <w:rPr>
      <w:rFonts w:ascii="Times New Roman" w:eastAsia="Times New Roman" w:hAnsi="Times New Roman" w:cs="Times New Roman"/>
      <w:b/>
      <w:szCs w:val="20"/>
    </w:rPr>
  </w:style>
  <w:style w:type="paragraph" w:styleId="BlockText">
    <w:name w:val="Block Text"/>
    <w:basedOn w:val="Normal"/>
    <w:rsid w:val="00305BD8"/>
  </w:style>
  <w:style w:type="paragraph" w:customStyle="1" w:styleId="BulletText1">
    <w:name w:val="Bullet Text 1"/>
    <w:basedOn w:val="Normal"/>
    <w:rsid w:val="00305BD8"/>
    <w:pPr>
      <w:numPr>
        <w:numId w:val="1"/>
      </w:numPr>
      <w:tabs>
        <w:tab w:val="left" w:pos="187"/>
      </w:tabs>
      <w:ind w:left="187" w:hanging="187"/>
    </w:pPr>
  </w:style>
  <w:style w:type="character" w:customStyle="1" w:styleId="Heading4Char">
    <w:name w:val="Heading 4 Char"/>
    <w:basedOn w:val="DefaultParagraphFont"/>
    <w:link w:val="Heading4"/>
    <w:uiPriority w:val="9"/>
    <w:semiHidden/>
    <w:rsid w:val="00305BD8"/>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unhideWhenUsed/>
    <w:rsid w:val="00741FED"/>
    <w:pPr>
      <w:tabs>
        <w:tab w:val="center" w:pos="4680"/>
        <w:tab w:val="right" w:pos="9360"/>
      </w:tabs>
    </w:pPr>
  </w:style>
  <w:style w:type="character" w:customStyle="1" w:styleId="HeaderChar">
    <w:name w:val="Header Char"/>
    <w:basedOn w:val="DefaultParagraphFont"/>
    <w:link w:val="Header"/>
    <w:rsid w:val="00741F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1FED"/>
    <w:pPr>
      <w:tabs>
        <w:tab w:val="center" w:pos="4680"/>
        <w:tab w:val="right" w:pos="9360"/>
      </w:tabs>
    </w:pPr>
  </w:style>
  <w:style w:type="character" w:customStyle="1" w:styleId="FooterChar">
    <w:name w:val="Footer Char"/>
    <w:basedOn w:val="DefaultParagraphFont"/>
    <w:link w:val="Footer"/>
    <w:uiPriority w:val="99"/>
    <w:rsid w:val="00741F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C5893"/>
    <w:rPr>
      <w:sz w:val="16"/>
      <w:szCs w:val="16"/>
    </w:rPr>
  </w:style>
  <w:style w:type="paragraph" w:styleId="CommentText">
    <w:name w:val="annotation text"/>
    <w:basedOn w:val="Normal"/>
    <w:link w:val="CommentTextChar"/>
    <w:uiPriority w:val="99"/>
    <w:semiHidden/>
    <w:unhideWhenUsed/>
    <w:rsid w:val="000C5893"/>
    <w:rPr>
      <w:sz w:val="20"/>
    </w:rPr>
  </w:style>
  <w:style w:type="character" w:customStyle="1" w:styleId="CommentTextChar">
    <w:name w:val="Comment Text Char"/>
    <w:basedOn w:val="DefaultParagraphFont"/>
    <w:link w:val="CommentText"/>
    <w:uiPriority w:val="99"/>
    <w:semiHidden/>
    <w:rsid w:val="000C58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893"/>
    <w:rPr>
      <w:b/>
      <w:bCs/>
    </w:rPr>
  </w:style>
  <w:style w:type="character" w:customStyle="1" w:styleId="CommentSubjectChar">
    <w:name w:val="Comment Subject Char"/>
    <w:basedOn w:val="CommentTextChar"/>
    <w:link w:val="CommentSubject"/>
    <w:uiPriority w:val="99"/>
    <w:semiHidden/>
    <w:rsid w:val="000C58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5893"/>
    <w:rPr>
      <w:rFonts w:ascii="Tahoma" w:hAnsi="Tahoma" w:cs="Tahoma"/>
      <w:sz w:val="16"/>
      <w:szCs w:val="16"/>
    </w:rPr>
  </w:style>
  <w:style w:type="character" w:customStyle="1" w:styleId="BalloonTextChar">
    <w:name w:val="Balloon Text Char"/>
    <w:basedOn w:val="DefaultParagraphFont"/>
    <w:link w:val="BalloonText"/>
    <w:uiPriority w:val="99"/>
    <w:semiHidden/>
    <w:rsid w:val="000C5893"/>
    <w:rPr>
      <w:rFonts w:ascii="Tahoma" w:eastAsia="Times New Roman" w:hAnsi="Tahoma" w:cs="Tahoma"/>
      <w:sz w:val="16"/>
      <w:szCs w:val="16"/>
    </w:rPr>
  </w:style>
  <w:style w:type="paragraph" w:customStyle="1" w:styleId="BlockLine">
    <w:name w:val="Block Line"/>
    <w:basedOn w:val="Normal"/>
    <w:next w:val="Normal"/>
    <w:rsid w:val="00FA722B"/>
    <w:pPr>
      <w:pBdr>
        <w:top w:val="single" w:sz="6" w:space="1" w:color="auto"/>
        <w:between w:val="single" w:sz="6" w:space="1" w:color="auto"/>
      </w:pBdr>
      <w:spacing w:before="240"/>
      <w:ind w:left="17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D8"/>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qFormat/>
    <w:rsid w:val="00305BD8"/>
    <w:pPr>
      <w:spacing w:after="240"/>
      <w:jc w:val="center"/>
      <w:outlineLvl w:val="1"/>
    </w:pPr>
    <w:rPr>
      <w:rFonts w:ascii="Arial" w:hAnsi="Arial"/>
      <w:b/>
      <w:sz w:val="32"/>
    </w:rPr>
  </w:style>
  <w:style w:type="paragraph" w:styleId="Heading4">
    <w:name w:val="heading 4"/>
    <w:basedOn w:val="Normal"/>
    <w:next w:val="Normal"/>
    <w:link w:val="Heading4Char"/>
    <w:uiPriority w:val="9"/>
    <w:semiHidden/>
    <w:unhideWhenUsed/>
    <w:qFormat/>
    <w:rsid w:val="00305B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Block Label"/>
    <w:basedOn w:val="Normal"/>
    <w:next w:val="Normal"/>
    <w:link w:val="Heading5Char"/>
    <w:qFormat/>
    <w:rsid w:val="00305BD8"/>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305BD8"/>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305BD8"/>
    <w:rPr>
      <w:rFonts w:ascii="Times New Roman" w:eastAsia="Times New Roman" w:hAnsi="Times New Roman" w:cs="Times New Roman"/>
      <w:b/>
      <w:szCs w:val="20"/>
    </w:rPr>
  </w:style>
  <w:style w:type="paragraph" w:styleId="BlockText">
    <w:name w:val="Block Text"/>
    <w:basedOn w:val="Normal"/>
    <w:rsid w:val="00305BD8"/>
  </w:style>
  <w:style w:type="paragraph" w:customStyle="1" w:styleId="BulletText1">
    <w:name w:val="Bullet Text 1"/>
    <w:basedOn w:val="Normal"/>
    <w:rsid w:val="00305BD8"/>
    <w:pPr>
      <w:numPr>
        <w:numId w:val="1"/>
      </w:numPr>
      <w:tabs>
        <w:tab w:val="left" w:pos="187"/>
      </w:tabs>
      <w:ind w:left="187" w:hanging="187"/>
    </w:pPr>
  </w:style>
  <w:style w:type="character" w:customStyle="1" w:styleId="Heading4Char">
    <w:name w:val="Heading 4 Char"/>
    <w:basedOn w:val="DefaultParagraphFont"/>
    <w:link w:val="Heading4"/>
    <w:uiPriority w:val="9"/>
    <w:semiHidden/>
    <w:rsid w:val="00305BD8"/>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unhideWhenUsed/>
    <w:rsid w:val="00741FED"/>
    <w:pPr>
      <w:tabs>
        <w:tab w:val="center" w:pos="4680"/>
        <w:tab w:val="right" w:pos="9360"/>
      </w:tabs>
    </w:pPr>
  </w:style>
  <w:style w:type="character" w:customStyle="1" w:styleId="HeaderChar">
    <w:name w:val="Header Char"/>
    <w:basedOn w:val="DefaultParagraphFont"/>
    <w:link w:val="Header"/>
    <w:rsid w:val="00741F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1FED"/>
    <w:pPr>
      <w:tabs>
        <w:tab w:val="center" w:pos="4680"/>
        <w:tab w:val="right" w:pos="9360"/>
      </w:tabs>
    </w:pPr>
  </w:style>
  <w:style w:type="character" w:customStyle="1" w:styleId="FooterChar">
    <w:name w:val="Footer Char"/>
    <w:basedOn w:val="DefaultParagraphFont"/>
    <w:link w:val="Footer"/>
    <w:uiPriority w:val="99"/>
    <w:rsid w:val="00741F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C5893"/>
    <w:rPr>
      <w:sz w:val="16"/>
      <w:szCs w:val="16"/>
    </w:rPr>
  </w:style>
  <w:style w:type="paragraph" w:styleId="CommentText">
    <w:name w:val="annotation text"/>
    <w:basedOn w:val="Normal"/>
    <w:link w:val="CommentTextChar"/>
    <w:uiPriority w:val="99"/>
    <w:semiHidden/>
    <w:unhideWhenUsed/>
    <w:rsid w:val="000C5893"/>
    <w:rPr>
      <w:sz w:val="20"/>
    </w:rPr>
  </w:style>
  <w:style w:type="character" w:customStyle="1" w:styleId="CommentTextChar">
    <w:name w:val="Comment Text Char"/>
    <w:basedOn w:val="DefaultParagraphFont"/>
    <w:link w:val="CommentText"/>
    <w:uiPriority w:val="99"/>
    <w:semiHidden/>
    <w:rsid w:val="000C58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893"/>
    <w:rPr>
      <w:b/>
      <w:bCs/>
    </w:rPr>
  </w:style>
  <w:style w:type="character" w:customStyle="1" w:styleId="CommentSubjectChar">
    <w:name w:val="Comment Subject Char"/>
    <w:basedOn w:val="CommentTextChar"/>
    <w:link w:val="CommentSubject"/>
    <w:uiPriority w:val="99"/>
    <w:semiHidden/>
    <w:rsid w:val="000C58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5893"/>
    <w:rPr>
      <w:rFonts w:ascii="Tahoma" w:hAnsi="Tahoma" w:cs="Tahoma"/>
      <w:sz w:val="16"/>
      <w:szCs w:val="16"/>
    </w:rPr>
  </w:style>
  <w:style w:type="character" w:customStyle="1" w:styleId="BalloonTextChar">
    <w:name w:val="Balloon Text Char"/>
    <w:basedOn w:val="DefaultParagraphFont"/>
    <w:link w:val="BalloonText"/>
    <w:uiPriority w:val="99"/>
    <w:semiHidden/>
    <w:rsid w:val="000C5893"/>
    <w:rPr>
      <w:rFonts w:ascii="Tahoma" w:eastAsia="Times New Roman" w:hAnsi="Tahoma" w:cs="Tahoma"/>
      <w:sz w:val="16"/>
      <w:szCs w:val="16"/>
    </w:rPr>
  </w:style>
  <w:style w:type="paragraph" w:customStyle="1" w:styleId="BlockLine">
    <w:name w:val="Block Line"/>
    <w:basedOn w:val="Normal"/>
    <w:next w:val="Normal"/>
    <w:rsid w:val="00FA722B"/>
    <w:pPr>
      <w:pBdr>
        <w:top w:val="single" w:sz="6" w:space="1" w:color="auto"/>
        <w:between w:val="single" w:sz="6" w:space="1" w:color="auto"/>
      </w:pBdr>
      <w:spacing w:before="240"/>
      <w:ind w:left="17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Melissa, VBAVACO</dc:creator>
  <cp:lastModifiedBy>Ricardo Da Silva</cp:lastModifiedBy>
  <cp:revision>2</cp:revision>
  <cp:lastPrinted>2013-12-27T16:44:00Z</cp:lastPrinted>
  <dcterms:created xsi:type="dcterms:W3CDTF">2014-02-19T19:23:00Z</dcterms:created>
  <dcterms:modified xsi:type="dcterms:W3CDTF">2014-02-19T19:23:00Z</dcterms:modified>
</cp:coreProperties>
</file>