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0B" w:rsidRPr="001F5FD2" w:rsidRDefault="006B340B">
      <w:pPr>
        <w:pStyle w:val="Heading3"/>
      </w:pPr>
      <w:bookmarkStart w:id="0" w:name="_GoBack"/>
      <w:bookmarkEnd w:id="0"/>
      <w:r w:rsidRPr="001F5FD2">
        <w:t xml:space="preserve">Section A.  Deciding Claims for Disability Compensation </w:t>
      </w:r>
      <w:r w:rsidR="003C08E0" w:rsidRPr="001F5FD2">
        <w:t xml:space="preserve">              </w:t>
      </w:r>
    </w:p>
    <w:p w:rsidR="006B340B" w:rsidRPr="001F5FD2" w:rsidRDefault="006B340B">
      <w:pPr>
        <w:pStyle w:val="Heading4"/>
      </w:pPr>
      <w:r w:rsidRPr="001F5FD2">
        <w:t>Overview</w:t>
      </w:r>
    </w:p>
    <w:p w:rsidR="006B340B" w:rsidRPr="001F5FD2" w:rsidRDefault="006B340B">
      <w:pPr>
        <w:pStyle w:val="BlockLine"/>
      </w:pPr>
    </w:p>
    <w:tbl>
      <w:tblPr>
        <w:tblW w:w="0" w:type="auto"/>
        <w:tblLayout w:type="fixed"/>
        <w:tblLook w:val="0000" w:firstRow="0" w:lastRow="0" w:firstColumn="0" w:lastColumn="0" w:noHBand="0" w:noVBand="0"/>
      </w:tblPr>
      <w:tblGrid>
        <w:gridCol w:w="1728"/>
        <w:gridCol w:w="7740"/>
      </w:tblGrid>
      <w:tr w:rsidR="006B340B" w:rsidRPr="001F5FD2">
        <w:trPr>
          <w:cantSplit/>
        </w:trPr>
        <w:tc>
          <w:tcPr>
            <w:tcW w:w="1728" w:type="dxa"/>
          </w:tcPr>
          <w:p w:rsidR="006B340B" w:rsidRPr="001F5FD2" w:rsidRDefault="006B340B">
            <w:pPr>
              <w:pStyle w:val="Heading5"/>
            </w:pPr>
            <w:r w:rsidRPr="001F5FD2">
              <w:t xml:space="preserve">In </w:t>
            </w:r>
            <w:r w:rsidR="00EC5CF6" w:rsidRPr="001F5FD2">
              <w:t>T</w:t>
            </w:r>
            <w:r w:rsidRPr="001F5FD2">
              <w:t>his Section</w:t>
            </w:r>
          </w:p>
        </w:tc>
        <w:tc>
          <w:tcPr>
            <w:tcW w:w="7740" w:type="dxa"/>
          </w:tcPr>
          <w:p w:rsidR="006B340B" w:rsidRPr="001F5FD2" w:rsidRDefault="006B340B" w:rsidP="008D170E">
            <w:pPr>
              <w:pStyle w:val="BlockText"/>
            </w:pPr>
            <w:r w:rsidRPr="001F5FD2">
              <w:t>This section contains the</w:t>
            </w:r>
            <w:r w:rsidR="008D170E" w:rsidRPr="001F5FD2">
              <w:t xml:space="preserve"> following topics:</w:t>
            </w:r>
          </w:p>
        </w:tc>
      </w:tr>
    </w:tbl>
    <w:p w:rsidR="006B340B" w:rsidRPr="001F5FD2" w:rsidRDefault="006B340B"/>
    <w:tbl>
      <w:tblPr>
        <w:tblW w:w="0" w:type="auto"/>
        <w:tblInd w:w="1800" w:type="dxa"/>
        <w:tblLayout w:type="fixed"/>
        <w:tblCellMar>
          <w:left w:w="80" w:type="dxa"/>
          <w:right w:w="80" w:type="dxa"/>
        </w:tblCellMar>
        <w:tblLook w:val="04A0" w:firstRow="1" w:lastRow="0" w:firstColumn="1" w:lastColumn="0" w:noHBand="0" w:noVBand="1"/>
      </w:tblPr>
      <w:tblGrid>
        <w:gridCol w:w="1296"/>
        <w:gridCol w:w="6344"/>
      </w:tblGrid>
      <w:tr w:rsidR="00CB26CD" w:rsidRPr="001F5FD2" w:rsidTr="00CB26CD">
        <w:trPr>
          <w:cantSplit/>
        </w:trPr>
        <w:tc>
          <w:tcPr>
            <w:tcW w:w="1296" w:type="dxa"/>
            <w:tcBorders>
              <w:top w:val="single" w:sz="6" w:space="0" w:color="auto"/>
              <w:left w:val="single" w:sz="6" w:space="0" w:color="auto"/>
              <w:bottom w:val="single" w:sz="6" w:space="0" w:color="auto"/>
              <w:right w:val="single" w:sz="6" w:space="0" w:color="auto"/>
            </w:tcBorders>
            <w:hideMark/>
          </w:tcPr>
          <w:p w:rsidR="00CB26CD" w:rsidRPr="001F5FD2" w:rsidRDefault="00CB26CD">
            <w:pPr>
              <w:pStyle w:val="TableHeaderText"/>
            </w:pPr>
            <w:r w:rsidRPr="001F5FD2">
              <w:t>Topic</w:t>
            </w:r>
          </w:p>
        </w:tc>
        <w:tc>
          <w:tcPr>
            <w:tcW w:w="6344" w:type="dxa"/>
            <w:tcBorders>
              <w:top w:val="single" w:sz="6" w:space="0" w:color="auto"/>
              <w:left w:val="single" w:sz="6" w:space="0" w:color="auto"/>
              <w:bottom w:val="single" w:sz="6" w:space="0" w:color="auto"/>
              <w:right w:val="single" w:sz="6" w:space="0" w:color="auto"/>
            </w:tcBorders>
            <w:hideMark/>
          </w:tcPr>
          <w:p w:rsidR="00CB26CD" w:rsidRPr="001F5FD2" w:rsidRDefault="00CB26CD">
            <w:pPr>
              <w:pStyle w:val="TableHeaderText"/>
            </w:pPr>
            <w:r w:rsidRPr="001F5FD2">
              <w:t>Topic Name</w:t>
            </w:r>
          </w:p>
        </w:tc>
      </w:tr>
      <w:tr w:rsidR="00CB26CD" w:rsidRPr="001F5FD2" w:rsidTr="00CB26CD">
        <w:trPr>
          <w:cantSplit/>
        </w:trPr>
        <w:tc>
          <w:tcPr>
            <w:tcW w:w="1296" w:type="dxa"/>
            <w:tcBorders>
              <w:top w:val="single" w:sz="6" w:space="0" w:color="auto"/>
              <w:left w:val="single" w:sz="6" w:space="0" w:color="auto"/>
              <w:bottom w:val="single" w:sz="6" w:space="0" w:color="auto"/>
              <w:right w:val="single" w:sz="6" w:space="0" w:color="auto"/>
            </w:tcBorders>
            <w:hideMark/>
          </w:tcPr>
          <w:p w:rsidR="00CB26CD" w:rsidRPr="001F5FD2" w:rsidRDefault="00CB26CD">
            <w:pPr>
              <w:pStyle w:val="TableText"/>
              <w:jc w:val="center"/>
            </w:pPr>
            <w:r w:rsidRPr="001F5FD2">
              <w:t>1</w:t>
            </w:r>
          </w:p>
        </w:tc>
        <w:tc>
          <w:tcPr>
            <w:tcW w:w="6344" w:type="dxa"/>
            <w:tcBorders>
              <w:top w:val="single" w:sz="6" w:space="0" w:color="auto"/>
              <w:left w:val="single" w:sz="6" w:space="0" w:color="auto"/>
              <w:bottom w:val="single" w:sz="6" w:space="0" w:color="auto"/>
              <w:right w:val="single" w:sz="6" w:space="0" w:color="auto"/>
            </w:tcBorders>
            <w:hideMark/>
          </w:tcPr>
          <w:p w:rsidR="00CB26CD" w:rsidRPr="001F5FD2" w:rsidRDefault="00CB26CD">
            <w:pPr>
              <w:pStyle w:val="TableText"/>
            </w:pPr>
            <w:r w:rsidRPr="001F5FD2">
              <w:t xml:space="preserve">Issues to Consider </w:t>
            </w:r>
            <w:r w:rsidR="004D2383" w:rsidRPr="001F5FD2">
              <w:t>W</w:t>
            </w:r>
            <w:r w:rsidRPr="001F5FD2">
              <w:t>hen Deciding Claims for Disability Compensation</w:t>
            </w:r>
          </w:p>
        </w:tc>
      </w:tr>
      <w:tr w:rsidR="00C4270D" w:rsidRPr="001F5FD2" w:rsidTr="00CB26CD">
        <w:trPr>
          <w:cantSplit/>
        </w:trPr>
        <w:tc>
          <w:tcPr>
            <w:tcW w:w="1296" w:type="dxa"/>
            <w:tcBorders>
              <w:top w:val="single" w:sz="6" w:space="0" w:color="auto"/>
              <w:left w:val="single" w:sz="6" w:space="0" w:color="auto"/>
              <w:bottom w:val="single" w:sz="6" w:space="0" w:color="auto"/>
              <w:right w:val="single" w:sz="6" w:space="0" w:color="auto"/>
            </w:tcBorders>
          </w:tcPr>
          <w:p w:rsidR="00C4270D" w:rsidRPr="001F5FD2" w:rsidRDefault="00C4270D">
            <w:pPr>
              <w:pStyle w:val="TableText"/>
              <w:jc w:val="center"/>
            </w:pPr>
            <w:r w:rsidRPr="001F5FD2">
              <w:t>2</w:t>
            </w:r>
          </w:p>
        </w:tc>
        <w:tc>
          <w:tcPr>
            <w:tcW w:w="6344" w:type="dxa"/>
            <w:tcBorders>
              <w:top w:val="single" w:sz="6" w:space="0" w:color="auto"/>
              <w:left w:val="single" w:sz="6" w:space="0" w:color="auto"/>
              <w:bottom w:val="single" w:sz="6" w:space="0" w:color="auto"/>
              <w:right w:val="single" w:sz="6" w:space="0" w:color="auto"/>
            </w:tcBorders>
          </w:tcPr>
          <w:p w:rsidR="00C4270D" w:rsidRPr="001F5FD2" w:rsidRDefault="007D5818" w:rsidP="00EC0AC9">
            <w:pPr>
              <w:pStyle w:val="TableText"/>
            </w:pPr>
            <w:r w:rsidRPr="001F5FD2">
              <w:t>A</w:t>
            </w:r>
            <w:r w:rsidR="009F3065" w:rsidRPr="001F5FD2">
              <w:t>ctions to T</w:t>
            </w:r>
            <w:r w:rsidRPr="001F5FD2">
              <w:t xml:space="preserve">ake </w:t>
            </w:r>
            <w:r w:rsidR="004D2383" w:rsidRPr="001F5FD2">
              <w:t>W</w:t>
            </w:r>
            <w:r w:rsidR="00EA334C" w:rsidRPr="001F5FD2">
              <w:t>hen</w:t>
            </w:r>
            <w:r w:rsidR="004B6FBD" w:rsidRPr="001F5FD2">
              <w:t xml:space="preserve"> </w:t>
            </w:r>
            <w:r w:rsidR="00EC0AC9" w:rsidRPr="001F5FD2">
              <w:t>Unassociated</w:t>
            </w:r>
            <w:r w:rsidR="004B6FBD" w:rsidRPr="001F5FD2">
              <w:t xml:space="preserve"> </w:t>
            </w:r>
            <w:r w:rsidR="002E5503" w:rsidRPr="001F5FD2">
              <w:t xml:space="preserve">or Supplemental </w:t>
            </w:r>
            <w:r w:rsidR="004B6FBD" w:rsidRPr="001F5FD2">
              <w:t xml:space="preserve">Service Treatment Records (STRs) </w:t>
            </w:r>
            <w:r w:rsidR="00B17C09" w:rsidRPr="001F5FD2">
              <w:t>A</w:t>
            </w:r>
            <w:r w:rsidR="004B6FBD" w:rsidRPr="001F5FD2">
              <w:t>re Received</w:t>
            </w:r>
            <w:r w:rsidR="004D2383" w:rsidRPr="001F5FD2">
              <w:t xml:space="preserve"> F</w:t>
            </w:r>
            <w:r w:rsidR="00EC0AC9" w:rsidRPr="001F5FD2">
              <w:t>rom the Records Management Center (RMC)</w:t>
            </w:r>
          </w:p>
        </w:tc>
      </w:tr>
    </w:tbl>
    <w:p w:rsidR="008D170E" w:rsidRPr="001F5FD2" w:rsidRDefault="00BC1223" w:rsidP="00BC1223">
      <w:pPr>
        <w:tabs>
          <w:tab w:val="left" w:pos="9360"/>
        </w:tabs>
        <w:ind w:left="1714"/>
      </w:pPr>
      <w:r w:rsidRPr="001F5FD2">
        <w:rPr>
          <w:u w:val="single"/>
        </w:rPr>
        <w:tab/>
      </w:r>
    </w:p>
    <w:p w:rsidR="00BC1223" w:rsidRPr="001F5FD2" w:rsidRDefault="00BC1223" w:rsidP="00BC1223">
      <w:pPr>
        <w:ind w:left="1714"/>
      </w:pPr>
    </w:p>
    <w:p w:rsidR="006B340B" w:rsidRPr="001F5FD2" w:rsidRDefault="006B340B">
      <w:pPr>
        <w:pStyle w:val="Heading4"/>
      </w:pPr>
      <w:r w:rsidRPr="001F5FD2">
        <w:br w:type="page"/>
      </w:r>
      <w:r w:rsidRPr="001F5FD2">
        <w:lastRenderedPageBreak/>
        <w:t xml:space="preserve">1.  </w:t>
      </w:r>
      <w:bookmarkStart w:id="1" w:name="Topic1"/>
      <w:bookmarkEnd w:id="1"/>
      <w:r w:rsidRPr="001F5FD2">
        <w:t xml:space="preserve">Issues to Consider When Deciding Claims for Disability Compensation </w:t>
      </w:r>
    </w:p>
    <w:p w:rsidR="006B340B" w:rsidRPr="001F5FD2" w:rsidRDefault="00040CBF">
      <w:pPr>
        <w:pStyle w:val="BlockLine"/>
      </w:pPr>
      <w:r w:rsidRPr="001F5FD2">
        <w:fldChar w:fldCharType="begin"/>
      </w:r>
      <w:r w:rsidR="006B340B" w:rsidRPr="001F5FD2">
        <w:instrText xml:space="preserve"> PRIVATE INFOTYPE="OTHER" </w:instrText>
      </w:r>
      <w:r w:rsidRPr="001F5FD2">
        <w:fldChar w:fldCharType="end"/>
      </w:r>
    </w:p>
    <w:tbl>
      <w:tblPr>
        <w:tblW w:w="0" w:type="auto"/>
        <w:tblLayout w:type="fixed"/>
        <w:tblLook w:val="0000" w:firstRow="0" w:lastRow="0" w:firstColumn="0" w:lastColumn="0" w:noHBand="0" w:noVBand="0"/>
      </w:tblPr>
      <w:tblGrid>
        <w:gridCol w:w="1728"/>
        <w:gridCol w:w="7740"/>
      </w:tblGrid>
      <w:tr w:rsidR="006B340B" w:rsidRPr="001F5FD2">
        <w:trPr>
          <w:cantSplit/>
        </w:trPr>
        <w:tc>
          <w:tcPr>
            <w:tcW w:w="1728" w:type="dxa"/>
          </w:tcPr>
          <w:p w:rsidR="006B340B" w:rsidRPr="001F5FD2" w:rsidRDefault="006B340B">
            <w:pPr>
              <w:pStyle w:val="Heading5"/>
            </w:pPr>
            <w:r w:rsidRPr="001F5FD2">
              <w:t>Introduction</w:t>
            </w:r>
          </w:p>
        </w:tc>
        <w:tc>
          <w:tcPr>
            <w:tcW w:w="7740" w:type="dxa"/>
          </w:tcPr>
          <w:p w:rsidR="006B340B" w:rsidRPr="001F5FD2" w:rsidRDefault="006B340B">
            <w:pPr>
              <w:pStyle w:val="BlockText"/>
            </w:pPr>
            <w:r w:rsidRPr="001F5FD2">
              <w:t xml:space="preserve">This topic contains information on issues to consider when deciding claims for disability compensation, including </w:t>
            </w:r>
          </w:p>
          <w:p w:rsidR="006B340B" w:rsidRPr="001F5FD2" w:rsidRDefault="006B340B">
            <w:pPr>
              <w:pStyle w:val="BlockText"/>
            </w:pPr>
          </w:p>
          <w:p w:rsidR="006B340B" w:rsidRPr="001F5FD2" w:rsidRDefault="006B340B">
            <w:pPr>
              <w:pStyle w:val="BulletText1"/>
            </w:pPr>
            <w:r w:rsidRPr="001F5FD2">
              <w:t>disabilities for which service connection</w:t>
            </w:r>
            <w:r w:rsidR="003F44F2" w:rsidRPr="001F5FD2">
              <w:t xml:space="preserve"> (SC)</w:t>
            </w:r>
            <w:r w:rsidRPr="001F5FD2">
              <w:t xml:space="preserve"> must be considered</w:t>
            </w:r>
          </w:p>
          <w:p w:rsidR="008516F2" w:rsidRPr="001F5FD2" w:rsidRDefault="001A5598">
            <w:pPr>
              <w:pStyle w:val="BulletText1"/>
            </w:pPr>
            <w:r w:rsidRPr="001F5FD2">
              <w:t>the</w:t>
            </w:r>
            <w:r w:rsidR="009938CB" w:rsidRPr="001F5FD2">
              <w:t xml:space="preserve"> mere</w:t>
            </w:r>
            <w:r w:rsidRPr="001F5FD2">
              <w:t xml:space="preserve"> </w:t>
            </w:r>
            <w:r w:rsidR="008516F2" w:rsidRPr="001F5FD2">
              <w:t>existence of</w:t>
            </w:r>
            <w:r w:rsidR="00B17C09" w:rsidRPr="001F5FD2">
              <w:t xml:space="preserve"> medical</w:t>
            </w:r>
            <w:r w:rsidR="008516F2" w:rsidRPr="001F5FD2">
              <w:t xml:space="preserve"> records does not constitute a claim</w:t>
            </w:r>
          </w:p>
          <w:p w:rsidR="00B51882" w:rsidRPr="001F5FD2" w:rsidRDefault="00B51882">
            <w:pPr>
              <w:pStyle w:val="BulletText1"/>
            </w:pPr>
            <w:r w:rsidRPr="001F5FD2">
              <w:t>claims mentioning exposure but no</w:t>
            </w:r>
            <w:r w:rsidR="009938CB" w:rsidRPr="001F5FD2">
              <w:t>t specifying a</w:t>
            </w:r>
            <w:r w:rsidRPr="001F5FD2">
              <w:t xml:space="preserve"> disability</w:t>
            </w:r>
          </w:p>
          <w:p w:rsidR="001A5598" w:rsidRPr="001F5FD2" w:rsidRDefault="001A5598">
            <w:pPr>
              <w:pStyle w:val="BulletText1"/>
            </w:pPr>
            <w:r w:rsidRPr="001F5FD2">
              <w:t>abnormal lab</w:t>
            </w:r>
            <w:r w:rsidR="00D86F58" w:rsidRPr="001F5FD2">
              <w:t>oratory</w:t>
            </w:r>
            <w:r w:rsidRPr="001F5FD2">
              <w:t xml:space="preserve"> findings discovered in</w:t>
            </w:r>
            <w:r w:rsidR="004D2383" w:rsidRPr="001F5FD2">
              <w:t xml:space="preserve"> </w:t>
            </w:r>
            <w:r w:rsidRPr="001F5FD2">
              <w:t>STRs without a claim</w:t>
            </w:r>
          </w:p>
          <w:p w:rsidR="00FD5FDB" w:rsidRPr="001F5FD2" w:rsidRDefault="00FD5FDB">
            <w:pPr>
              <w:pStyle w:val="BulletText1"/>
            </w:pPr>
            <w:r w:rsidRPr="001F5FD2">
              <w:t>fractures discovered in STRs without a claim</w:t>
            </w:r>
          </w:p>
          <w:p w:rsidR="006B340B" w:rsidRPr="001F5FD2" w:rsidRDefault="006B340B">
            <w:pPr>
              <w:pStyle w:val="BulletText1"/>
            </w:pPr>
            <w:r w:rsidRPr="001F5FD2">
              <w:t xml:space="preserve">soliciting a claim for </w:t>
            </w:r>
            <w:r w:rsidR="000A39A8" w:rsidRPr="001F5FD2">
              <w:t xml:space="preserve">a </w:t>
            </w:r>
            <w:r w:rsidRPr="001F5FD2">
              <w:t>chronic, unclaimed disabilit</w:t>
            </w:r>
            <w:r w:rsidR="00B17C09" w:rsidRPr="001F5FD2">
              <w:t>y</w:t>
            </w:r>
            <w:r w:rsidR="009F3065" w:rsidRPr="001F5FD2">
              <w:t>, and</w:t>
            </w:r>
          </w:p>
          <w:p w:rsidR="006B340B" w:rsidRPr="001F5FD2" w:rsidRDefault="006B340B">
            <w:pPr>
              <w:pStyle w:val="BulletText1"/>
            </w:pPr>
            <w:proofErr w:type="gramStart"/>
            <w:r w:rsidRPr="001F5FD2">
              <w:t>references</w:t>
            </w:r>
            <w:proofErr w:type="gramEnd"/>
            <w:r w:rsidRPr="001F5FD2">
              <w:t xml:space="preserve"> concerning the selection of effective dates.</w:t>
            </w:r>
          </w:p>
        </w:tc>
      </w:tr>
    </w:tbl>
    <w:p w:rsidR="006B340B" w:rsidRPr="001F5FD2" w:rsidRDefault="006B340B">
      <w:pPr>
        <w:pStyle w:val="BlockLine"/>
      </w:pPr>
    </w:p>
    <w:tbl>
      <w:tblPr>
        <w:tblW w:w="0" w:type="auto"/>
        <w:tblLayout w:type="fixed"/>
        <w:tblLook w:val="0000" w:firstRow="0" w:lastRow="0" w:firstColumn="0" w:lastColumn="0" w:noHBand="0" w:noVBand="0"/>
      </w:tblPr>
      <w:tblGrid>
        <w:gridCol w:w="1728"/>
        <w:gridCol w:w="7740"/>
      </w:tblGrid>
      <w:tr w:rsidR="006B340B" w:rsidRPr="001F5FD2">
        <w:trPr>
          <w:cantSplit/>
        </w:trPr>
        <w:tc>
          <w:tcPr>
            <w:tcW w:w="1728" w:type="dxa"/>
          </w:tcPr>
          <w:p w:rsidR="006B340B" w:rsidRPr="001F5FD2" w:rsidRDefault="006B340B">
            <w:pPr>
              <w:pStyle w:val="Heading5"/>
            </w:pPr>
            <w:r w:rsidRPr="001F5FD2">
              <w:t>Change Date</w:t>
            </w:r>
          </w:p>
        </w:tc>
        <w:tc>
          <w:tcPr>
            <w:tcW w:w="7740" w:type="dxa"/>
          </w:tcPr>
          <w:p w:rsidR="006B340B" w:rsidRPr="001F5FD2" w:rsidRDefault="00480370">
            <w:pPr>
              <w:pStyle w:val="BlockText"/>
            </w:pPr>
            <w:r w:rsidRPr="001F5FD2">
              <w:t>May 11, 2015</w:t>
            </w:r>
          </w:p>
        </w:tc>
      </w:tr>
    </w:tbl>
    <w:p w:rsidR="006B340B" w:rsidRPr="001F5FD2" w:rsidRDefault="00040CBF">
      <w:pPr>
        <w:pStyle w:val="BlockLine"/>
      </w:pPr>
      <w:r w:rsidRPr="001F5FD2">
        <w:fldChar w:fldCharType="begin"/>
      </w:r>
      <w:r w:rsidR="0062419F" w:rsidRPr="001F5FD2">
        <w:instrText xml:space="preserve"> PRIVATE INFOTYPE="PRINCIPLE" </w:instrText>
      </w:r>
      <w:r w:rsidRPr="001F5FD2">
        <w:fldChar w:fldCharType="end"/>
      </w:r>
    </w:p>
    <w:tbl>
      <w:tblPr>
        <w:tblW w:w="0" w:type="auto"/>
        <w:tblLayout w:type="fixed"/>
        <w:tblLook w:val="0000" w:firstRow="0" w:lastRow="0" w:firstColumn="0" w:lastColumn="0" w:noHBand="0" w:noVBand="0"/>
      </w:tblPr>
      <w:tblGrid>
        <w:gridCol w:w="1728"/>
        <w:gridCol w:w="7740"/>
      </w:tblGrid>
      <w:tr w:rsidR="006B340B" w:rsidRPr="001F5FD2" w:rsidTr="00EF4609">
        <w:tc>
          <w:tcPr>
            <w:tcW w:w="1728" w:type="dxa"/>
          </w:tcPr>
          <w:p w:rsidR="006B340B" w:rsidRPr="001F5FD2" w:rsidRDefault="006B340B" w:rsidP="003F44F2">
            <w:pPr>
              <w:pStyle w:val="Heading5"/>
            </w:pPr>
            <w:bookmarkStart w:id="2" w:name="_a.__Disabilities"/>
            <w:bookmarkEnd w:id="2"/>
            <w:proofErr w:type="gramStart"/>
            <w:r w:rsidRPr="001F5FD2">
              <w:t>a.  Disabilities</w:t>
            </w:r>
            <w:proofErr w:type="gramEnd"/>
            <w:r w:rsidRPr="001F5FD2">
              <w:t xml:space="preserve"> for Which </w:t>
            </w:r>
            <w:r w:rsidR="003F44F2" w:rsidRPr="001F5FD2">
              <w:t>SC</w:t>
            </w:r>
            <w:r w:rsidRPr="001F5FD2">
              <w:t xml:space="preserve"> Must Be Considered</w:t>
            </w:r>
          </w:p>
        </w:tc>
        <w:tc>
          <w:tcPr>
            <w:tcW w:w="7740" w:type="dxa"/>
          </w:tcPr>
          <w:p w:rsidR="006B340B" w:rsidRPr="001F5FD2" w:rsidRDefault="006B340B" w:rsidP="00F5447E">
            <w:pPr>
              <w:pStyle w:val="BulletText1"/>
              <w:numPr>
                <w:ilvl w:val="0"/>
                <w:numId w:val="0"/>
              </w:numPr>
            </w:pPr>
            <w:r w:rsidRPr="001F5FD2">
              <w:t>When deciding an original claim for compensation</w:t>
            </w:r>
            <w:r w:rsidR="00575729" w:rsidRPr="001F5FD2">
              <w:t>,</w:t>
            </w:r>
            <w:r w:rsidRPr="001F5FD2">
              <w:t xml:space="preserve"> or when </w:t>
            </w:r>
            <w:r w:rsidR="000A39A8" w:rsidRPr="001F5FD2">
              <w:t xml:space="preserve">unassociated or </w:t>
            </w:r>
            <w:r w:rsidRPr="001F5FD2">
              <w:t>supplemental service treatment records (STRs) are received following promulgation of an original rating decision</w:t>
            </w:r>
            <w:r w:rsidR="00D86F58" w:rsidRPr="001F5FD2">
              <w:t>,</w:t>
            </w:r>
            <w:r w:rsidR="009B7ECB" w:rsidRPr="001F5FD2">
              <w:t xml:space="preserve"> the rating activity must</w:t>
            </w:r>
          </w:p>
          <w:p w:rsidR="006B340B" w:rsidRPr="001F5FD2" w:rsidRDefault="006B340B" w:rsidP="00F5447E">
            <w:pPr>
              <w:pStyle w:val="BulletText1"/>
              <w:numPr>
                <w:ilvl w:val="0"/>
                <w:numId w:val="0"/>
              </w:numPr>
            </w:pPr>
          </w:p>
          <w:p w:rsidR="006B340B" w:rsidRPr="001F5FD2" w:rsidRDefault="00B17C09" w:rsidP="00D13B1D">
            <w:pPr>
              <w:pStyle w:val="BulletText1"/>
            </w:pPr>
            <w:r w:rsidRPr="001F5FD2">
              <w:t>consider</w:t>
            </w:r>
            <w:r w:rsidR="006B340B" w:rsidRPr="001F5FD2">
              <w:t xml:space="preserve"> service connection</w:t>
            </w:r>
            <w:r w:rsidR="003F44F2" w:rsidRPr="001F5FD2">
              <w:t xml:space="preserve"> (SC)</w:t>
            </w:r>
            <w:r w:rsidR="006B340B" w:rsidRPr="001F5FD2">
              <w:t xml:space="preserve"> for all claimed disabilities, </w:t>
            </w:r>
            <w:r w:rsidR="00D13B1D" w:rsidRPr="001F5FD2">
              <w:t xml:space="preserve">based on a sympathetic reading of the claim, </w:t>
            </w:r>
            <w:r w:rsidR="006B340B" w:rsidRPr="001F5FD2">
              <w:t>and</w:t>
            </w:r>
          </w:p>
          <w:p w:rsidR="009B7ECB" w:rsidRPr="001F5FD2" w:rsidRDefault="006B340B" w:rsidP="00761BDB">
            <w:pPr>
              <w:pStyle w:val="BulletText1"/>
            </w:pPr>
            <w:proofErr w:type="gramStart"/>
            <w:r w:rsidRPr="001F5FD2">
              <w:t>consider</w:t>
            </w:r>
            <w:proofErr w:type="gramEnd"/>
            <w:r w:rsidRPr="001F5FD2">
              <w:t xml:space="preserve"> soliciting a claim for other chronic, unclaimed disabilities noted in the STRs.</w:t>
            </w:r>
          </w:p>
          <w:p w:rsidR="004630F6" w:rsidRPr="001F5FD2" w:rsidRDefault="004630F6" w:rsidP="004630F6">
            <w:pPr>
              <w:pStyle w:val="BlockText"/>
              <w:rPr>
                <w:bCs/>
                <w:iCs/>
              </w:rPr>
            </w:pPr>
          </w:p>
          <w:p w:rsidR="004630F6" w:rsidRPr="001F5FD2" w:rsidRDefault="004630F6" w:rsidP="004630F6">
            <w:pPr>
              <w:pStyle w:val="BlockText"/>
            </w:pPr>
            <w:r w:rsidRPr="001F5FD2">
              <w:rPr>
                <w:b/>
                <w:bCs/>
                <w:i/>
                <w:iCs/>
              </w:rPr>
              <w:t>References</w:t>
            </w:r>
            <w:r w:rsidRPr="001F5FD2">
              <w:t xml:space="preserve">:  For more information on </w:t>
            </w:r>
          </w:p>
          <w:p w:rsidR="002456EE" w:rsidRPr="001F5FD2" w:rsidRDefault="004630F6" w:rsidP="00761BDB">
            <w:pPr>
              <w:pStyle w:val="BulletText1"/>
            </w:pPr>
            <w:r w:rsidRPr="001F5FD2">
              <w:t xml:space="preserve">clarifying claims that are not substantially complete, see </w:t>
            </w:r>
            <w:hyperlink r:id="rId12" w:history="1">
              <w:r w:rsidR="002456EE" w:rsidRPr="001F5FD2">
                <w:rPr>
                  <w:rStyle w:val="Hyperlink"/>
                </w:rPr>
                <w:t xml:space="preserve">38 CFR </w:t>
              </w:r>
              <w:r w:rsidRPr="001F5FD2">
                <w:rPr>
                  <w:rStyle w:val="Hyperlink"/>
                </w:rPr>
                <w:t>3.159(a)(3)</w:t>
              </w:r>
            </w:hyperlink>
          </w:p>
          <w:p w:rsidR="002456EE" w:rsidRPr="001F5FD2" w:rsidRDefault="002456EE" w:rsidP="00761BDB">
            <w:pPr>
              <w:pStyle w:val="BulletText1"/>
            </w:pPr>
            <w:r w:rsidRPr="001F5FD2">
              <w:t>the definition of a substantially complete application, see M21-1, Part I, 1.A.3.f</w:t>
            </w:r>
          </w:p>
          <w:p w:rsidR="004630F6" w:rsidRPr="001F5FD2" w:rsidRDefault="002456EE" w:rsidP="00761BDB">
            <w:pPr>
              <w:pStyle w:val="BulletText1"/>
            </w:pPr>
            <w:r w:rsidRPr="001F5FD2">
              <w:t>criteria for substantially complete applications, see M21-1, Part I, 1.B.1.b</w:t>
            </w:r>
          </w:p>
          <w:p w:rsidR="002456EE" w:rsidRPr="001F5FD2" w:rsidRDefault="002456EE" w:rsidP="00761BDB">
            <w:pPr>
              <w:pStyle w:val="BulletText1"/>
            </w:pPr>
            <w:r w:rsidRPr="001F5FD2">
              <w:t>notification requirements for a complete application, see M21-1, Part I, 1.B.1.c</w:t>
            </w:r>
          </w:p>
          <w:p w:rsidR="004630F6" w:rsidRPr="001F5FD2" w:rsidRDefault="004630F6" w:rsidP="004630F6">
            <w:pPr>
              <w:pStyle w:val="BulletText1"/>
            </w:pPr>
            <w:r w:rsidRPr="001F5FD2">
              <w:t xml:space="preserve">soliciting a claim for unclaimed disabilities, see </w:t>
            </w:r>
            <w:hyperlink r:id="rId13" w:history="1">
              <w:r w:rsidRPr="001F5FD2">
                <w:rPr>
                  <w:rStyle w:val="Hyperlink"/>
                </w:rPr>
                <w:t>M21-1, Part IV, Subpart ii, 2.A.1.</w:t>
              </w:r>
              <w:r w:rsidR="00B27D33" w:rsidRPr="001F5FD2">
                <w:rPr>
                  <w:rStyle w:val="Hyperlink"/>
                </w:rPr>
                <w:t>e</w:t>
              </w:r>
            </w:hyperlink>
            <w:r w:rsidR="00B27D33" w:rsidRPr="001F5FD2">
              <w:t xml:space="preserve"> </w:t>
            </w:r>
          </w:p>
          <w:p w:rsidR="004630F6" w:rsidRPr="001F5FD2" w:rsidRDefault="00F36009" w:rsidP="004630F6">
            <w:pPr>
              <w:pStyle w:val="BulletText1"/>
            </w:pPr>
            <w:r w:rsidRPr="001F5FD2">
              <w:t>action</w:t>
            </w:r>
            <w:r w:rsidR="002E5503" w:rsidRPr="001F5FD2">
              <w:t>s to take when unassociated or supplemental STRs are received</w:t>
            </w:r>
            <w:r w:rsidR="004630F6" w:rsidRPr="001F5FD2">
              <w:t>, see M21</w:t>
            </w:r>
            <w:r w:rsidR="002E5503" w:rsidRPr="001F5FD2">
              <w:t>-1, Part IV, Subpart ii, 2.A.2</w:t>
            </w:r>
            <w:r w:rsidRPr="001F5FD2">
              <w:t>, and</w:t>
            </w:r>
          </w:p>
          <w:p w:rsidR="004630F6" w:rsidRPr="001F5FD2" w:rsidRDefault="004630F6" w:rsidP="00761BDB">
            <w:pPr>
              <w:pStyle w:val="BulletText1"/>
            </w:pPr>
            <w:r w:rsidRPr="001F5FD2">
              <w:t xml:space="preserve">the types of issues that a compensation claim may involve, see </w:t>
            </w:r>
            <w:hyperlink r:id="rId14" w:history="1">
              <w:r w:rsidRPr="001F5FD2">
                <w:rPr>
                  <w:rStyle w:val="Hyperlink"/>
                </w:rPr>
                <w:t>M21-1, Part III, Subpart iv, 6.B.2</w:t>
              </w:r>
            </w:hyperlink>
          </w:p>
        </w:tc>
      </w:tr>
    </w:tbl>
    <w:p w:rsidR="008516F2" w:rsidRPr="001F5FD2" w:rsidRDefault="008516F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516F2" w:rsidRPr="001F5FD2" w:rsidTr="00761BDB">
        <w:tc>
          <w:tcPr>
            <w:tcW w:w="1728" w:type="dxa"/>
            <w:shd w:val="clear" w:color="auto" w:fill="auto"/>
          </w:tcPr>
          <w:p w:rsidR="008516F2" w:rsidRPr="001F5FD2" w:rsidRDefault="008516F2" w:rsidP="008516F2">
            <w:pPr>
              <w:rPr>
                <w:b/>
                <w:sz w:val="22"/>
              </w:rPr>
            </w:pPr>
            <w:r w:rsidRPr="001F5FD2">
              <w:rPr>
                <w:b/>
                <w:sz w:val="22"/>
              </w:rPr>
              <w:t xml:space="preserve">b.  </w:t>
            </w:r>
            <w:r w:rsidR="001A5598" w:rsidRPr="001F5FD2">
              <w:rPr>
                <w:b/>
                <w:sz w:val="22"/>
              </w:rPr>
              <w:t>The</w:t>
            </w:r>
            <w:r w:rsidR="009938CB" w:rsidRPr="001F5FD2">
              <w:rPr>
                <w:b/>
                <w:sz w:val="22"/>
              </w:rPr>
              <w:t xml:space="preserve"> Mere</w:t>
            </w:r>
            <w:r w:rsidR="001A5598" w:rsidRPr="001F5FD2">
              <w:rPr>
                <w:b/>
                <w:sz w:val="22"/>
              </w:rPr>
              <w:t xml:space="preserve"> </w:t>
            </w:r>
            <w:r w:rsidRPr="001F5FD2">
              <w:rPr>
                <w:b/>
                <w:sz w:val="22"/>
              </w:rPr>
              <w:t xml:space="preserve">Existence of </w:t>
            </w:r>
            <w:r w:rsidR="00B17C09" w:rsidRPr="001F5FD2">
              <w:rPr>
                <w:b/>
                <w:sz w:val="22"/>
              </w:rPr>
              <w:t xml:space="preserve">Medical </w:t>
            </w:r>
            <w:r w:rsidRPr="001F5FD2">
              <w:rPr>
                <w:b/>
                <w:sz w:val="22"/>
              </w:rPr>
              <w:lastRenderedPageBreak/>
              <w:t>Records Does Not Constitute a Claim</w:t>
            </w:r>
          </w:p>
        </w:tc>
        <w:tc>
          <w:tcPr>
            <w:tcW w:w="7740" w:type="dxa"/>
            <w:shd w:val="clear" w:color="auto" w:fill="auto"/>
          </w:tcPr>
          <w:p w:rsidR="008516F2" w:rsidRPr="001F5FD2" w:rsidRDefault="008516F2" w:rsidP="004D2383">
            <w:pPr>
              <w:pStyle w:val="BulletText1"/>
              <w:numPr>
                <w:ilvl w:val="0"/>
                <w:numId w:val="0"/>
              </w:numPr>
            </w:pPr>
            <w:r w:rsidRPr="001F5FD2">
              <w:lastRenderedPageBreak/>
              <w:t xml:space="preserve">The mere existence of medical records does not </w:t>
            </w:r>
            <w:r w:rsidR="00B17C09" w:rsidRPr="001F5FD2">
              <w:t>constitute</w:t>
            </w:r>
            <w:r w:rsidRPr="001F5FD2">
              <w:t xml:space="preserve"> a claim.  T</w:t>
            </w:r>
            <w:r w:rsidR="004D2383" w:rsidRPr="001F5FD2">
              <w:t xml:space="preserve">here must </w:t>
            </w:r>
            <w:r w:rsidRPr="001F5FD2">
              <w:t xml:space="preserve">be some intent by the claimant to apply for a benefit. </w:t>
            </w:r>
          </w:p>
          <w:p w:rsidR="008516F2" w:rsidRPr="001F5FD2" w:rsidRDefault="008516F2" w:rsidP="008516F2"/>
          <w:p w:rsidR="008516F2" w:rsidRPr="001F5FD2" w:rsidRDefault="008516F2" w:rsidP="008516F2">
            <w:r w:rsidRPr="001F5FD2">
              <w:rPr>
                <w:b/>
                <w:i/>
              </w:rPr>
              <w:lastRenderedPageBreak/>
              <w:t>Notes</w:t>
            </w:r>
            <w:r w:rsidRPr="001F5FD2">
              <w:t xml:space="preserve">:  </w:t>
            </w:r>
          </w:p>
          <w:p w:rsidR="008516F2" w:rsidRPr="001F5FD2" w:rsidRDefault="008516F2" w:rsidP="008516F2">
            <w:pPr>
              <w:pStyle w:val="ListParagraph"/>
              <w:numPr>
                <w:ilvl w:val="0"/>
                <w:numId w:val="25"/>
              </w:numPr>
              <w:ind w:left="158" w:hanging="187"/>
            </w:pPr>
            <w:r w:rsidRPr="001F5FD2">
              <w:t xml:space="preserve">Claims for an increased rating were previously an exception to that rule under the historical provisions of </w:t>
            </w:r>
            <w:hyperlink r:id="rId15" w:history="1">
              <w:r w:rsidRPr="001F5FD2">
                <w:rPr>
                  <w:rStyle w:val="Hyperlink"/>
                </w:rPr>
                <w:t>38 CFR 3.157(b)</w:t>
              </w:r>
            </w:hyperlink>
            <w:r w:rsidRPr="001F5FD2">
              <w:t>.</w:t>
            </w:r>
          </w:p>
          <w:p w:rsidR="008516F2" w:rsidRPr="001F5FD2" w:rsidRDefault="008516F2" w:rsidP="00761BDB">
            <w:pPr>
              <w:pStyle w:val="ListParagraph"/>
              <w:numPr>
                <w:ilvl w:val="0"/>
                <w:numId w:val="25"/>
              </w:numPr>
              <w:ind w:left="158" w:hanging="187"/>
            </w:pPr>
            <w:r w:rsidRPr="001F5FD2">
              <w:t xml:space="preserve">The Standard Claims and Appeals Form regulation eliminated section </w:t>
            </w:r>
            <w:hyperlink r:id="rId16" w:history="1">
              <w:r w:rsidRPr="001F5FD2">
                <w:rPr>
                  <w:rStyle w:val="Hyperlink"/>
                </w:rPr>
                <w:t>3.157</w:t>
              </w:r>
            </w:hyperlink>
            <w:r w:rsidRPr="001F5FD2">
              <w:t xml:space="preserve"> and requires submission of claims on prescribed forms effective March 24, 2015.</w:t>
            </w:r>
          </w:p>
        </w:tc>
      </w:tr>
    </w:tbl>
    <w:p w:rsidR="00B51882" w:rsidRPr="001F5FD2" w:rsidRDefault="00B5188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882" w:rsidRPr="001F5FD2" w:rsidTr="00761BDB">
        <w:tc>
          <w:tcPr>
            <w:tcW w:w="1728" w:type="dxa"/>
            <w:shd w:val="clear" w:color="auto" w:fill="auto"/>
          </w:tcPr>
          <w:p w:rsidR="00B51882" w:rsidRPr="001F5FD2" w:rsidRDefault="00B51882" w:rsidP="00B51882">
            <w:pPr>
              <w:rPr>
                <w:b/>
                <w:sz w:val="22"/>
              </w:rPr>
            </w:pPr>
            <w:r w:rsidRPr="001F5FD2">
              <w:rPr>
                <w:b/>
                <w:sz w:val="22"/>
              </w:rPr>
              <w:t xml:space="preserve">c.  Claims Mentioning Exposure </w:t>
            </w:r>
            <w:r w:rsidR="00FD2AAE" w:rsidRPr="001F5FD2">
              <w:rPr>
                <w:b/>
                <w:sz w:val="22"/>
              </w:rPr>
              <w:t>b</w:t>
            </w:r>
            <w:r w:rsidRPr="001F5FD2">
              <w:rPr>
                <w:b/>
                <w:sz w:val="22"/>
              </w:rPr>
              <w:t>ut No</w:t>
            </w:r>
            <w:r w:rsidR="009938CB" w:rsidRPr="001F5FD2">
              <w:rPr>
                <w:b/>
                <w:sz w:val="22"/>
              </w:rPr>
              <w:t>t Specifying a</w:t>
            </w:r>
            <w:r w:rsidRPr="001F5FD2">
              <w:rPr>
                <w:b/>
                <w:sz w:val="22"/>
              </w:rPr>
              <w:t xml:space="preserve"> Disability</w:t>
            </w:r>
          </w:p>
        </w:tc>
        <w:tc>
          <w:tcPr>
            <w:tcW w:w="7740" w:type="dxa"/>
            <w:shd w:val="clear" w:color="auto" w:fill="auto"/>
          </w:tcPr>
          <w:p w:rsidR="00B51882" w:rsidRPr="001F5FD2" w:rsidRDefault="00B51882" w:rsidP="00761BDB">
            <w:pPr>
              <w:pStyle w:val="BulletText1"/>
              <w:numPr>
                <w:ilvl w:val="0"/>
                <w:numId w:val="0"/>
              </w:numPr>
            </w:pPr>
            <w:r w:rsidRPr="001F5FD2">
              <w:t>A claim mentioning an exposure but not specifying a disability from the exposure is not substantially complete.</w:t>
            </w:r>
          </w:p>
          <w:p w:rsidR="00B51882" w:rsidRPr="001F5FD2" w:rsidRDefault="00B51882" w:rsidP="00B51882"/>
          <w:p w:rsidR="00B51882" w:rsidRPr="001F5FD2" w:rsidRDefault="00B51882" w:rsidP="00B51882">
            <w:r w:rsidRPr="001F5FD2">
              <w:rPr>
                <w:b/>
                <w:i/>
              </w:rPr>
              <w:t>Reference</w:t>
            </w:r>
            <w:r w:rsidR="001A5598" w:rsidRPr="001F5FD2">
              <w:rPr>
                <w:b/>
                <w:i/>
              </w:rPr>
              <w:t>s</w:t>
            </w:r>
            <w:r w:rsidRPr="001F5FD2">
              <w:t>:  For more information on claims that do not specify a disability but allege exposure to</w:t>
            </w:r>
          </w:p>
          <w:p w:rsidR="00B51882" w:rsidRPr="008076A0" w:rsidRDefault="00B51882" w:rsidP="00761BDB">
            <w:pPr>
              <w:pStyle w:val="ListParagraph"/>
              <w:numPr>
                <w:ilvl w:val="0"/>
                <w:numId w:val="26"/>
              </w:numPr>
              <w:ind w:left="158" w:hanging="187"/>
            </w:pPr>
            <w:r w:rsidRPr="001F5FD2">
              <w:t xml:space="preserve">radiation, see </w:t>
            </w:r>
            <w:proofErr w:type="spellStart"/>
            <w:r w:rsidRPr="00146987">
              <w:t>M21</w:t>
            </w:r>
            <w:proofErr w:type="spellEnd"/>
            <w:r w:rsidRPr="00146987">
              <w:t xml:space="preserve">-1, Part IV, </w:t>
            </w:r>
            <w:r w:rsidRPr="008076A0">
              <w:t xml:space="preserve">Subpart ii, </w:t>
            </w:r>
            <w:proofErr w:type="spellStart"/>
            <w:r w:rsidRPr="008076A0">
              <w:t>1.B.</w:t>
            </w:r>
            <w:r w:rsidR="00146987" w:rsidRPr="008076A0">
              <w:t>2</w:t>
            </w:r>
            <w:r w:rsidRPr="008076A0">
              <w:t>.d</w:t>
            </w:r>
            <w:proofErr w:type="spellEnd"/>
          </w:p>
          <w:p w:rsidR="00B51882" w:rsidRPr="008076A0" w:rsidRDefault="00B51882" w:rsidP="00761BDB">
            <w:pPr>
              <w:pStyle w:val="ListParagraph"/>
              <w:numPr>
                <w:ilvl w:val="0"/>
                <w:numId w:val="27"/>
              </w:numPr>
              <w:ind w:left="158" w:hanging="187"/>
            </w:pPr>
            <w:r w:rsidRPr="008076A0">
              <w:t xml:space="preserve">environmental hazards, see </w:t>
            </w:r>
            <w:proofErr w:type="spellStart"/>
            <w:r w:rsidRPr="008076A0">
              <w:t>M21</w:t>
            </w:r>
            <w:proofErr w:type="spellEnd"/>
            <w:r w:rsidRPr="008076A0">
              <w:t xml:space="preserve">-1, Part IV, Subpart ii, </w:t>
            </w:r>
            <w:proofErr w:type="spellStart"/>
            <w:r w:rsidRPr="008076A0">
              <w:t>1.E.1</w:t>
            </w:r>
            <w:r w:rsidR="00146987" w:rsidRPr="008076A0">
              <w:t>.a</w:t>
            </w:r>
            <w:proofErr w:type="spellEnd"/>
          </w:p>
          <w:p w:rsidR="00B51882" w:rsidRPr="008076A0" w:rsidRDefault="00B51882" w:rsidP="00761BDB">
            <w:pPr>
              <w:pStyle w:val="ListParagraph"/>
              <w:numPr>
                <w:ilvl w:val="0"/>
                <w:numId w:val="28"/>
              </w:numPr>
              <w:ind w:left="158" w:hanging="187"/>
            </w:pPr>
            <w:r w:rsidRPr="008076A0">
              <w:t xml:space="preserve">mustard gas or Lewisite, see </w:t>
            </w:r>
            <w:proofErr w:type="spellStart"/>
            <w:r w:rsidRPr="008076A0">
              <w:t>M21</w:t>
            </w:r>
            <w:proofErr w:type="spellEnd"/>
            <w:r w:rsidRPr="008076A0">
              <w:t xml:space="preserve">-1, Part IV, Subpart ii, </w:t>
            </w:r>
            <w:proofErr w:type="spellStart"/>
            <w:r w:rsidRPr="008076A0">
              <w:t>1.F.</w:t>
            </w:r>
            <w:r w:rsidR="00146987" w:rsidRPr="008076A0">
              <w:t>1.e</w:t>
            </w:r>
            <w:proofErr w:type="spellEnd"/>
          </w:p>
          <w:p w:rsidR="00B51882" w:rsidRPr="008076A0" w:rsidRDefault="00B51882" w:rsidP="00761BDB">
            <w:pPr>
              <w:pStyle w:val="ListParagraph"/>
              <w:numPr>
                <w:ilvl w:val="0"/>
                <w:numId w:val="29"/>
              </w:numPr>
              <w:ind w:left="158" w:hanging="187"/>
            </w:pPr>
            <w:r w:rsidRPr="008076A0">
              <w:t xml:space="preserve">herbicide agents, see </w:t>
            </w:r>
            <w:proofErr w:type="spellStart"/>
            <w:r w:rsidRPr="008076A0">
              <w:t>M21</w:t>
            </w:r>
            <w:proofErr w:type="spellEnd"/>
            <w:r w:rsidRPr="008076A0">
              <w:t xml:space="preserve">-1, Part IV, Subpart ii, </w:t>
            </w:r>
            <w:proofErr w:type="spellStart"/>
            <w:r w:rsidRPr="008076A0">
              <w:t>1.H.</w:t>
            </w:r>
            <w:r w:rsidR="00146987" w:rsidRPr="008076A0">
              <w:t>1.h</w:t>
            </w:r>
            <w:proofErr w:type="spellEnd"/>
            <w:r w:rsidRPr="008076A0">
              <w:t>, and</w:t>
            </w:r>
          </w:p>
          <w:p w:rsidR="00B51882" w:rsidRPr="001F5FD2" w:rsidRDefault="00B51882" w:rsidP="00146987">
            <w:pPr>
              <w:pStyle w:val="ListParagraph"/>
              <w:numPr>
                <w:ilvl w:val="0"/>
                <w:numId w:val="30"/>
              </w:numPr>
              <w:ind w:left="158" w:hanging="187"/>
            </w:pPr>
            <w:proofErr w:type="gramStart"/>
            <w:r w:rsidRPr="008076A0">
              <w:t>asbestos</w:t>
            </w:r>
            <w:proofErr w:type="gramEnd"/>
            <w:r w:rsidRPr="008076A0">
              <w:t xml:space="preserve">, see </w:t>
            </w:r>
            <w:proofErr w:type="spellStart"/>
            <w:r w:rsidRPr="008076A0">
              <w:t>M21</w:t>
            </w:r>
            <w:proofErr w:type="spellEnd"/>
            <w:r w:rsidRPr="008076A0">
              <w:t xml:space="preserve">-1, Part IV, Subpart ii, </w:t>
            </w:r>
            <w:proofErr w:type="spellStart"/>
            <w:r w:rsidRPr="008076A0">
              <w:t>1.</w:t>
            </w:r>
            <w:r w:rsidR="00146987" w:rsidRPr="008076A0">
              <w:t>I.3.b</w:t>
            </w:r>
            <w:proofErr w:type="spellEnd"/>
            <w:r w:rsidRPr="008076A0">
              <w:rPr>
                <w:rStyle w:val="Hyperlink"/>
                <w:u w:val="none"/>
              </w:rPr>
              <w:t>.</w:t>
            </w:r>
          </w:p>
        </w:tc>
      </w:tr>
    </w:tbl>
    <w:p w:rsidR="001A5598" w:rsidRPr="001F5FD2" w:rsidRDefault="001A559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A5598" w:rsidRPr="001F5FD2" w:rsidTr="00761BDB">
        <w:tc>
          <w:tcPr>
            <w:tcW w:w="1728" w:type="dxa"/>
            <w:shd w:val="clear" w:color="auto" w:fill="auto"/>
          </w:tcPr>
          <w:p w:rsidR="001A5598" w:rsidRPr="001F5FD2" w:rsidRDefault="001A5598" w:rsidP="001A5598">
            <w:pPr>
              <w:rPr>
                <w:b/>
                <w:sz w:val="22"/>
              </w:rPr>
            </w:pPr>
            <w:r w:rsidRPr="001F5FD2">
              <w:rPr>
                <w:b/>
                <w:sz w:val="22"/>
              </w:rPr>
              <w:t>d.  Abnormal Lab</w:t>
            </w:r>
            <w:r w:rsidR="00D86F58" w:rsidRPr="001F5FD2">
              <w:rPr>
                <w:b/>
                <w:sz w:val="22"/>
              </w:rPr>
              <w:t>oratory</w:t>
            </w:r>
            <w:r w:rsidRPr="001F5FD2">
              <w:rPr>
                <w:b/>
                <w:sz w:val="22"/>
              </w:rPr>
              <w:t xml:space="preserve"> Findings Discovered in STRs Without a Claim</w:t>
            </w:r>
          </w:p>
        </w:tc>
        <w:tc>
          <w:tcPr>
            <w:tcW w:w="7740" w:type="dxa"/>
            <w:shd w:val="clear" w:color="auto" w:fill="auto"/>
          </w:tcPr>
          <w:p w:rsidR="001A5598" w:rsidRPr="001F5FD2" w:rsidRDefault="001A5598" w:rsidP="00761BDB">
            <w:pPr>
              <w:pStyle w:val="BulletText1"/>
              <w:numPr>
                <w:ilvl w:val="0"/>
                <w:numId w:val="0"/>
              </w:numPr>
            </w:pPr>
            <w:r w:rsidRPr="001F5FD2">
              <w:t>Do not solicit a claim based merely on abnormal lab</w:t>
            </w:r>
            <w:r w:rsidR="00D86F58" w:rsidRPr="001F5FD2">
              <w:t>oratory</w:t>
            </w:r>
            <w:r w:rsidRPr="001F5FD2">
              <w:t xml:space="preserve"> </w:t>
            </w:r>
            <w:r w:rsidR="00B17C09" w:rsidRPr="001F5FD2">
              <w:t>findings</w:t>
            </w:r>
            <w:r w:rsidRPr="001F5FD2">
              <w:t xml:space="preserve"> discovered in the STRs.</w:t>
            </w:r>
          </w:p>
          <w:p w:rsidR="001A5598" w:rsidRPr="001F5FD2" w:rsidRDefault="001A5598" w:rsidP="00761BDB">
            <w:pPr>
              <w:pStyle w:val="BulletText1"/>
              <w:numPr>
                <w:ilvl w:val="0"/>
                <w:numId w:val="0"/>
              </w:numPr>
            </w:pPr>
          </w:p>
          <w:p w:rsidR="001A5598" w:rsidRPr="001F5FD2" w:rsidRDefault="001A5598" w:rsidP="00761BDB">
            <w:pPr>
              <w:pStyle w:val="BulletText1"/>
              <w:numPr>
                <w:ilvl w:val="0"/>
                <w:numId w:val="0"/>
              </w:numPr>
            </w:pPr>
            <w:r w:rsidRPr="001F5FD2">
              <w:t xml:space="preserve">Abnormal laboratory findings, even if diagnosed, are </w:t>
            </w:r>
            <w:r w:rsidRPr="001F5FD2">
              <w:rPr>
                <w:i/>
              </w:rPr>
              <w:t>not</w:t>
            </w:r>
            <w:r w:rsidRPr="001F5FD2">
              <w:t xml:space="preserve"> themselves disabilities for </w:t>
            </w:r>
            <w:r w:rsidR="00FD2AAE" w:rsidRPr="001F5FD2">
              <w:t>Department of Veterans Affairs (</w:t>
            </w:r>
            <w:r w:rsidRPr="001F5FD2">
              <w:t>VA</w:t>
            </w:r>
            <w:r w:rsidR="00FD2AAE" w:rsidRPr="001F5FD2">
              <w:t>)</w:t>
            </w:r>
            <w:r w:rsidRPr="001F5FD2">
              <w:t xml:space="preserve"> purposes.  Such findings include, but are not limited to,</w:t>
            </w:r>
          </w:p>
          <w:p w:rsidR="00254107" w:rsidRPr="001F5FD2" w:rsidRDefault="00254107" w:rsidP="00761BDB">
            <w:pPr>
              <w:pStyle w:val="BulletText1"/>
              <w:numPr>
                <w:ilvl w:val="0"/>
                <w:numId w:val="0"/>
              </w:numPr>
            </w:pPr>
          </w:p>
          <w:p w:rsidR="001A5598" w:rsidRPr="001F5FD2" w:rsidRDefault="001A5598" w:rsidP="00761BDB">
            <w:pPr>
              <w:pStyle w:val="ListParagraph"/>
              <w:numPr>
                <w:ilvl w:val="0"/>
                <w:numId w:val="31"/>
              </w:numPr>
              <w:ind w:left="158" w:hanging="187"/>
            </w:pPr>
            <w:r w:rsidRPr="001F5FD2">
              <w:t>elevated blood sugar</w:t>
            </w:r>
          </w:p>
          <w:p w:rsidR="001A5598" w:rsidRPr="001F5FD2" w:rsidRDefault="001A5598" w:rsidP="00761BDB">
            <w:pPr>
              <w:pStyle w:val="ListParagraph"/>
              <w:numPr>
                <w:ilvl w:val="0"/>
                <w:numId w:val="31"/>
              </w:numPr>
              <w:ind w:left="158" w:hanging="187"/>
            </w:pPr>
            <w:r w:rsidRPr="001F5FD2">
              <w:t>hyperlipidemia</w:t>
            </w:r>
          </w:p>
          <w:p w:rsidR="001A5598" w:rsidRPr="001F5FD2" w:rsidRDefault="001A5598" w:rsidP="00761BDB">
            <w:pPr>
              <w:pStyle w:val="ListParagraph"/>
              <w:numPr>
                <w:ilvl w:val="0"/>
                <w:numId w:val="31"/>
              </w:numPr>
              <w:ind w:left="158" w:hanging="187"/>
            </w:pPr>
            <w:r w:rsidRPr="001F5FD2">
              <w:t>elevated triglycerides, or</w:t>
            </w:r>
          </w:p>
          <w:p w:rsidR="001A5598" w:rsidRPr="001F5FD2" w:rsidRDefault="001A5598" w:rsidP="00761BDB">
            <w:pPr>
              <w:pStyle w:val="ListParagraph"/>
              <w:numPr>
                <w:ilvl w:val="0"/>
                <w:numId w:val="31"/>
              </w:numPr>
              <w:ind w:left="158" w:hanging="187"/>
            </w:pPr>
            <w:r w:rsidRPr="001F5FD2">
              <w:t>elevated cholesterol</w:t>
            </w:r>
            <w:r w:rsidR="00254107" w:rsidRPr="001F5FD2">
              <w:t>.</w:t>
            </w:r>
          </w:p>
          <w:p w:rsidR="00EE7E88" w:rsidRPr="001F5FD2" w:rsidRDefault="00EE7E88" w:rsidP="00761BDB">
            <w:pPr>
              <w:pStyle w:val="BulletText1"/>
              <w:numPr>
                <w:ilvl w:val="0"/>
                <w:numId w:val="0"/>
              </w:numPr>
            </w:pPr>
          </w:p>
          <w:p w:rsidR="001A5598" w:rsidRPr="001F5FD2" w:rsidRDefault="001A5598" w:rsidP="00761BDB">
            <w:pPr>
              <w:pStyle w:val="BulletText1"/>
              <w:numPr>
                <w:ilvl w:val="0"/>
                <w:numId w:val="0"/>
              </w:numPr>
            </w:pPr>
            <w:r w:rsidRPr="001F5FD2">
              <w:t>Clarification may be necessary when there is a claim for a benef</w:t>
            </w:r>
            <w:r w:rsidR="00EE7E88" w:rsidRPr="001F5FD2">
              <w:t xml:space="preserve">it </w:t>
            </w:r>
            <w:r w:rsidR="001722B0" w:rsidRPr="001F5FD2">
              <w:t>ba</w:t>
            </w:r>
            <w:r w:rsidR="00EE7E88" w:rsidRPr="001F5FD2">
              <w:t>sed upon lab</w:t>
            </w:r>
            <w:r w:rsidR="00D86F58" w:rsidRPr="001F5FD2">
              <w:t>oratory</w:t>
            </w:r>
            <w:r w:rsidR="00EE7E88" w:rsidRPr="001F5FD2">
              <w:t xml:space="preserve"> findings.</w:t>
            </w:r>
          </w:p>
          <w:p w:rsidR="00EE7E88" w:rsidRPr="001F5FD2" w:rsidRDefault="00EE7E88" w:rsidP="00761BDB">
            <w:pPr>
              <w:pStyle w:val="BulletText1"/>
              <w:numPr>
                <w:ilvl w:val="0"/>
                <w:numId w:val="0"/>
              </w:numPr>
            </w:pPr>
          </w:p>
          <w:p w:rsidR="001A5598" w:rsidRPr="001F5FD2" w:rsidRDefault="00EE7E88" w:rsidP="00761BDB">
            <w:pPr>
              <w:pStyle w:val="BulletText1"/>
              <w:numPr>
                <w:ilvl w:val="0"/>
                <w:numId w:val="0"/>
              </w:numPr>
              <w:rPr>
                <w:bCs/>
                <w:iCs/>
              </w:rPr>
            </w:pPr>
            <w:r w:rsidRPr="001F5FD2">
              <w:rPr>
                <w:b/>
                <w:i/>
              </w:rPr>
              <w:t>Example</w:t>
            </w:r>
            <w:r w:rsidRPr="001F5FD2">
              <w:t xml:space="preserve">:  A claim for </w:t>
            </w:r>
            <w:r w:rsidR="009938CB" w:rsidRPr="001F5FD2">
              <w:t>SC</w:t>
            </w:r>
            <w:r w:rsidRPr="001F5FD2">
              <w:t xml:space="preserve"> for “blood sugar” or “high blood sugar” may have been intended as a claim for diabetes.  Development could substantiate that elevated blood sugar readings in service represented the onset of diabetes first diagnosed after service or that diabetes may have been diagnosed in a presumptive period.</w:t>
            </w:r>
          </w:p>
        </w:tc>
      </w:tr>
    </w:tbl>
    <w:p w:rsidR="00FD5FDB" w:rsidRPr="001F5FD2" w:rsidRDefault="00FD5FD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D5FDB" w:rsidRPr="001F5FD2" w:rsidTr="00761BDB">
        <w:tc>
          <w:tcPr>
            <w:tcW w:w="1728" w:type="dxa"/>
            <w:shd w:val="clear" w:color="auto" w:fill="auto"/>
          </w:tcPr>
          <w:p w:rsidR="00FD5FDB" w:rsidRPr="001F5FD2" w:rsidRDefault="00FD5FDB" w:rsidP="00FD5FDB">
            <w:pPr>
              <w:rPr>
                <w:b/>
                <w:sz w:val="22"/>
              </w:rPr>
            </w:pPr>
            <w:r w:rsidRPr="001F5FD2">
              <w:rPr>
                <w:b/>
                <w:sz w:val="22"/>
              </w:rPr>
              <w:t>e.  Fractures Discovered in STRs Without a Claim</w:t>
            </w:r>
          </w:p>
        </w:tc>
        <w:tc>
          <w:tcPr>
            <w:tcW w:w="7740" w:type="dxa"/>
            <w:shd w:val="clear" w:color="auto" w:fill="auto"/>
          </w:tcPr>
          <w:p w:rsidR="00A7411A" w:rsidRPr="001F5FD2" w:rsidRDefault="00547832" w:rsidP="00FD5FDB">
            <w:pPr>
              <w:pStyle w:val="BlockText"/>
              <w:rPr>
                <w:bCs/>
                <w:iCs/>
              </w:rPr>
            </w:pPr>
            <w:r w:rsidRPr="001F5FD2">
              <w:rPr>
                <w:bCs/>
                <w:iCs/>
              </w:rPr>
              <w:t>Fractures</w:t>
            </w:r>
            <w:r w:rsidR="00FD5FDB" w:rsidRPr="001F5FD2">
              <w:rPr>
                <w:bCs/>
                <w:iCs/>
              </w:rPr>
              <w:t xml:space="preserve"> constitute a chronic disability for the purposes of soliciting a claim</w:t>
            </w:r>
            <w:r w:rsidR="00A7411A" w:rsidRPr="001F5FD2">
              <w:rPr>
                <w:bCs/>
                <w:iCs/>
              </w:rPr>
              <w:t>.</w:t>
            </w:r>
            <w:r w:rsidR="00925658" w:rsidRPr="001F5FD2">
              <w:rPr>
                <w:bCs/>
                <w:iCs/>
              </w:rPr>
              <w:t xml:space="preserve">  </w:t>
            </w:r>
          </w:p>
          <w:p w:rsidR="00A7411A" w:rsidRPr="001F5FD2" w:rsidRDefault="00A7411A" w:rsidP="00FD5FDB">
            <w:pPr>
              <w:pStyle w:val="BlockText"/>
              <w:rPr>
                <w:bCs/>
                <w:iCs/>
              </w:rPr>
            </w:pPr>
          </w:p>
          <w:p w:rsidR="00A7411A" w:rsidRPr="001F5FD2" w:rsidRDefault="00A7411A" w:rsidP="00A7411A">
            <w:pPr>
              <w:pStyle w:val="BlockText"/>
            </w:pPr>
            <w:r w:rsidRPr="001F5FD2">
              <w:rPr>
                <w:bCs/>
                <w:iCs/>
              </w:rPr>
              <w:t xml:space="preserve">If </w:t>
            </w:r>
            <w:r w:rsidRPr="001F5FD2">
              <w:t>the Veteran has not claimed a fracture and STRs contain an x-ray or other objective evidence of a fracture in service, send the Veteran a letter to invite the claim.</w:t>
            </w:r>
          </w:p>
          <w:p w:rsidR="00FD5FDB" w:rsidRPr="001F5FD2" w:rsidRDefault="00FD5FDB" w:rsidP="00FD5FDB">
            <w:pPr>
              <w:pStyle w:val="BlockText"/>
              <w:rPr>
                <w:bCs/>
                <w:iCs/>
              </w:rPr>
            </w:pPr>
          </w:p>
          <w:p w:rsidR="00FD5FDB" w:rsidRPr="001F5FD2" w:rsidRDefault="00FD5FDB" w:rsidP="00A7411A"/>
          <w:p w:rsidR="00FD5FDB" w:rsidRPr="001F5FD2" w:rsidRDefault="00FD5FDB" w:rsidP="00FD5FDB">
            <w:r w:rsidRPr="001F5FD2">
              <w:rPr>
                <w:b/>
                <w:i/>
              </w:rPr>
              <w:t>Reference</w:t>
            </w:r>
            <w:r w:rsidRPr="001F5FD2">
              <w:t xml:space="preserve">:  For more information on </w:t>
            </w:r>
            <w:r w:rsidR="009938CB" w:rsidRPr="001F5FD2">
              <w:t>SC</w:t>
            </w:r>
            <w:r w:rsidRPr="001F5FD2">
              <w:t xml:space="preserve"> for fractures documented in service, see M21-1, Part III, Subpart iv, 4.A.12.a.</w:t>
            </w:r>
          </w:p>
        </w:tc>
      </w:tr>
    </w:tbl>
    <w:p w:rsidR="006B340B" w:rsidRPr="001F5FD2" w:rsidRDefault="006B340B">
      <w:pPr>
        <w:pStyle w:val="BlockLine"/>
      </w:pPr>
    </w:p>
    <w:tbl>
      <w:tblPr>
        <w:tblW w:w="0" w:type="auto"/>
        <w:tblLayout w:type="fixed"/>
        <w:tblLook w:val="0000" w:firstRow="0" w:lastRow="0" w:firstColumn="0" w:lastColumn="0" w:noHBand="0" w:noVBand="0"/>
      </w:tblPr>
      <w:tblGrid>
        <w:gridCol w:w="1728"/>
        <w:gridCol w:w="7740"/>
      </w:tblGrid>
      <w:tr w:rsidR="006B340B" w:rsidRPr="001F5FD2" w:rsidTr="00EF4609">
        <w:tc>
          <w:tcPr>
            <w:tcW w:w="1728" w:type="dxa"/>
          </w:tcPr>
          <w:p w:rsidR="006B340B" w:rsidRPr="001F5FD2" w:rsidRDefault="00761BDB">
            <w:pPr>
              <w:pStyle w:val="Heading5"/>
            </w:pPr>
            <w:bookmarkStart w:id="3" w:name="_b.__Soliciting"/>
            <w:bookmarkEnd w:id="3"/>
            <w:proofErr w:type="gramStart"/>
            <w:r w:rsidRPr="001F5FD2">
              <w:t>f</w:t>
            </w:r>
            <w:r w:rsidR="006B340B" w:rsidRPr="001F5FD2">
              <w:t>.  Soliciting</w:t>
            </w:r>
            <w:proofErr w:type="gramEnd"/>
            <w:r w:rsidR="006B340B" w:rsidRPr="001F5FD2">
              <w:t xml:space="preserve"> a Claim for </w:t>
            </w:r>
            <w:r w:rsidR="00A7411A" w:rsidRPr="001F5FD2">
              <w:t xml:space="preserve">a </w:t>
            </w:r>
            <w:r w:rsidR="006B340B" w:rsidRPr="001F5FD2">
              <w:t>Chronic, Unclaimed Disabilit</w:t>
            </w:r>
            <w:r w:rsidR="00B17C09" w:rsidRPr="001F5FD2">
              <w:t>y</w:t>
            </w:r>
            <w:r w:rsidR="006B340B" w:rsidRPr="001F5FD2">
              <w:t xml:space="preserve"> </w:t>
            </w:r>
          </w:p>
        </w:tc>
        <w:tc>
          <w:tcPr>
            <w:tcW w:w="7740" w:type="dxa"/>
          </w:tcPr>
          <w:p w:rsidR="006B340B" w:rsidRPr="001F5FD2" w:rsidRDefault="006B340B">
            <w:pPr>
              <w:pStyle w:val="BlockText"/>
            </w:pPr>
            <w:r w:rsidRPr="001F5FD2">
              <w:t xml:space="preserve">When soliciting a claim for </w:t>
            </w:r>
            <w:r w:rsidR="00FD5FDB" w:rsidRPr="001F5FD2">
              <w:t>SC</w:t>
            </w:r>
            <w:r w:rsidRPr="001F5FD2">
              <w:t xml:space="preserve"> for a chronic, unclaimed disability</w:t>
            </w:r>
          </w:p>
          <w:p w:rsidR="006B340B" w:rsidRPr="001F5FD2" w:rsidRDefault="006B340B">
            <w:pPr>
              <w:pStyle w:val="BlockText"/>
            </w:pPr>
          </w:p>
          <w:p w:rsidR="006B340B" w:rsidRPr="001F5FD2" w:rsidRDefault="006B340B">
            <w:pPr>
              <w:pStyle w:val="BulletText1"/>
            </w:pPr>
            <w:r w:rsidRPr="001F5FD2">
              <w:t xml:space="preserve">send a letter to the Veteran and his/her representative, if applicable, </w:t>
            </w:r>
            <w:r w:rsidR="00163608" w:rsidRPr="001F5FD2">
              <w:t xml:space="preserve">instructing them to submit a </w:t>
            </w:r>
            <w:r w:rsidR="00163608" w:rsidRPr="001F5FD2">
              <w:rPr>
                <w:i/>
              </w:rPr>
              <w:t>VA Form 21-526EZ</w:t>
            </w:r>
            <w:r w:rsidR="00EC5CF6" w:rsidRPr="001F5FD2">
              <w:t xml:space="preserve">, </w:t>
            </w:r>
            <w:r w:rsidR="00EC5CF6" w:rsidRPr="001F5FD2">
              <w:rPr>
                <w:i/>
                <w:iCs/>
              </w:rPr>
              <w:t>Application For Disability Compensation And Related Compensation Benefits,</w:t>
            </w:r>
            <w:r w:rsidR="00163608" w:rsidRPr="001F5FD2">
              <w:t xml:space="preserve"> if they would like to file a claim for the identified condition(s), </w:t>
            </w:r>
            <w:r w:rsidRPr="001F5FD2">
              <w:t>and</w:t>
            </w:r>
          </w:p>
          <w:p w:rsidR="006B340B" w:rsidRPr="001F5FD2" w:rsidRDefault="00163608">
            <w:pPr>
              <w:pStyle w:val="BulletText1"/>
            </w:pPr>
            <w:r w:rsidRPr="001F5FD2">
              <w:t>provide the Veteran and his/her representative, if applicable, information regarding how to obtain the appropriate form for claim submission</w:t>
            </w:r>
            <w:r w:rsidR="006B340B" w:rsidRPr="001F5FD2">
              <w:t>.</w:t>
            </w:r>
          </w:p>
          <w:p w:rsidR="006B340B" w:rsidRPr="001F5FD2" w:rsidRDefault="006B340B">
            <w:pPr>
              <w:pStyle w:val="BlockText"/>
            </w:pPr>
          </w:p>
          <w:p w:rsidR="00163608" w:rsidRPr="001F5FD2" w:rsidRDefault="006B340B" w:rsidP="00F43C68">
            <w:pPr>
              <w:pStyle w:val="BlockText"/>
            </w:pPr>
            <w:r w:rsidRPr="001F5FD2">
              <w:t>Include the following language in the letter:</w:t>
            </w:r>
          </w:p>
          <w:p w:rsidR="00163608" w:rsidRPr="001F5FD2" w:rsidRDefault="00163608" w:rsidP="00F43C68">
            <w:pPr>
              <w:pStyle w:val="BlockText"/>
              <w:rPr>
                <w:iCs/>
              </w:rPr>
            </w:pPr>
          </w:p>
          <w:p w:rsidR="00F43C68" w:rsidRPr="001F5FD2" w:rsidRDefault="001D7504" w:rsidP="00761BDB">
            <w:pPr>
              <w:ind w:left="720"/>
              <w:rPr>
                <w:i/>
              </w:rPr>
            </w:pPr>
            <w:r w:rsidRPr="001F5FD2">
              <w:rPr>
                <w:i/>
              </w:rPr>
              <w:t>“</w:t>
            </w:r>
            <w:r w:rsidR="00163608" w:rsidRPr="001F5FD2">
              <w:rPr>
                <w:i/>
              </w:rPr>
              <w:t>We have reviewed your records and they suggest you may be enti</w:t>
            </w:r>
            <w:r w:rsidR="00B45CAD" w:rsidRPr="001F5FD2">
              <w:rPr>
                <w:i/>
              </w:rPr>
              <w:t xml:space="preserve">tled to an additional benefit.  </w:t>
            </w:r>
            <w:r w:rsidR="00163608" w:rsidRPr="001F5FD2">
              <w:rPr>
                <w:i/>
              </w:rPr>
              <w:t>If you want to file a claim for</w:t>
            </w:r>
            <w:r w:rsidR="00163608" w:rsidRPr="001F5FD2">
              <w:rPr>
                <w:i/>
                <w:iCs/>
              </w:rPr>
              <w:t xml:space="preserve"> </w:t>
            </w:r>
            <w:r w:rsidR="00163608" w:rsidRPr="001F5FD2">
              <w:rPr>
                <w:i/>
                <w:color w:val="auto"/>
              </w:rPr>
              <w:t xml:space="preserve">[insert chronic disability] </w:t>
            </w:r>
            <w:r w:rsidR="00163608" w:rsidRPr="001F5FD2">
              <w:rPr>
                <w:i/>
              </w:rPr>
              <w:t xml:space="preserve">please submit a completed VA Form 21-526EZ, </w:t>
            </w:r>
            <w:r w:rsidR="00163608" w:rsidRPr="001F5FD2">
              <w:rPr>
                <w:i/>
                <w:iCs/>
              </w:rPr>
              <w:t xml:space="preserve">Application For Disability Compensation And Related Compensation Benefits, </w:t>
            </w:r>
            <w:r w:rsidR="00163608" w:rsidRPr="001F5FD2">
              <w:rPr>
                <w:i/>
              </w:rPr>
              <w:t xml:space="preserve">to the appropriate address listed on the attached </w:t>
            </w:r>
            <w:r w:rsidR="00163608" w:rsidRPr="001F5FD2">
              <w:rPr>
                <w:i/>
                <w:iCs/>
              </w:rPr>
              <w:t xml:space="preserve">Where to Send Your Written Correspondence </w:t>
            </w:r>
            <w:r w:rsidR="00163608" w:rsidRPr="001F5FD2">
              <w:rPr>
                <w:i/>
              </w:rPr>
              <w:t>chart</w:t>
            </w:r>
            <w:r w:rsidR="003D62C1" w:rsidRPr="001F5FD2">
              <w:rPr>
                <w:i/>
              </w:rPr>
              <w:t xml:space="preserve">.  </w:t>
            </w:r>
            <w:r w:rsidR="00163608" w:rsidRPr="001F5FD2">
              <w:rPr>
                <w:i/>
              </w:rPr>
              <w:t xml:space="preserve">You can download the form at </w:t>
            </w:r>
            <w:hyperlink r:id="rId17" w:history="1">
              <w:r w:rsidR="00163608" w:rsidRPr="001F5FD2">
                <w:rPr>
                  <w:rStyle w:val="Hyperlink"/>
                  <w:i/>
                </w:rPr>
                <w:t>http://www.va.gov/vaforms</w:t>
              </w:r>
            </w:hyperlink>
            <w:r w:rsidR="00163608" w:rsidRPr="001F5FD2">
              <w:rPr>
                <w:i/>
              </w:rPr>
              <w:t xml:space="preserve"> or you can call us at 1-800-827-1000. We recommend you return the form as soon as you can, in order to ensure the earliest possible payment date, if an award is authorized.</w:t>
            </w:r>
            <w:r w:rsidRPr="001F5FD2">
              <w:rPr>
                <w:i/>
              </w:rPr>
              <w:t>”</w:t>
            </w:r>
          </w:p>
          <w:p w:rsidR="00BF40EC" w:rsidRPr="001F5FD2" w:rsidRDefault="00BF40EC">
            <w:pPr>
              <w:pStyle w:val="BlockText"/>
              <w:rPr>
                <w:b/>
                <w:bCs/>
                <w:i/>
                <w:iCs/>
              </w:rPr>
            </w:pPr>
          </w:p>
          <w:p w:rsidR="006B340B" w:rsidRPr="001F5FD2" w:rsidRDefault="006B340B">
            <w:pPr>
              <w:pStyle w:val="BlockText"/>
              <w:rPr>
                <w:i/>
                <w:iCs/>
              </w:rPr>
            </w:pPr>
            <w:r w:rsidRPr="001F5FD2">
              <w:rPr>
                <w:b/>
                <w:bCs/>
                <w:i/>
                <w:iCs/>
              </w:rPr>
              <w:t>Notes</w:t>
            </w:r>
            <w:r w:rsidRPr="001F5FD2">
              <w:t>:</w:t>
            </w:r>
            <w:r w:rsidRPr="001F5FD2">
              <w:rPr>
                <w:i/>
                <w:iCs/>
              </w:rPr>
              <w:t xml:space="preserve">  </w:t>
            </w:r>
          </w:p>
          <w:p w:rsidR="006B340B" w:rsidRPr="001F5FD2" w:rsidRDefault="006B340B">
            <w:pPr>
              <w:pStyle w:val="BulletText1"/>
              <w:rPr>
                <w:i/>
                <w:iCs/>
                <w:szCs w:val="24"/>
              </w:rPr>
            </w:pPr>
            <w:r w:rsidRPr="001F5FD2">
              <w:t xml:space="preserve">Do not establish </w:t>
            </w:r>
            <w:r w:rsidR="00EC5CF6" w:rsidRPr="001F5FD2">
              <w:t>end product (</w:t>
            </w:r>
            <w:r w:rsidRPr="001F5FD2">
              <w:t>EP</w:t>
            </w:r>
            <w:r w:rsidR="00EC5CF6" w:rsidRPr="001F5FD2">
              <w:t>)</w:t>
            </w:r>
            <w:r w:rsidRPr="001F5FD2">
              <w:t xml:space="preserve"> control or initiate development or duty-to-notify/assist procedures until the Veteran responds affirmatively to the letter.</w:t>
            </w:r>
          </w:p>
          <w:p w:rsidR="004630F6" w:rsidRPr="001F5FD2" w:rsidRDefault="006B340B" w:rsidP="00FD5FDB">
            <w:pPr>
              <w:pStyle w:val="BulletText1"/>
            </w:pPr>
            <w:r w:rsidRPr="001F5FD2">
              <w:t>When the Veteran responds affirmatively, the date of claim of the EP is the date the re</w:t>
            </w:r>
            <w:r w:rsidR="00EF4609" w:rsidRPr="001F5FD2">
              <w:t>gional office (RO) received the</w:t>
            </w:r>
            <w:r w:rsidR="004B1E3D" w:rsidRPr="001F5FD2">
              <w:t xml:space="preserve"> claim</w:t>
            </w:r>
            <w:r w:rsidRPr="001F5FD2">
              <w:t>.</w:t>
            </w:r>
          </w:p>
        </w:tc>
      </w:tr>
    </w:tbl>
    <w:p w:rsidR="006B340B" w:rsidRPr="001F5FD2" w:rsidRDefault="006B340B">
      <w:pPr>
        <w:pStyle w:val="BlockLine"/>
      </w:pPr>
      <w:bookmarkStart w:id="4" w:name="_c.__Initial"/>
      <w:bookmarkStart w:id="5" w:name="_d.__Action"/>
      <w:bookmarkStart w:id="6" w:name="_e.__Notification"/>
      <w:bookmarkEnd w:id="4"/>
      <w:bookmarkEnd w:id="5"/>
      <w:bookmarkEnd w:id="6"/>
      <w:r w:rsidRPr="001F5FD2">
        <w:t xml:space="preserve"> </w:t>
      </w:r>
    </w:p>
    <w:tbl>
      <w:tblPr>
        <w:tblW w:w="0" w:type="auto"/>
        <w:tblLayout w:type="fixed"/>
        <w:tblLook w:val="0000" w:firstRow="0" w:lastRow="0" w:firstColumn="0" w:lastColumn="0" w:noHBand="0" w:noVBand="0"/>
      </w:tblPr>
      <w:tblGrid>
        <w:gridCol w:w="1728"/>
        <w:gridCol w:w="7740"/>
      </w:tblGrid>
      <w:tr w:rsidR="006B340B" w:rsidRPr="001F5FD2" w:rsidTr="00534C23">
        <w:trPr>
          <w:trHeight w:val="1233"/>
        </w:trPr>
        <w:tc>
          <w:tcPr>
            <w:tcW w:w="1728" w:type="dxa"/>
          </w:tcPr>
          <w:p w:rsidR="006B340B" w:rsidRPr="001F5FD2" w:rsidRDefault="00EA334C">
            <w:pPr>
              <w:pStyle w:val="Heading5"/>
            </w:pPr>
            <w:bookmarkStart w:id="7" w:name="_f.__References"/>
            <w:bookmarkEnd w:id="7"/>
            <w:proofErr w:type="gramStart"/>
            <w:r w:rsidRPr="001F5FD2">
              <w:t>g</w:t>
            </w:r>
            <w:r w:rsidR="006B340B" w:rsidRPr="001F5FD2">
              <w:t>.  References</w:t>
            </w:r>
            <w:proofErr w:type="gramEnd"/>
            <w:r w:rsidR="006B340B" w:rsidRPr="001F5FD2">
              <w:t xml:space="preserve"> Concerning the Selection of Effective Dates</w:t>
            </w:r>
          </w:p>
        </w:tc>
        <w:tc>
          <w:tcPr>
            <w:tcW w:w="7740" w:type="dxa"/>
          </w:tcPr>
          <w:p w:rsidR="006B340B" w:rsidRPr="001F5FD2" w:rsidRDefault="006B340B">
            <w:pPr>
              <w:pStyle w:val="BlockText"/>
            </w:pPr>
            <w:r w:rsidRPr="001F5FD2">
              <w:t>For information on the selection of appropriate effective dates when deciding claims for disability compensation, see</w:t>
            </w:r>
          </w:p>
          <w:p w:rsidR="006B340B" w:rsidRPr="001F5FD2" w:rsidRDefault="006B340B">
            <w:pPr>
              <w:pStyle w:val="BlockText"/>
            </w:pPr>
          </w:p>
          <w:p w:rsidR="006B340B" w:rsidRPr="001F5FD2" w:rsidRDefault="00576DD8">
            <w:pPr>
              <w:pStyle w:val="BulletText1"/>
            </w:pPr>
            <w:hyperlink r:id="rId18" w:history="1">
              <w:r w:rsidR="006B340B" w:rsidRPr="001F5FD2">
                <w:rPr>
                  <w:rStyle w:val="Hyperlink"/>
                </w:rPr>
                <w:t>38 U.S.C. 5110</w:t>
              </w:r>
            </w:hyperlink>
          </w:p>
          <w:p w:rsidR="00534C23" w:rsidRPr="001F5FD2" w:rsidRDefault="00576DD8" w:rsidP="00534C23">
            <w:pPr>
              <w:pStyle w:val="BulletText1"/>
            </w:pPr>
            <w:hyperlink r:id="rId19" w:history="1">
              <w:r w:rsidR="006B340B" w:rsidRPr="001F5FD2">
                <w:rPr>
                  <w:rStyle w:val="Hyperlink"/>
                </w:rPr>
                <w:t>38 CFR 3.156(c)(3)</w:t>
              </w:r>
            </w:hyperlink>
          </w:p>
          <w:p w:rsidR="006B340B" w:rsidRPr="001F5FD2" w:rsidRDefault="00576DD8">
            <w:pPr>
              <w:pStyle w:val="BulletText1"/>
            </w:pPr>
            <w:hyperlink r:id="rId20" w:history="1">
              <w:r w:rsidR="006B340B" w:rsidRPr="001F5FD2">
                <w:rPr>
                  <w:rStyle w:val="Hyperlink"/>
                </w:rPr>
                <w:t>38 CFR 3.400</w:t>
              </w:r>
            </w:hyperlink>
            <w:r w:rsidR="006B340B" w:rsidRPr="001F5FD2">
              <w:t>, and</w:t>
            </w:r>
          </w:p>
          <w:p w:rsidR="006B340B" w:rsidRPr="001F5FD2" w:rsidRDefault="00576DD8">
            <w:pPr>
              <w:pStyle w:val="BulletText1"/>
            </w:pPr>
            <w:hyperlink r:id="rId21" w:history="1">
              <w:r w:rsidR="006B340B" w:rsidRPr="001F5FD2">
                <w:rPr>
                  <w:rStyle w:val="Hyperlink"/>
                </w:rPr>
                <w:t>38 CFR 3.401</w:t>
              </w:r>
            </w:hyperlink>
            <w:r w:rsidR="006B340B" w:rsidRPr="001F5FD2">
              <w:t>.</w:t>
            </w:r>
          </w:p>
        </w:tc>
      </w:tr>
    </w:tbl>
    <w:p w:rsidR="00C704FD" w:rsidRPr="001F5FD2" w:rsidRDefault="00C704FD" w:rsidP="00C704FD">
      <w:pPr>
        <w:pStyle w:val="BlockLine"/>
      </w:pPr>
    </w:p>
    <w:p w:rsidR="00EA334C" w:rsidRPr="001F5FD2" w:rsidRDefault="00EA334C">
      <w:pPr>
        <w:rPr>
          <w:szCs w:val="20"/>
        </w:rPr>
      </w:pPr>
    </w:p>
    <w:p w:rsidR="009F3065" w:rsidRPr="001F5FD2" w:rsidRDefault="00EA334C" w:rsidP="00AB1F45">
      <w:pPr>
        <w:rPr>
          <w:rFonts w:ascii="Arial" w:hAnsi="Arial" w:cs="Arial"/>
          <w:b/>
          <w:sz w:val="32"/>
          <w:szCs w:val="32"/>
        </w:rPr>
      </w:pPr>
      <w:r w:rsidRPr="001F5FD2">
        <w:rPr>
          <w:rFonts w:ascii="Arial" w:hAnsi="Arial" w:cs="Arial"/>
          <w:b/>
          <w:sz w:val="32"/>
          <w:szCs w:val="32"/>
        </w:rPr>
        <w:t xml:space="preserve">2.  </w:t>
      </w:r>
      <w:r w:rsidR="003D62C1" w:rsidRPr="001F5FD2">
        <w:rPr>
          <w:rFonts w:ascii="Arial" w:hAnsi="Arial" w:cs="Arial"/>
          <w:b/>
          <w:sz w:val="32"/>
          <w:szCs w:val="32"/>
        </w:rPr>
        <w:t>Action</w:t>
      </w:r>
      <w:r w:rsidRPr="001F5FD2">
        <w:rPr>
          <w:rFonts w:ascii="Arial" w:hAnsi="Arial" w:cs="Arial"/>
          <w:b/>
          <w:sz w:val="32"/>
          <w:szCs w:val="32"/>
        </w:rPr>
        <w:t xml:space="preserve"> </w:t>
      </w:r>
      <w:r w:rsidR="009F3065" w:rsidRPr="001F5FD2">
        <w:rPr>
          <w:rFonts w:ascii="Arial" w:hAnsi="Arial" w:cs="Arial"/>
          <w:b/>
          <w:sz w:val="32"/>
          <w:szCs w:val="32"/>
        </w:rPr>
        <w:t>to Take</w:t>
      </w:r>
      <w:r w:rsidRPr="001F5FD2">
        <w:rPr>
          <w:rFonts w:ascii="Arial" w:hAnsi="Arial" w:cs="Arial"/>
          <w:b/>
          <w:sz w:val="32"/>
          <w:szCs w:val="32"/>
        </w:rPr>
        <w:t xml:space="preserve"> </w:t>
      </w:r>
      <w:r w:rsidR="008821EE" w:rsidRPr="001F5FD2">
        <w:rPr>
          <w:rFonts w:ascii="Arial" w:hAnsi="Arial" w:cs="Arial"/>
          <w:b/>
          <w:sz w:val="32"/>
          <w:szCs w:val="32"/>
        </w:rPr>
        <w:t>W</w:t>
      </w:r>
      <w:r w:rsidRPr="001F5FD2">
        <w:rPr>
          <w:rFonts w:ascii="Arial" w:hAnsi="Arial" w:cs="Arial"/>
          <w:b/>
          <w:sz w:val="32"/>
          <w:szCs w:val="32"/>
        </w:rPr>
        <w:t xml:space="preserve">hen </w:t>
      </w:r>
      <w:r w:rsidR="00EC0AC9" w:rsidRPr="001F5FD2">
        <w:rPr>
          <w:rFonts w:ascii="Arial" w:hAnsi="Arial" w:cs="Arial"/>
          <w:b/>
          <w:sz w:val="32"/>
          <w:szCs w:val="32"/>
        </w:rPr>
        <w:t>Unassociated</w:t>
      </w:r>
      <w:r w:rsidRPr="001F5FD2">
        <w:rPr>
          <w:rFonts w:ascii="Arial" w:hAnsi="Arial" w:cs="Arial"/>
          <w:b/>
          <w:sz w:val="32"/>
          <w:szCs w:val="32"/>
        </w:rPr>
        <w:t xml:space="preserve"> </w:t>
      </w:r>
      <w:r w:rsidR="002E5503" w:rsidRPr="001F5FD2">
        <w:rPr>
          <w:rFonts w:ascii="Arial" w:hAnsi="Arial" w:cs="Arial"/>
          <w:b/>
          <w:sz w:val="32"/>
          <w:szCs w:val="32"/>
        </w:rPr>
        <w:t xml:space="preserve">or Supplemental </w:t>
      </w:r>
      <w:r w:rsidRPr="001F5FD2">
        <w:rPr>
          <w:rFonts w:ascii="Arial" w:hAnsi="Arial" w:cs="Arial"/>
          <w:b/>
          <w:sz w:val="32"/>
          <w:szCs w:val="32"/>
        </w:rPr>
        <w:t xml:space="preserve">STRs </w:t>
      </w:r>
      <w:r w:rsidR="00FD2AAE" w:rsidRPr="001F5FD2">
        <w:rPr>
          <w:rFonts w:ascii="Arial" w:hAnsi="Arial" w:cs="Arial"/>
          <w:b/>
          <w:sz w:val="32"/>
          <w:szCs w:val="32"/>
        </w:rPr>
        <w:t>A</w:t>
      </w:r>
      <w:r w:rsidRPr="001F5FD2">
        <w:rPr>
          <w:rFonts w:ascii="Arial" w:hAnsi="Arial" w:cs="Arial"/>
          <w:b/>
          <w:sz w:val="32"/>
          <w:szCs w:val="32"/>
        </w:rPr>
        <w:t>re Received</w:t>
      </w:r>
      <w:r w:rsidR="008821EE" w:rsidRPr="001F5FD2">
        <w:rPr>
          <w:rFonts w:ascii="Arial" w:hAnsi="Arial" w:cs="Arial"/>
          <w:b/>
          <w:sz w:val="32"/>
          <w:szCs w:val="32"/>
        </w:rPr>
        <w:t xml:space="preserve"> F</w:t>
      </w:r>
      <w:r w:rsidR="00EC0AC9" w:rsidRPr="001F5FD2">
        <w:rPr>
          <w:rFonts w:ascii="Arial" w:hAnsi="Arial" w:cs="Arial"/>
          <w:b/>
          <w:sz w:val="32"/>
          <w:szCs w:val="32"/>
        </w:rPr>
        <w:t>rom the Records Management Center (RMC)</w:t>
      </w:r>
    </w:p>
    <w:p w:rsidR="009F3065" w:rsidRPr="001F5FD2" w:rsidRDefault="009F3065" w:rsidP="009F3065">
      <w:pPr>
        <w:tabs>
          <w:tab w:val="left" w:pos="9360"/>
        </w:tabs>
        <w:ind w:left="1714"/>
      </w:pPr>
      <w:r w:rsidRPr="001F5FD2">
        <w:rPr>
          <w:u w:val="single"/>
        </w:rPr>
        <w:tab/>
      </w:r>
    </w:p>
    <w:p w:rsidR="009F3065" w:rsidRPr="001F5FD2" w:rsidRDefault="009F3065" w:rsidP="009F30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F3065" w:rsidRPr="001F5FD2" w:rsidTr="009F3065">
        <w:tc>
          <w:tcPr>
            <w:tcW w:w="1728" w:type="dxa"/>
            <w:shd w:val="clear" w:color="auto" w:fill="auto"/>
          </w:tcPr>
          <w:p w:rsidR="009F3065" w:rsidRPr="001F5FD2" w:rsidRDefault="009F3065" w:rsidP="009F3065">
            <w:pPr>
              <w:rPr>
                <w:b/>
                <w:sz w:val="22"/>
              </w:rPr>
            </w:pPr>
            <w:r w:rsidRPr="001F5FD2">
              <w:rPr>
                <w:b/>
                <w:sz w:val="22"/>
              </w:rPr>
              <w:t>Introduction</w:t>
            </w:r>
          </w:p>
        </w:tc>
        <w:tc>
          <w:tcPr>
            <w:tcW w:w="7740" w:type="dxa"/>
            <w:shd w:val="clear" w:color="auto" w:fill="auto"/>
          </w:tcPr>
          <w:p w:rsidR="009F3065" w:rsidRPr="001F5FD2" w:rsidRDefault="009F3065" w:rsidP="009F3065">
            <w:pPr>
              <w:pStyle w:val="BlockText"/>
            </w:pPr>
            <w:r w:rsidRPr="001F5FD2">
              <w:t xml:space="preserve">This topic contains information on </w:t>
            </w:r>
            <w:r w:rsidR="00436073" w:rsidRPr="001F5FD2">
              <w:t>action</w:t>
            </w:r>
            <w:r w:rsidRPr="001F5FD2">
              <w:t xml:space="preserve"> to take when </w:t>
            </w:r>
            <w:r w:rsidR="000779C2" w:rsidRPr="001F5FD2">
              <w:t>unassociated</w:t>
            </w:r>
            <w:r w:rsidR="00B8246C" w:rsidRPr="001F5FD2">
              <w:t xml:space="preserve"> or supplemental</w:t>
            </w:r>
            <w:r w:rsidRPr="001F5FD2">
              <w:t xml:space="preserve"> STRs are received</w:t>
            </w:r>
            <w:r w:rsidR="00EC0AC9" w:rsidRPr="001F5FD2">
              <w:t xml:space="preserve"> from the RMC</w:t>
            </w:r>
            <w:r w:rsidRPr="001F5FD2">
              <w:t xml:space="preserve">, including </w:t>
            </w:r>
          </w:p>
          <w:p w:rsidR="009F3065" w:rsidRPr="001F5FD2" w:rsidRDefault="009F3065" w:rsidP="009F3065">
            <w:pPr>
              <w:pStyle w:val="BlockText"/>
            </w:pPr>
          </w:p>
          <w:p w:rsidR="00436073" w:rsidRPr="001F5FD2" w:rsidRDefault="009A67CC" w:rsidP="009F3065">
            <w:pPr>
              <w:pStyle w:val="BulletText1"/>
            </w:pPr>
            <w:r w:rsidRPr="001F5FD2">
              <w:t>i</w:t>
            </w:r>
            <w:r w:rsidR="00436073" w:rsidRPr="001F5FD2">
              <w:t>nitial review of unassociated or supplemental STRs by the Intake Processing Center (IPC) Veterans Service Representative (VSR)</w:t>
            </w:r>
          </w:p>
          <w:p w:rsidR="009F3065" w:rsidRPr="001F5FD2" w:rsidRDefault="00854532" w:rsidP="009F3065">
            <w:pPr>
              <w:pStyle w:val="BulletText1"/>
            </w:pPr>
            <w:r w:rsidRPr="001F5FD2">
              <w:t xml:space="preserve">consideration of </w:t>
            </w:r>
            <w:r w:rsidR="00EC0AC9" w:rsidRPr="001F5FD2">
              <w:t>unassociated</w:t>
            </w:r>
            <w:r w:rsidRPr="001F5FD2">
              <w:t xml:space="preserve"> </w:t>
            </w:r>
            <w:r w:rsidR="002E5503" w:rsidRPr="001F5FD2">
              <w:t xml:space="preserve">or supplemental </w:t>
            </w:r>
            <w:r w:rsidRPr="001F5FD2">
              <w:t>STRs by the rating activity</w:t>
            </w:r>
            <w:r w:rsidR="00417412" w:rsidRPr="001F5FD2">
              <w:t>, and</w:t>
            </w:r>
          </w:p>
          <w:p w:rsidR="00854532" w:rsidRPr="001F5FD2" w:rsidRDefault="00854532" w:rsidP="00EC0AC9">
            <w:pPr>
              <w:pStyle w:val="BulletText1"/>
            </w:pPr>
            <w:r w:rsidRPr="001F5FD2">
              <w:t>notifying the Veter</w:t>
            </w:r>
            <w:r w:rsidR="00EC0AC9" w:rsidRPr="001F5FD2">
              <w:t>an of rating decision based on unassociated</w:t>
            </w:r>
            <w:r w:rsidRPr="001F5FD2">
              <w:t xml:space="preserve"> </w:t>
            </w:r>
            <w:r w:rsidR="002E5503" w:rsidRPr="001F5FD2">
              <w:t xml:space="preserve">or supplemental </w:t>
            </w:r>
            <w:r w:rsidRPr="001F5FD2">
              <w:t>STRs.</w:t>
            </w:r>
          </w:p>
        </w:tc>
      </w:tr>
    </w:tbl>
    <w:p w:rsidR="009F3065" w:rsidRPr="001F5FD2" w:rsidRDefault="00854532" w:rsidP="00854532">
      <w:pPr>
        <w:tabs>
          <w:tab w:val="left" w:pos="9360"/>
        </w:tabs>
        <w:ind w:left="1714"/>
      </w:pPr>
      <w:r w:rsidRPr="001F5FD2">
        <w:rPr>
          <w:u w:val="single"/>
        </w:rPr>
        <w:tab/>
      </w:r>
    </w:p>
    <w:p w:rsidR="00854532" w:rsidRPr="001F5FD2" w:rsidRDefault="00854532" w:rsidP="00854532">
      <w:pPr>
        <w:ind w:left="1714"/>
      </w:pPr>
    </w:p>
    <w:tbl>
      <w:tblPr>
        <w:tblW w:w="0" w:type="auto"/>
        <w:tblLayout w:type="fixed"/>
        <w:tblLook w:val="0000" w:firstRow="0" w:lastRow="0" w:firstColumn="0" w:lastColumn="0" w:noHBand="0" w:noVBand="0"/>
      </w:tblPr>
      <w:tblGrid>
        <w:gridCol w:w="1728"/>
        <w:gridCol w:w="7740"/>
      </w:tblGrid>
      <w:tr w:rsidR="002E4D69" w:rsidRPr="001F5FD2" w:rsidTr="00EC0AC9">
        <w:trPr>
          <w:cantSplit/>
        </w:trPr>
        <w:tc>
          <w:tcPr>
            <w:tcW w:w="1728" w:type="dxa"/>
          </w:tcPr>
          <w:p w:rsidR="002E4D69" w:rsidRPr="001F5FD2" w:rsidRDefault="002E4D69" w:rsidP="00EC0AC9">
            <w:pPr>
              <w:pStyle w:val="Heading5"/>
            </w:pPr>
            <w:r w:rsidRPr="001F5FD2">
              <w:t>Change Date</w:t>
            </w:r>
          </w:p>
        </w:tc>
        <w:tc>
          <w:tcPr>
            <w:tcW w:w="7740" w:type="dxa"/>
          </w:tcPr>
          <w:p w:rsidR="002E4D69" w:rsidRPr="001F5FD2" w:rsidRDefault="00480370" w:rsidP="00EC0AC9">
            <w:pPr>
              <w:pStyle w:val="BlockText"/>
            </w:pPr>
            <w:r w:rsidRPr="001F5FD2">
              <w:t>May 11, 2015</w:t>
            </w:r>
          </w:p>
        </w:tc>
      </w:tr>
    </w:tbl>
    <w:p w:rsidR="00854532" w:rsidRPr="001F5FD2" w:rsidRDefault="00854532" w:rsidP="009A67CC">
      <w:pPr>
        <w:pStyle w:val="BlockLine"/>
        <w:tabs>
          <w:tab w:val="left" w:pos="9360"/>
        </w:tabs>
        <w:ind w:left="1714"/>
        <w:rPr>
          <w:u w:val="single"/>
        </w:rPr>
      </w:pPr>
    </w:p>
    <w:tbl>
      <w:tblPr>
        <w:tblW w:w="0" w:type="auto"/>
        <w:tblLayout w:type="fixed"/>
        <w:tblLook w:val="0000" w:firstRow="0" w:lastRow="0" w:firstColumn="0" w:lastColumn="0" w:noHBand="0" w:noVBand="0"/>
      </w:tblPr>
      <w:tblGrid>
        <w:gridCol w:w="1728"/>
        <w:gridCol w:w="7740"/>
      </w:tblGrid>
      <w:tr w:rsidR="009A67CC" w:rsidRPr="001F5FD2" w:rsidTr="004D2383">
        <w:tc>
          <w:tcPr>
            <w:tcW w:w="1728" w:type="dxa"/>
          </w:tcPr>
          <w:p w:rsidR="009A67CC" w:rsidRPr="001F5FD2" w:rsidRDefault="009A67CC" w:rsidP="004D2383">
            <w:pPr>
              <w:pStyle w:val="Heading5"/>
            </w:pPr>
            <w:r w:rsidRPr="001F5FD2">
              <w:t>a.  Initial Review of Unassociated or Supplemental STRs by the IPC VSR</w:t>
            </w:r>
          </w:p>
        </w:tc>
        <w:tc>
          <w:tcPr>
            <w:tcW w:w="7740" w:type="dxa"/>
          </w:tcPr>
          <w:p w:rsidR="009A67CC" w:rsidRPr="001F5FD2" w:rsidRDefault="009A67CC" w:rsidP="004D2383">
            <w:pPr>
              <w:pStyle w:val="BlockText"/>
            </w:pPr>
            <w:r w:rsidRPr="001F5FD2">
              <w:t>Upon receipt of unassociated or supplemental STRs from the Records Management Center (RMC), an Intake Processing Center (IPC) Veterans Service Representative (VSR) conducts an initial review of the documents with the claims folder to determine whether the records are duplicates.</w:t>
            </w:r>
          </w:p>
          <w:p w:rsidR="005C5FA1" w:rsidRPr="001F5FD2" w:rsidRDefault="005C5FA1" w:rsidP="004D2383">
            <w:pPr>
              <w:pStyle w:val="BlockText"/>
            </w:pPr>
          </w:p>
          <w:p w:rsidR="005C5FA1" w:rsidRPr="001F5FD2" w:rsidRDefault="005C5FA1" w:rsidP="004D2383">
            <w:pPr>
              <w:pStyle w:val="BlockText"/>
            </w:pPr>
            <w:r w:rsidRPr="001F5FD2">
              <w:rPr>
                <w:b/>
                <w:i/>
              </w:rPr>
              <w:t>Reference</w:t>
            </w:r>
            <w:r w:rsidRPr="001F5FD2">
              <w:t xml:space="preserve">:  For more information on processing unassociated STRs in </w:t>
            </w:r>
            <w:r w:rsidR="00FD2AAE" w:rsidRPr="001F5FD2">
              <w:t>Veterans Benefits Management System (</w:t>
            </w:r>
            <w:r w:rsidRPr="001F5FD2">
              <w:t>VBMS</w:t>
            </w:r>
            <w:r w:rsidR="00FD2AAE" w:rsidRPr="001F5FD2">
              <w:t>)</w:t>
            </w:r>
            <w:r w:rsidRPr="001F5FD2">
              <w:t xml:space="preserve">, see </w:t>
            </w:r>
            <w:hyperlink r:id="rId22" w:history="1">
              <w:r w:rsidRPr="001F5FD2">
                <w:rPr>
                  <w:rStyle w:val="Hyperlink"/>
                  <w:i/>
                </w:rPr>
                <w:t>VBMS User Guide</w:t>
              </w:r>
            </w:hyperlink>
            <w:r w:rsidRPr="001F5FD2">
              <w:t>.</w:t>
            </w:r>
          </w:p>
          <w:p w:rsidR="009A67CC" w:rsidRPr="001F5FD2" w:rsidRDefault="009A67CC" w:rsidP="004D2383">
            <w:pPr>
              <w:pStyle w:val="BlockText"/>
            </w:pPr>
          </w:p>
          <w:p w:rsidR="009A67CC" w:rsidRPr="001F5FD2" w:rsidRDefault="00AB3DB2" w:rsidP="004D2383">
            <w:pPr>
              <w:pStyle w:val="BlockText"/>
            </w:pPr>
            <w:r w:rsidRPr="001F5FD2">
              <w:t>Use the</w:t>
            </w:r>
            <w:r w:rsidR="009A67CC" w:rsidRPr="001F5FD2">
              <w:t xml:space="preserve"> table below </w:t>
            </w:r>
            <w:r w:rsidRPr="001F5FD2">
              <w:t>to determine</w:t>
            </w:r>
            <w:r w:rsidR="009A67CC" w:rsidRPr="001F5FD2">
              <w:t xml:space="preserve"> the action</w:t>
            </w:r>
            <w:r w:rsidRPr="001F5FD2">
              <w:t xml:space="preserve"> to be</w:t>
            </w:r>
            <w:r w:rsidR="009A67CC" w:rsidRPr="001F5FD2">
              <w:t xml:space="preserve"> taken by the IPC VSR after the initial review of the STRs.</w:t>
            </w:r>
          </w:p>
        </w:tc>
      </w:tr>
    </w:tbl>
    <w:p w:rsidR="009A67CC" w:rsidRPr="001F5FD2" w:rsidRDefault="009A67CC" w:rsidP="009A67CC"/>
    <w:tbl>
      <w:tblPr>
        <w:tblW w:w="0" w:type="auto"/>
        <w:tblInd w:w="1829" w:type="dxa"/>
        <w:tblLayout w:type="fixed"/>
        <w:tblLook w:val="0000" w:firstRow="0" w:lastRow="0" w:firstColumn="0" w:lastColumn="0" w:noHBand="0" w:noVBand="0"/>
      </w:tblPr>
      <w:tblGrid>
        <w:gridCol w:w="3774"/>
        <w:gridCol w:w="3774"/>
      </w:tblGrid>
      <w:tr w:rsidR="009A67CC" w:rsidRPr="001F5FD2" w:rsidTr="004D2383">
        <w:trPr>
          <w:trHeight w:val="271"/>
        </w:trPr>
        <w:tc>
          <w:tcPr>
            <w:tcW w:w="3774" w:type="dxa"/>
            <w:tcBorders>
              <w:top w:val="single" w:sz="6" w:space="0" w:color="auto"/>
              <w:left w:val="single" w:sz="6" w:space="0" w:color="auto"/>
              <w:bottom w:val="single" w:sz="6" w:space="0" w:color="auto"/>
              <w:right w:val="single" w:sz="6" w:space="0" w:color="auto"/>
            </w:tcBorders>
          </w:tcPr>
          <w:p w:rsidR="009A67CC" w:rsidRPr="001F5FD2" w:rsidRDefault="009A67CC" w:rsidP="004D2383">
            <w:pPr>
              <w:pStyle w:val="TableHeaderText"/>
              <w:jc w:val="left"/>
            </w:pPr>
            <w:r w:rsidRPr="001F5FD2">
              <w:t>If the STRs are …</w:t>
            </w:r>
          </w:p>
        </w:tc>
        <w:tc>
          <w:tcPr>
            <w:tcW w:w="3774" w:type="dxa"/>
            <w:tcBorders>
              <w:top w:val="single" w:sz="6" w:space="0" w:color="auto"/>
              <w:bottom w:val="single" w:sz="6" w:space="0" w:color="auto"/>
              <w:right w:val="single" w:sz="6" w:space="0" w:color="auto"/>
            </w:tcBorders>
          </w:tcPr>
          <w:p w:rsidR="009A67CC" w:rsidRPr="001F5FD2" w:rsidRDefault="009A67CC" w:rsidP="004D2383">
            <w:pPr>
              <w:pStyle w:val="TableHeaderText"/>
              <w:jc w:val="left"/>
            </w:pPr>
            <w:r w:rsidRPr="001F5FD2">
              <w:t>Then the IPC VSR …</w:t>
            </w:r>
          </w:p>
        </w:tc>
      </w:tr>
      <w:tr w:rsidR="009A67CC" w:rsidRPr="001F5FD2" w:rsidTr="004D2383">
        <w:trPr>
          <w:trHeight w:val="272"/>
        </w:trPr>
        <w:tc>
          <w:tcPr>
            <w:tcW w:w="3774" w:type="dxa"/>
            <w:tcBorders>
              <w:top w:val="single" w:sz="6" w:space="0" w:color="auto"/>
              <w:left w:val="single" w:sz="6" w:space="0" w:color="auto"/>
              <w:bottom w:val="single" w:sz="6" w:space="0" w:color="auto"/>
              <w:right w:val="single" w:sz="6" w:space="0" w:color="auto"/>
            </w:tcBorders>
          </w:tcPr>
          <w:p w:rsidR="009A67CC" w:rsidRPr="001F5FD2" w:rsidRDefault="009A67CC" w:rsidP="004D2383">
            <w:pPr>
              <w:pStyle w:val="TableText"/>
            </w:pPr>
            <w:r w:rsidRPr="001F5FD2">
              <w:t>Duplicates</w:t>
            </w:r>
          </w:p>
        </w:tc>
        <w:tc>
          <w:tcPr>
            <w:tcW w:w="3774" w:type="dxa"/>
            <w:tcBorders>
              <w:top w:val="single" w:sz="6" w:space="0" w:color="auto"/>
              <w:bottom w:val="single" w:sz="6" w:space="0" w:color="auto"/>
              <w:right w:val="single" w:sz="6" w:space="0" w:color="auto"/>
            </w:tcBorders>
          </w:tcPr>
          <w:p w:rsidR="009A67CC" w:rsidRPr="001F5FD2" w:rsidRDefault="009A67CC" w:rsidP="004D2383">
            <w:pPr>
              <w:pStyle w:val="BulletText1"/>
            </w:pPr>
            <w:r w:rsidRPr="001F5FD2">
              <w:t>sends the duplicate STRs to the Veteran with a cover letter</w:t>
            </w:r>
          </w:p>
          <w:p w:rsidR="009A67CC" w:rsidRPr="001F5FD2" w:rsidRDefault="009A67CC" w:rsidP="005C5FA1">
            <w:pPr>
              <w:pStyle w:val="BulletText1"/>
            </w:pPr>
            <w:r w:rsidRPr="001F5FD2">
              <w:t xml:space="preserve">annotates </w:t>
            </w:r>
            <w:r w:rsidRPr="001F5FD2">
              <w:rPr>
                <w:i/>
                <w:iCs/>
              </w:rPr>
              <w:t>Duplicate STRs reviewed, NAN (no action needed)</w:t>
            </w:r>
            <w:r w:rsidR="005C5FA1" w:rsidRPr="001F5FD2">
              <w:t>, and</w:t>
            </w:r>
          </w:p>
          <w:p w:rsidR="009A67CC" w:rsidRPr="001F5FD2" w:rsidRDefault="009A67CC" w:rsidP="004D2383">
            <w:pPr>
              <w:pStyle w:val="BulletText1"/>
            </w:pPr>
            <w:r w:rsidRPr="001F5FD2">
              <w:t>clears (PCLR) an EP 699.</w:t>
            </w:r>
          </w:p>
          <w:p w:rsidR="009A67CC" w:rsidRPr="001F5FD2" w:rsidRDefault="009A67CC" w:rsidP="004D2383">
            <w:pPr>
              <w:pStyle w:val="TableText"/>
            </w:pPr>
          </w:p>
          <w:p w:rsidR="005C5FA1" w:rsidRPr="001F5FD2" w:rsidRDefault="009A67CC" w:rsidP="004D2383">
            <w:pPr>
              <w:pStyle w:val="TableText"/>
            </w:pPr>
            <w:r w:rsidRPr="001F5FD2">
              <w:rPr>
                <w:b/>
                <w:i/>
              </w:rPr>
              <w:t>Note</w:t>
            </w:r>
            <w:r w:rsidRPr="001F5FD2">
              <w:t>:</w:t>
            </w:r>
            <w:r w:rsidR="00BC1223" w:rsidRPr="001F5FD2">
              <w:t xml:space="preserve"> </w:t>
            </w:r>
            <w:r w:rsidRPr="001F5FD2">
              <w:t xml:space="preserve"> </w:t>
            </w:r>
            <w:r w:rsidR="005C5FA1" w:rsidRPr="001F5FD2">
              <w:t>For paper records,</w:t>
            </w:r>
            <w:r w:rsidRPr="001F5FD2">
              <w:t xml:space="preserve"> </w:t>
            </w:r>
          </w:p>
          <w:p w:rsidR="00BC4FB4" w:rsidRPr="001F5FD2" w:rsidRDefault="00BC4FB4" w:rsidP="00BC4FB4">
            <w:pPr>
              <w:pStyle w:val="ListParagraph"/>
              <w:numPr>
                <w:ilvl w:val="0"/>
                <w:numId w:val="33"/>
              </w:numPr>
              <w:ind w:left="158" w:hanging="187"/>
            </w:pPr>
            <w:r w:rsidRPr="001F5FD2">
              <w:t>include the IPC VSR’s initials and the date in the annotation, and</w:t>
            </w:r>
          </w:p>
          <w:p w:rsidR="005C5FA1" w:rsidRPr="001F5FD2" w:rsidRDefault="005C5FA1" w:rsidP="00BC4FB4">
            <w:pPr>
              <w:pStyle w:val="ListParagraph"/>
              <w:numPr>
                <w:ilvl w:val="0"/>
                <w:numId w:val="33"/>
              </w:numPr>
              <w:ind w:left="158" w:hanging="187"/>
            </w:pPr>
            <w:r w:rsidRPr="001F5FD2">
              <w:t>d</w:t>
            </w:r>
            <w:r w:rsidR="009A67CC" w:rsidRPr="001F5FD2">
              <w:t xml:space="preserve">o </w:t>
            </w:r>
            <w:r w:rsidR="009A67CC" w:rsidRPr="001F5FD2">
              <w:rPr>
                <w:i/>
              </w:rPr>
              <w:t>not</w:t>
            </w:r>
            <w:r w:rsidR="009A67CC" w:rsidRPr="001F5FD2">
              <w:t xml:space="preserve"> annotate the original STR jacket sent from</w:t>
            </w:r>
            <w:r w:rsidRPr="001F5FD2">
              <w:t xml:space="preserve"> the Department of Defense</w:t>
            </w:r>
            <w:r w:rsidR="00B2405D" w:rsidRPr="001F5FD2">
              <w:t xml:space="preserve"> (DoD)</w:t>
            </w:r>
            <w:r w:rsidR="00BC4FB4" w:rsidRPr="001F5FD2">
              <w:t>.</w:t>
            </w:r>
          </w:p>
        </w:tc>
      </w:tr>
      <w:tr w:rsidR="009A67CC" w:rsidRPr="001F5FD2" w:rsidTr="004D2383">
        <w:trPr>
          <w:trHeight w:val="272"/>
        </w:trPr>
        <w:tc>
          <w:tcPr>
            <w:tcW w:w="3774" w:type="dxa"/>
            <w:tcBorders>
              <w:top w:val="single" w:sz="6" w:space="0" w:color="auto"/>
              <w:left w:val="single" w:sz="6" w:space="0" w:color="auto"/>
              <w:bottom w:val="single" w:sz="6" w:space="0" w:color="auto"/>
              <w:right w:val="single" w:sz="6" w:space="0" w:color="auto"/>
            </w:tcBorders>
          </w:tcPr>
          <w:p w:rsidR="009A67CC" w:rsidRPr="001F5FD2" w:rsidRDefault="009A67CC" w:rsidP="004D2383">
            <w:pPr>
              <w:pStyle w:val="TableText"/>
            </w:pPr>
            <w:r w:rsidRPr="001F5FD2">
              <w:t>not duplicates</w:t>
            </w:r>
          </w:p>
        </w:tc>
        <w:tc>
          <w:tcPr>
            <w:tcW w:w="3774" w:type="dxa"/>
            <w:tcBorders>
              <w:top w:val="single" w:sz="6" w:space="0" w:color="auto"/>
              <w:bottom w:val="single" w:sz="6" w:space="0" w:color="auto"/>
              <w:right w:val="single" w:sz="6" w:space="0" w:color="auto"/>
            </w:tcBorders>
          </w:tcPr>
          <w:p w:rsidR="009A67CC" w:rsidRPr="001F5FD2" w:rsidRDefault="009A67CC" w:rsidP="004D2383">
            <w:pPr>
              <w:pStyle w:val="BulletText1"/>
            </w:pPr>
            <w:r w:rsidRPr="001F5FD2">
              <w:t>establishes a future EP 699 with a 60-day suspense diary, and</w:t>
            </w:r>
          </w:p>
          <w:p w:rsidR="009A67CC" w:rsidRPr="001F5FD2" w:rsidRDefault="009A67CC" w:rsidP="004D2383">
            <w:pPr>
              <w:pStyle w:val="BulletText1"/>
            </w:pPr>
            <w:r w:rsidRPr="001F5FD2">
              <w:t>forwards the claims folder to the IPC Rating Veterans Service Representative (RVSR) for rating action.</w:t>
            </w:r>
          </w:p>
          <w:p w:rsidR="009A67CC" w:rsidRPr="001F5FD2" w:rsidRDefault="009A67CC" w:rsidP="004D2383">
            <w:pPr>
              <w:pStyle w:val="TableText"/>
            </w:pPr>
          </w:p>
          <w:p w:rsidR="009A67CC" w:rsidRPr="001F5FD2" w:rsidRDefault="009A67CC" w:rsidP="004D2383">
            <w:pPr>
              <w:pStyle w:val="TableText"/>
            </w:pPr>
            <w:r w:rsidRPr="001F5FD2">
              <w:rPr>
                <w:b/>
                <w:bCs/>
                <w:i/>
                <w:iCs/>
              </w:rPr>
              <w:t>Note</w:t>
            </w:r>
            <w:r w:rsidRPr="001F5FD2">
              <w:t>:  If the RO does not have a</w:t>
            </w:r>
            <w:r w:rsidR="00B2405D" w:rsidRPr="001F5FD2">
              <w:t>n</w:t>
            </w:r>
            <w:r w:rsidRPr="001F5FD2">
              <w:t xml:space="preserve"> </w:t>
            </w:r>
            <w:r w:rsidRPr="001F5FD2">
              <w:lastRenderedPageBreak/>
              <w:t>IPC RVSR, the RO should follow locally</w:t>
            </w:r>
            <w:r w:rsidR="0055643C" w:rsidRPr="001F5FD2">
              <w:t>-</w:t>
            </w:r>
            <w:r w:rsidRPr="001F5FD2">
              <w:t>established procedures for IPC cases.</w:t>
            </w:r>
          </w:p>
        </w:tc>
      </w:tr>
    </w:tbl>
    <w:p w:rsidR="009A67CC" w:rsidRPr="001F5FD2" w:rsidRDefault="009A67CC" w:rsidP="009A67CC">
      <w:pPr>
        <w:tabs>
          <w:tab w:val="left" w:pos="9360"/>
        </w:tabs>
        <w:ind w:left="1714"/>
      </w:pPr>
      <w:r w:rsidRPr="001F5FD2">
        <w:rPr>
          <w:u w:val="single"/>
        </w:rPr>
        <w:lastRenderedPageBreak/>
        <w:tab/>
      </w:r>
    </w:p>
    <w:p w:rsidR="009A67CC" w:rsidRPr="001F5FD2" w:rsidRDefault="009A67CC" w:rsidP="009A67CC"/>
    <w:tbl>
      <w:tblPr>
        <w:tblW w:w="0" w:type="auto"/>
        <w:tblLayout w:type="fixed"/>
        <w:tblLook w:val="0000" w:firstRow="0" w:lastRow="0" w:firstColumn="0" w:lastColumn="0" w:noHBand="0" w:noVBand="0"/>
      </w:tblPr>
      <w:tblGrid>
        <w:gridCol w:w="1728"/>
        <w:gridCol w:w="7740"/>
      </w:tblGrid>
      <w:tr w:rsidR="00854532" w:rsidRPr="001F5FD2" w:rsidTr="00EC0AC9">
        <w:tc>
          <w:tcPr>
            <w:tcW w:w="1728" w:type="dxa"/>
          </w:tcPr>
          <w:p w:rsidR="00854532" w:rsidRPr="001F5FD2" w:rsidRDefault="00436073" w:rsidP="00EC0AC9">
            <w:pPr>
              <w:pStyle w:val="Heading5"/>
            </w:pPr>
            <w:proofErr w:type="gramStart"/>
            <w:r w:rsidRPr="001F5FD2">
              <w:t>b</w:t>
            </w:r>
            <w:r w:rsidR="00854532" w:rsidRPr="001F5FD2">
              <w:t>.  Consideration</w:t>
            </w:r>
            <w:proofErr w:type="gramEnd"/>
            <w:r w:rsidR="00854532" w:rsidRPr="001F5FD2">
              <w:t xml:space="preserve"> of </w:t>
            </w:r>
            <w:r w:rsidR="00EC0AC9" w:rsidRPr="001F5FD2">
              <w:t xml:space="preserve">Unassociated </w:t>
            </w:r>
            <w:r w:rsidR="002E5503" w:rsidRPr="001F5FD2">
              <w:t xml:space="preserve">or Supplemental </w:t>
            </w:r>
            <w:r w:rsidR="00854532" w:rsidRPr="001F5FD2">
              <w:t>STRs</w:t>
            </w:r>
            <w:r w:rsidR="005F25D9" w:rsidRPr="001F5FD2">
              <w:t xml:space="preserve"> From the RMC</w:t>
            </w:r>
            <w:r w:rsidR="00854532" w:rsidRPr="001F5FD2">
              <w:t xml:space="preserve"> by the R</w:t>
            </w:r>
            <w:r w:rsidR="005F25D9" w:rsidRPr="001F5FD2">
              <w:t>O</w:t>
            </w:r>
            <w:r w:rsidR="00854532" w:rsidRPr="001F5FD2">
              <w:t xml:space="preserve"> </w:t>
            </w:r>
          </w:p>
        </w:tc>
        <w:tc>
          <w:tcPr>
            <w:tcW w:w="7740" w:type="dxa"/>
          </w:tcPr>
          <w:p w:rsidR="00854532" w:rsidRPr="001F5FD2" w:rsidRDefault="00751E68" w:rsidP="00EC0AC9">
            <w:pPr>
              <w:pStyle w:val="BlockText"/>
            </w:pPr>
            <w:r w:rsidRPr="001F5FD2">
              <w:t>Use the table below to determine which action to</w:t>
            </w:r>
            <w:r w:rsidR="005F25D9" w:rsidRPr="001F5FD2">
              <w:t xml:space="preserve"> take</w:t>
            </w:r>
            <w:r w:rsidRPr="001F5FD2">
              <w:t xml:space="preserve"> </w:t>
            </w:r>
            <w:r w:rsidR="00EC0AC9" w:rsidRPr="001F5FD2">
              <w:t>when an RO receives unassociated</w:t>
            </w:r>
            <w:r w:rsidR="00854532" w:rsidRPr="001F5FD2">
              <w:t xml:space="preserve"> </w:t>
            </w:r>
            <w:r w:rsidR="002E5503" w:rsidRPr="001F5FD2">
              <w:t xml:space="preserve">or supplemental </w:t>
            </w:r>
            <w:r w:rsidR="00854532" w:rsidRPr="001F5FD2">
              <w:t xml:space="preserve">STRs from the </w:t>
            </w:r>
            <w:r w:rsidR="00EC0AC9" w:rsidRPr="001F5FD2">
              <w:t>RMC</w:t>
            </w:r>
            <w:r w:rsidRPr="001F5FD2">
              <w:t>:</w:t>
            </w:r>
          </w:p>
          <w:p w:rsidR="00854532" w:rsidRPr="001F5FD2" w:rsidRDefault="00854532" w:rsidP="002E5503">
            <w:pPr>
              <w:pStyle w:val="BulletText1"/>
              <w:numPr>
                <w:ilvl w:val="0"/>
                <w:numId w:val="0"/>
              </w:numPr>
            </w:pPr>
          </w:p>
        </w:tc>
      </w:tr>
    </w:tbl>
    <w:p w:rsidR="00854532" w:rsidRPr="001F5FD2" w:rsidRDefault="00854532" w:rsidP="00854532"/>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4"/>
        <w:gridCol w:w="2790"/>
        <w:gridCol w:w="3416"/>
      </w:tblGrid>
      <w:tr w:rsidR="00854532" w:rsidRPr="001F5FD2" w:rsidTr="00EC0AC9">
        <w:trPr>
          <w:trHeight w:val="570"/>
        </w:trPr>
        <w:tc>
          <w:tcPr>
            <w:tcW w:w="3114" w:type="dxa"/>
            <w:shd w:val="clear" w:color="auto" w:fill="auto"/>
          </w:tcPr>
          <w:p w:rsidR="00854532" w:rsidRPr="001F5FD2" w:rsidRDefault="00854532" w:rsidP="004570BC">
            <w:pPr>
              <w:pStyle w:val="TableHeaderText"/>
              <w:jc w:val="left"/>
            </w:pPr>
            <w:r w:rsidRPr="001F5FD2">
              <w:t xml:space="preserve">If the </w:t>
            </w:r>
            <w:r w:rsidR="004570BC" w:rsidRPr="001F5FD2">
              <w:t>rating activity</w:t>
            </w:r>
            <w:r w:rsidRPr="001F5FD2">
              <w:t xml:space="preserve"> determines the STRs contain …</w:t>
            </w:r>
          </w:p>
        </w:tc>
        <w:tc>
          <w:tcPr>
            <w:tcW w:w="2790" w:type="dxa"/>
            <w:shd w:val="clear" w:color="auto" w:fill="auto"/>
          </w:tcPr>
          <w:p w:rsidR="00854532" w:rsidRPr="001F5FD2" w:rsidRDefault="00854532" w:rsidP="00EC0AC9">
            <w:pPr>
              <w:pStyle w:val="TableHeaderText"/>
              <w:jc w:val="left"/>
            </w:pPr>
            <w:r w:rsidRPr="001F5FD2">
              <w:t>Then the …</w:t>
            </w:r>
          </w:p>
        </w:tc>
        <w:tc>
          <w:tcPr>
            <w:tcW w:w="3416" w:type="dxa"/>
            <w:shd w:val="clear" w:color="auto" w:fill="auto"/>
          </w:tcPr>
          <w:p w:rsidR="00854532" w:rsidRPr="001F5FD2" w:rsidRDefault="00854532" w:rsidP="00EC0AC9">
            <w:pPr>
              <w:pStyle w:val="TableHeaderText"/>
              <w:jc w:val="left"/>
            </w:pPr>
            <w:r w:rsidRPr="001F5FD2">
              <w:t>And the …</w:t>
            </w:r>
          </w:p>
        </w:tc>
      </w:tr>
      <w:tr w:rsidR="00854532" w:rsidRPr="001F5FD2" w:rsidTr="00EC0AC9">
        <w:tc>
          <w:tcPr>
            <w:tcW w:w="3114" w:type="dxa"/>
            <w:shd w:val="clear" w:color="auto" w:fill="auto"/>
          </w:tcPr>
          <w:p w:rsidR="00854532" w:rsidRPr="001F5FD2" w:rsidRDefault="00854532" w:rsidP="00EC0AC9">
            <w:pPr>
              <w:pStyle w:val="TableText"/>
            </w:pPr>
            <w:r w:rsidRPr="001F5FD2">
              <w:t>new and material evidence warranting a</w:t>
            </w:r>
            <w:r w:rsidR="004D2383" w:rsidRPr="001F5FD2">
              <w:t>n</w:t>
            </w:r>
            <w:r w:rsidRPr="001F5FD2">
              <w:t xml:space="preserve"> </w:t>
            </w:r>
            <w:r w:rsidR="004D2383" w:rsidRPr="001F5FD2">
              <w:t>award</w:t>
            </w:r>
            <w:r w:rsidRPr="001F5FD2">
              <w:t xml:space="preserve"> of a previously</w:t>
            </w:r>
            <w:r w:rsidR="0055643C" w:rsidRPr="001F5FD2">
              <w:t>-</w:t>
            </w:r>
            <w:r w:rsidRPr="001F5FD2">
              <w:t xml:space="preserve">denied claim, the </w:t>
            </w:r>
            <w:r w:rsidR="004570BC" w:rsidRPr="001F5FD2">
              <w:t>rating activity</w:t>
            </w:r>
            <w:r w:rsidRPr="001F5FD2">
              <w:t xml:space="preserve"> returns the claims folder to the IPC VSR</w:t>
            </w:r>
          </w:p>
          <w:p w:rsidR="00854532" w:rsidRPr="001F5FD2" w:rsidRDefault="00854532" w:rsidP="00EC0AC9">
            <w:pPr>
              <w:pStyle w:val="TableText"/>
            </w:pPr>
          </w:p>
          <w:p w:rsidR="00854532" w:rsidRPr="001F5FD2" w:rsidRDefault="00854532" w:rsidP="004570BC">
            <w:pPr>
              <w:pStyle w:val="TableText"/>
            </w:pPr>
            <w:r w:rsidRPr="001F5FD2">
              <w:rPr>
                <w:b/>
                <w:i/>
              </w:rPr>
              <w:t>Note</w:t>
            </w:r>
            <w:r w:rsidRPr="001F5FD2">
              <w:t>:  Previously</w:t>
            </w:r>
            <w:r w:rsidR="0055643C" w:rsidRPr="001F5FD2">
              <w:t>-</w:t>
            </w:r>
            <w:r w:rsidRPr="001F5FD2">
              <w:t xml:space="preserve">denied claims may include claims for </w:t>
            </w:r>
            <w:r w:rsidR="004570BC" w:rsidRPr="001F5FD2">
              <w:t>SC</w:t>
            </w:r>
            <w:r w:rsidRPr="001F5FD2">
              <w:t xml:space="preserve"> burial benefits and Dependency and Indemnity Compensation (DIC), if the STRs pertain to a deceased Veteran.</w:t>
            </w:r>
          </w:p>
        </w:tc>
        <w:tc>
          <w:tcPr>
            <w:tcW w:w="2790" w:type="dxa"/>
            <w:shd w:val="clear" w:color="auto" w:fill="auto"/>
          </w:tcPr>
          <w:p w:rsidR="00854532" w:rsidRPr="001F5FD2" w:rsidRDefault="00854532" w:rsidP="00EC0AC9">
            <w:pPr>
              <w:pStyle w:val="TableText"/>
            </w:pPr>
            <w:r w:rsidRPr="001F5FD2">
              <w:t xml:space="preserve">IPC VSR </w:t>
            </w:r>
          </w:p>
          <w:p w:rsidR="00854532" w:rsidRPr="001F5FD2" w:rsidRDefault="00854532" w:rsidP="00EC0AC9">
            <w:pPr>
              <w:pStyle w:val="TableText"/>
            </w:pPr>
          </w:p>
          <w:p w:rsidR="00854532" w:rsidRPr="001F5FD2" w:rsidRDefault="00854532" w:rsidP="00EC0AC9">
            <w:pPr>
              <w:pStyle w:val="BulletText1"/>
            </w:pPr>
            <w:r w:rsidRPr="001F5FD2">
              <w:t>cancels (PCANs) EP 699</w:t>
            </w:r>
          </w:p>
          <w:p w:rsidR="00854532" w:rsidRPr="001F5FD2" w:rsidRDefault="00854532" w:rsidP="00EC0AC9">
            <w:pPr>
              <w:pStyle w:val="BulletText1"/>
            </w:pPr>
            <w:r w:rsidRPr="001F5FD2">
              <w:t xml:space="preserve"> establishes</w:t>
            </w:r>
            <w:r w:rsidR="009C76BE" w:rsidRPr="001F5FD2">
              <w:t xml:space="preserve"> (CESTs)</w:t>
            </w:r>
            <w:r w:rsidRPr="001F5FD2">
              <w:t xml:space="preserve"> EP 020 with the ‘Reconsideration’ claim label, and</w:t>
            </w:r>
          </w:p>
          <w:p w:rsidR="00854532" w:rsidRPr="001F5FD2" w:rsidRDefault="00854532" w:rsidP="00EC0AC9">
            <w:pPr>
              <w:pStyle w:val="BulletText1"/>
            </w:pPr>
            <w:r w:rsidRPr="001F5FD2">
              <w:t xml:space="preserve"> returns the claims folder to the </w:t>
            </w:r>
            <w:r w:rsidR="004570BC" w:rsidRPr="001F5FD2">
              <w:t>rating activity</w:t>
            </w:r>
            <w:r w:rsidRPr="001F5FD2">
              <w:t>.</w:t>
            </w:r>
          </w:p>
          <w:p w:rsidR="00854532" w:rsidRPr="001F5FD2" w:rsidRDefault="00854532" w:rsidP="00EC0AC9">
            <w:pPr>
              <w:pStyle w:val="TableText"/>
            </w:pPr>
          </w:p>
          <w:p w:rsidR="00854532" w:rsidRPr="001F5FD2" w:rsidRDefault="00854532" w:rsidP="009C76BE">
            <w:pPr>
              <w:pStyle w:val="TableText"/>
            </w:pPr>
            <w:r w:rsidRPr="001F5FD2">
              <w:rPr>
                <w:b/>
                <w:bCs/>
                <w:i/>
                <w:iCs/>
              </w:rPr>
              <w:t>Note</w:t>
            </w:r>
            <w:r w:rsidRPr="001F5FD2">
              <w:t xml:space="preserve">:  The date of claim </w:t>
            </w:r>
            <w:r w:rsidR="009C76BE" w:rsidRPr="001F5FD2">
              <w:t>for the EP 020 is the date the rating activity</w:t>
            </w:r>
            <w:r w:rsidRPr="001F5FD2">
              <w:t xml:space="preserve"> determines a rating is necessary.</w:t>
            </w:r>
          </w:p>
        </w:tc>
        <w:tc>
          <w:tcPr>
            <w:tcW w:w="3416" w:type="dxa"/>
            <w:shd w:val="clear" w:color="auto" w:fill="auto"/>
          </w:tcPr>
          <w:p w:rsidR="00854532" w:rsidRPr="001F5FD2" w:rsidRDefault="004570BC" w:rsidP="00EC0AC9">
            <w:pPr>
              <w:pStyle w:val="TableText"/>
            </w:pPr>
            <w:proofErr w:type="gramStart"/>
            <w:r w:rsidRPr="001F5FD2">
              <w:t>rating</w:t>
            </w:r>
            <w:proofErr w:type="gramEnd"/>
            <w:r w:rsidRPr="001F5FD2">
              <w:t xml:space="preserve"> activity </w:t>
            </w:r>
            <w:r w:rsidR="00854532" w:rsidRPr="001F5FD2">
              <w:t xml:space="preserve">prepares a rating decision </w:t>
            </w:r>
            <w:r w:rsidR="004D2383" w:rsidRPr="001F5FD2">
              <w:t>award</w:t>
            </w:r>
            <w:r w:rsidR="00854532" w:rsidRPr="001F5FD2">
              <w:t>ing the previously</w:t>
            </w:r>
            <w:r w:rsidR="0055643C" w:rsidRPr="001F5FD2">
              <w:t>-</w:t>
            </w:r>
            <w:r w:rsidR="00854532" w:rsidRPr="001F5FD2">
              <w:t>denied claim.</w:t>
            </w:r>
          </w:p>
          <w:p w:rsidR="00854532" w:rsidRPr="001F5FD2" w:rsidRDefault="00854532" w:rsidP="00EC0AC9">
            <w:pPr>
              <w:pStyle w:val="TableText"/>
            </w:pPr>
          </w:p>
          <w:p w:rsidR="00854532" w:rsidRPr="001F5FD2" w:rsidRDefault="00854532" w:rsidP="00EC0AC9">
            <w:pPr>
              <w:pStyle w:val="TableText"/>
            </w:pPr>
            <w:r w:rsidRPr="001F5FD2">
              <w:rPr>
                <w:b/>
                <w:bCs/>
                <w:i/>
                <w:iCs/>
              </w:rPr>
              <w:t>Note</w:t>
            </w:r>
            <w:r w:rsidRPr="001F5FD2">
              <w:t xml:space="preserve">:  If necessary, the </w:t>
            </w:r>
            <w:r w:rsidR="004570BC" w:rsidRPr="001F5FD2">
              <w:t>rating activity</w:t>
            </w:r>
            <w:r w:rsidRPr="001F5FD2">
              <w:t xml:space="preserve"> will request a VA examination to determine the Veteran’s current level of disability.</w:t>
            </w:r>
          </w:p>
          <w:p w:rsidR="00854532" w:rsidRPr="001F5FD2" w:rsidRDefault="00854532" w:rsidP="00EC0AC9">
            <w:pPr>
              <w:pStyle w:val="TableText"/>
            </w:pPr>
          </w:p>
          <w:p w:rsidR="00854532" w:rsidRPr="001F5FD2" w:rsidRDefault="009C76BE" w:rsidP="009C76BE">
            <w:pPr>
              <w:pStyle w:val="TableText"/>
            </w:pPr>
            <w:r w:rsidRPr="001F5FD2">
              <w:rPr>
                <w:b/>
                <w:bCs/>
                <w:i/>
                <w:iCs/>
              </w:rPr>
              <w:t>Reference</w:t>
            </w:r>
            <w:r w:rsidR="00854532" w:rsidRPr="001F5FD2">
              <w:t>:</w:t>
            </w:r>
            <w:r w:rsidRPr="001F5FD2">
              <w:t xml:space="preserve">  For information on the </w:t>
            </w:r>
            <w:r w:rsidR="00854532" w:rsidRPr="001F5FD2">
              <w:t xml:space="preserve">appropriate effective date to use, see </w:t>
            </w:r>
            <w:hyperlink r:id="rId23" w:history="1">
              <w:r w:rsidR="00854532" w:rsidRPr="001F5FD2">
                <w:rPr>
                  <w:rStyle w:val="Hyperlink"/>
                </w:rPr>
                <w:t>38 CFR 3.156(c</w:t>
              </w:r>
              <w:proofErr w:type="gramStart"/>
              <w:r w:rsidR="00854532" w:rsidRPr="001F5FD2">
                <w:rPr>
                  <w:rStyle w:val="Hyperlink"/>
                </w:rPr>
                <w:t>)(</w:t>
              </w:r>
              <w:proofErr w:type="gramEnd"/>
              <w:r w:rsidR="00854532" w:rsidRPr="001F5FD2">
                <w:rPr>
                  <w:rStyle w:val="Hyperlink"/>
                </w:rPr>
                <w:t>3)</w:t>
              </w:r>
            </w:hyperlink>
            <w:r w:rsidR="00854532" w:rsidRPr="001F5FD2">
              <w:t>.</w:t>
            </w:r>
          </w:p>
        </w:tc>
      </w:tr>
      <w:tr w:rsidR="00854532" w:rsidRPr="001F5FD2" w:rsidTr="00EC0AC9">
        <w:tc>
          <w:tcPr>
            <w:tcW w:w="3114" w:type="dxa"/>
            <w:shd w:val="clear" w:color="auto" w:fill="auto"/>
          </w:tcPr>
          <w:p w:rsidR="00854532" w:rsidRPr="001F5FD2" w:rsidRDefault="00854532" w:rsidP="009C76BE">
            <w:pPr>
              <w:pStyle w:val="TableText"/>
            </w:pPr>
            <w:r w:rsidRPr="001F5FD2">
              <w:t xml:space="preserve">evidence that clearly warrants an increase in a service-connected condition, the </w:t>
            </w:r>
            <w:r w:rsidR="009C76BE" w:rsidRPr="001F5FD2">
              <w:t>rating activity</w:t>
            </w:r>
            <w:r w:rsidRPr="001F5FD2">
              <w:t xml:space="preserve"> returns the claims folder to the IPC VSR</w:t>
            </w:r>
          </w:p>
        </w:tc>
        <w:tc>
          <w:tcPr>
            <w:tcW w:w="2790" w:type="dxa"/>
            <w:shd w:val="clear" w:color="auto" w:fill="auto"/>
          </w:tcPr>
          <w:p w:rsidR="00854532" w:rsidRPr="001F5FD2" w:rsidRDefault="00854532" w:rsidP="00EC0AC9">
            <w:pPr>
              <w:pStyle w:val="TableText"/>
            </w:pPr>
            <w:r w:rsidRPr="001F5FD2">
              <w:t xml:space="preserve">IPC VSR </w:t>
            </w:r>
          </w:p>
          <w:p w:rsidR="00854532" w:rsidRPr="001F5FD2" w:rsidRDefault="00854532" w:rsidP="00EC0AC9">
            <w:pPr>
              <w:pStyle w:val="TableText"/>
            </w:pPr>
          </w:p>
          <w:p w:rsidR="00854532" w:rsidRPr="001F5FD2" w:rsidRDefault="009C76BE" w:rsidP="00EC0AC9">
            <w:pPr>
              <w:pStyle w:val="BulletText1"/>
            </w:pPr>
            <w:r w:rsidRPr="001F5FD2">
              <w:t>PCANs</w:t>
            </w:r>
            <w:r w:rsidR="00854532" w:rsidRPr="001F5FD2">
              <w:t xml:space="preserve"> EP 699</w:t>
            </w:r>
          </w:p>
          <w:p w:rsidR="00854532" w:rsidRPr="001F5FD2" w:rsidRDefault="00E736B0" w:rsidP="00EC0AC9">
            <w:pPr>
              <w:pStyle w:val="BulletText1"/>
            </w:pPr>
            <w:r w:rsidRPr="001F5FD2">
              <w:t>CESTs</w:t>
            </w:r>
            <w:r w:rsidR="00854532" w:rsidRPr="001F5FD2">
              <w:t xml:space="preserve"> EP 020 with the ‘Reconsideration’ claim label, and</w:t>
            </w:r>
          </w:p>
          <w:p w:rsidR="00854532" w:rsidRPr="001F5FD2" w:rsidRDefault="00854532" w:rsidP="00EC0AC9">
            <w:pPr>
              <w:pStyle w:val="BulletText1"/>
            </w:pPr>
            <w:r w:rsidRPr="001F5FD2">
              <w:t xml:space="preserve"> returns the claims folder to the </w:t>
            </w:r>
            <w:r w:rsidR="00E736B0" w:rsidRPr="001F5FD2">
              <w:t>rating activity</w:t>
            </w:r>
            <w:r w:rsidRPr="001F5FD2">
              <w:t>.</w:t>
            </w:r>
          </w:p>
          <w:p w:rsidR="00854532" w:rsidRPr="001F5FD2" w:rsidRDefault="00854532" w:rsidP="00EC0AC9">
            <w:pPr>
              <w:pStyle w:val="TableText"/>
            </w:pPr>
          </w:p>
          <w:p w:rsidR="00854532" w:rsidRPr="001F5FD2" w:rsidRDefault="00854532" w:rsidP="00EC0AC9">
            <w:pPr>
              <w:pStyle w:val="TableText"/>
            </w:pPr>
            <w:r w:rsidRPr="001F5FD2">
              <w:rPr>
                <w:b/>
                <w:bCs/>
                <w:i/>
                <w:iCs/>
              </w:rPr>
              <w:t>Note</w:t>
            </w:r>
            <w:r w:rsidRPr="001F5FD2">
              <w:t>:  The date of claim for</w:t>
            </w:r>
            <w:r w:rsidR="00E736B0" w:rsidRPr="001F5FD2">
              <w:t xml:space="preserve"> the EP 020 is the date the rating activity</w:t>
            </w:r>
            <w:r w:rsidRPr="001F5FD2">
              <w:t xml:space="preserve"> determines a rating is necessary.</w:t>
            </w:r>
          </w:p>
        </w:tc>
        <w:tc>
          <w:tcPr>
            <w:tcW w:w="3416" w:type="dxa"/>
            <w:shd w:val="clear" w:color="auto" w:fill="auto"/>
          </w:tcPr>
          <w:p w:rsidR="00854532" w:rsidRPr="001F5FD2" w:rsidRDefault="00E736B0" w:rsidP="00EC0AC9">
            <w:pPr>
              <w:pStyle w:val="TableText"/>
            </w:pPr>
            <w:proofErr w:type="gramStart"/>
            <w:r w:rsidRPr="001F5FD2">
              <w:t>rating</w:t>
            </w:r>
            <w:proofErr w:type="gramEnd"/>
            <w:r w:rsidRPr="001F5FD2">
              <w:t xml:space="preserve"> activity</w:t>
            </w:r>
            <w:r w:rsidR="00854532" w:rsidRPr="001F5FD2">
              <w:t xml:space="preserve"> prepares a rating decision increasing the evaluation based on the evidence in the </w:t>
            </w:r>
            <w:r w:rsidR="00E92B5D" w:rsidRPr="001F5FD2">
              <w:t>claims folder</w:t>
            </w:r>
            <w:r w:rsidR="00854532" w:rsidRPr="001F5FD2">
              <w:t>.</w:t>
            </w:r>
          </w:p>
          <w:p w:rsidR="00854532" w:rsidRPr="001F5FD2" w:rsidRDefault="00854532" w:rsidP="00EC0AC9">
            <w:pPr>
              <w:pStyle w:val="TableText"/>
            </w:pPr>
          </w:p>
          <w:p w:rsidR="00854532" w:rsidRPr="001F5FD2" w:rsidRDefault="00E736B0" w:rsidP="00E736B0">
            <w:pPr>
              <w:pStyle w:val="BulletText1"/>
              <w:numPr>
                <w:ilvl w:val="0"/>
                <w:numId w:val="0"/>
              </w:numPr>
            </w:pPr>
            <w:r w:rsidRPr="001F5FD2">
              <w:rPr>
                <w:b/>
                <w:bCs/>
                <w:i/>
                <w:iCs/>
              </w:rPr>
              <w:t>Reference</w:t>
            </w:r>
            <w:r w:rsidRPr="001F5FD2">
              <w:t xml:space="preserve">:  For information on the appropriate effective date to use, see </w:t>
            </w:r>
            <w:hyperlink r:id="rId24" w:history="1">
              <w:r w:rsidRPr="001F5FD2">
                <w:rPr>
                  <w:rStyle w:val="Hyperlink"/>
                </w:rPr>
                <w:t>38 CFR 3.156(c</w:t>
              </w:r>
              <w:proofErr w:type="gramStart"/>
              <w:r w:rsidRPr="001F5FD2">
                <w:rPr>
                  <w:rStyle w:val="Hyperlink"/>
                </w:rPr>
                <w:t>)(</w:t>
              </w:r>
              <w:proofErr w:type="gramEnd"/>
              <w:r w:rsidRPr="001F5FD2">
                <w:rPr>
                  <w:rStyle w:val="Hyperlink"/>
                </w:rPr>
                <w:t>3)</w:t>
              </w:r>
            </w:hyperlink>
            <w:r w:rsidRPr="001F5FD2">
              <w:t>.</w:t>
            </w:r>
          </w:p>
        </w:tc>
      </w:tr>
      <w:tr w:rsidR="00854532" w:rsidRPr="001F5FD2" w:rsidTr="00EC0AC9">
        <w:tc>
          <w:tcPr>
            <w:tcW w:w="3114" w:type="dxa"/>
            <w:shd w:val="clear" w:color="auto" w:fill="auto"/>
          </w:tcPr>
          <w:p w:rsidR="00854532" w:rsidRPr="001F5FD2" w:rsidRDefault="00854532" w:rsidP="00EC0AC9">
            <w:pPr>
              <w:pStyle w:val="TableText"/>
            </w:pPr>
            <w:r w:rsidRPr="001F5FD2">
              <w:t xml:space="preserve">evidence of a chronic </w:t>
            </w:r>
            <w:r w:rsidRPr="001F5FD2">
              <w:lastRenderedPageBreak/>
              <w:t>condition incurred during active duty, with no claim previously filed for the condition</w:t>
            </w:r>
          </w:p>
          <w:p w:rsidR="00854532" w:rsidRPr="001F5FD2" w:rsidRDefault="00854532" w:rsidP="00EC0AC9">
            <w:pPr>
              <w:pStyle w:val="TableText"/>
            </w:pPr>
          </w:p>
          <w:p w:rsidR="00854532" w:rsidRPr="001F5FD2" w:rsidRDefault="00854532" w:rsidP="00EC0AC9">
            <w:pPr>
              <w:pStyle w:val="TableText"/>
            </w:pPr>
            <w:r w:rsidRPr="001F5FD2">
              <w:rPr>
                <w:b/>
                <w:i/>
              </w:rPr>
              <w:t>Note</w:t>
            </w:r>
            <w:r w:rsidRPr="001F5FD2">
              <w:t>:  Ex</w:t>
            </w:r>
            <w:r w:rsidR="00E736B0" w:rsidRPr="001F5FD2">
              <w:t>amples of chronic conditions include</w:t>
            </w:r>
            <w:r w:rsidRPr="001F5FD2">
              <w:t xml:space="preserve"> diabetes mellitus and cancer.</w:t>
            </w:r>
          </w:p>
        </w:tc>
        <w:tc>
          <w:tcPr>
            <w:tcW w:w="2790" w:type="dxa"/>
            <w:shd w:val="clear" w:color="auto" w:fill="auto"/>
          </w:tcPr>
          <w:p w:rsidR="00854532" w:rsidRPr="001F5FD2" w:rsidRDefault="00E736B0" w:rsidP="00E736B0">
            <w:pPr>
              <w:pStyle w:val="TableText"/>
            </w:pPr>
            <w:r w:rsidRPr="001F5FD2">
              <w:lastRenderedPageBreak/>
              <w:t>rating activity</w:t>
            </w:r>
            <w:r w:rsidR="00854532" w:rsidRPr="001F5FD2">
              <w:t xml:space="preserve"> returns the </w:t>
            </w:r>
            <w:r w:rsidR="00854532" w:rsidRPr="001F5FD2">
              <w:lastRenderedPageBreak/>
              <w:t>c</w:t>
            </w:r>
            <w:r w:rsidRPr="001F5FD2">
              <w:t>laims folder</w:t>
            </w:r>
            <w:r w:rsidR="00854532" w:rsidRPr="001F5FD2">
              <w:t xml:space="preserve"> to the IPC VSR</w:t>
            </w:r>
          </w:p>
        </w:tc>
        <w:tc>
          <w:tcPr>
            <w:tcW w:w="3416" w:type="dxa"/>
            <w:shd w:val="clear" w:color="auto" w:fill="auto"/>
          </w:tcPr>
          <w:p w:rsidR="00854532" w:rsidRPr="001F5FD2" w:rsidRDefault="00854532" w:rsidP="00EC0AC9">
            <w:pPr>
              <w:pStyle w:val="TableText"/>
            </w:pPr>
            <w:r w:rsidRPr="001F5FD2">
              <w:lastRenderedPageBreak/>
              <w:t xml:space="preserve">VSR </w:t>
            </w:r>
          </w:p>
          <w:p w:rsidR="00854532" w:rsidRPr="001F5FD2" w:rsidRDefault="00854532" w:rsidP="00EC0AC9">
            <w:pPr>
              <w:pStyle w:val="TableText"/>
            </w:pPr>
          </w:p>
          <w:p w:rsidR="00854532" w:rsidRPr="001F5FD2" w:rsidRDefault="00854532" w:rsidP="00EC0AC9">
            <w:pPr>
              <w:pStyle w:val="BulletText1"/>
            </w:pPr>
            <w:r w:rsidRPr="001F5FD2">
              <w:t>PCLRs EP 699, and</w:t>
            </w:r>
          </w:p>
          <w:p w:rsidR="00854532" w:rsidRPr="001F5FD2" w:rsidRDefault="00854532" w:rsidP="00EC0AC9">
            <w:pPr>
              <w:pStyle w:val="BulletText1"/>
            </w:pPr>
            <w:r w:rsidRPr="001F5FD2">
              <w:t>solicits a claim from the Veteran.</w:t>
            </w:r>
          </w:p>
          <w:p w:rsidR="00854532" w:rsidRPr="001F5FD2" w:rsidRDefault="00854532" w:rsidP="00EC0AC9">
            <w:pPr>
              <w:pStyle w:val="TableText"/>
            </w:pPr>
          </w:p>
          <w:p w:rsidR="00854532" w:rsidRPr="001F5FD2" w:rsidRDefault="00854532" w:rsidP="00EC0AC9">
            <w:pPr>
              <w:pStyle w:val="TableText"/>
            </w:pPr>
            <w:r w:rsidRPr="001F5FD2">
              <w:rPr>
                <w:b/>
                <w:i/>
              </w:rPr>
              <w:t>Reference</w:t>
            </w:r>
            <w:r w:rsidRPr="001F5FD2">
              <w:t>:  For more information on soliciting claims, see M21-1, Part IV, Sub</w:t>
            </w:r>
            <w:r w:rsidR="00E736B0" w:rsidRPr="001F5FD2">
              <w:t>part ii, 2.A.1.f</w:t>
            </w:r>
            <w:r w:rsidRPr="001F5FD2">
              <w:t>.</w:t>
            </w:r>
          </w:p>
        </w:tc>
      </w:tr>
      <w:tr w:rsidR="00854532" w:rsidRPr="001F5FD2" w:rsidTr="00EC0AC9">
        <w:tc>
          <w:tcPr>
            <w:tcW w:w="3114" w:type="dxa"/>
            <w:shd w:val="clear" w:color="auto" w:fill="auto"/>
          </w:tcPr>
          <w:p w:rsidR="00854532" w:rsidRPr="001F5FD2" w:rsidRDefault="00854532" w:rsidP="00EC0AC9">
            <w:pPr>
              <w:pStyle w:val="TableText"/>
            </w:pPr>
            <w:r w:rsidRPr="001F5FD2">
              <w:lastRenderedPageBreak/>
              <w:t>evidence related to a</w:t>
            </w:r>
            <w:r w:rsidR="00B2405D" w:rsidRPr="001F5FD2">
              <w:t xml:space="preserve"> service-connected</w:t>
            </w:r>
            <w:r w:rsidRPr="001F5FD2">
              <w:t xml:space="preserve"> disability that does not warrant an increased evaluation</w:t>
            </w:r>
          </w:p>
          <w:p w:rsidR="00854532" w:rsidRPr="001F5FD2" w:rsidRDefault="00854532" w:rsidP="00EC0AC9">
            <w:pPr>
              <w:pStyle w:val="TableText"/>
            </w:pPr>
          </w:p>
          <w:p w:rsidR="00854532" w:rsidRPr="001F5FD2" w:rsidRDefault="00854532" w:rsidP="00EC0AC9">
            <w:pPr>
              <w:pStyle w:val="TableText"/>
            </w:pPr>
          </w:p>
        </w:tc>
        <w:tc>
          <w:tcPr>
            <w:tcW w:w="2790" w:type="dxa"/>
            <w:shd w:val="clear" w:color="auto" w:fill="auto"/>
          </w:tcPr>
          <w:p w:rsidR="00854532" w:rsidRPr="001F5FD2" w:rsidRDefault="00E736B0" w:rsidP="00EC0AC9">
            <w:pPr>
              <w:pStyle w:val="TableText"/>
            </w:pPr>
            <w:r w:rsidRPr="001F5FD2">
              <w:t>rating activity</w:t>
            </w:r>
          </w:p>
          <w:p w:rsidR="00854532" w:rsidRPr="001F5FD2" w:rsidRDefault="00854532" w:rsidP="00EC0AC9">
            <w:pPr>
              <w:pStyle w:val="TableText"/>
            </w:pPr>
          </w:p>
          <w:p w:rsidR="00854532" w:rsidRPr="001F5FD2" w:rsidRDefault="00854532" w:rsidP="00EC0AC9">
            <w:pPr>
              <w:pStyle w:val="BulletText1"/>
            </w:pPr>
            <w:r w:rsidRPr="001F5FD2">
              <w:t xml:space="preserve">annotates </w:t>
            </w:r>
            <w:r w:rsidRPr="001F5FD2">
              <w:rPr>
                <w:i/>
                <w:iCs/>
              </w:rPr>
              <w:t xml:space="preserve">Additional STRs reviewed, NAN, </w:t>
            </w:r>
            <w:r w:rsidRPr="001F5FD2">
              <w:rPr>
                <w:iCs/>
              </w:rPr>
              <w:t>and</w:t>
            </w:r>
          </w:p>
          <w:p w:rsidR="00854532" w:rsidRPr="001F5FD2" w:rsidRDefault="00854532" w:rsidP="00EC0AC9">
            <w:pPr>
              <w:pStyle w:val="BulletText1"/>
            </w:pPr>
            <w:r w:rsidRPr="001F5FD2">
              <w:t>returns the claims folder to the IPC VSR</w:t>
            </w:r>
            <w:r w:rsidR="00702FF5" w:rsidRPr="001F5FD2">
              <w:t>.</w:t>
            </w:r>
          </w:p>
        </w:tc>
        <w:tc>
          <w:tcPr>
            <w:tcW w:w="3416" w:type="dxa"/>
            <w:shd w:val="clear" w:color="auto" w:fill="auto"/>
          </w:tcPr>
          <w:p w:rsidR="00854532" w:rsidRPr="001F5FD2" w:rsidRDefault="00854532" w:rsidP="00EC0AC9">
            <w:pPr>
              <w:pStyle w:val="TableText"/>
            </w:pPr>
            <w:r w:rsidRPr="001F5FD2">
              <w:t xml:space="preserve">VSR </w:t>
            </w:r>
          </w:p>
          <w:p w:rsidR="00854532" w:rsidRPr="001F5FD2" w:rsidRDefault="00854532" w:rsidP="00EC0AC9">
            <w:pPr>
              <w:pStyle w:val="TableText"/>
            </w:pPr>
          </w:p>
          <w:p w:rsidR="00E736B0" w:rsidRPr="001F5FD2" w:rsidRDefault="00854532" w:rsidP="00E736B0">
            <w:pPr>
              <w:pStyle w:val="ListParagraph"/>
              <w:numPr>
                <w:ilvl w:val="0"/>
                <w:numId w:val="32"/>
              </w:numPr>
              <w:ind w:left="158" w:hanging="187"/>
            </w:pPr>
            <w:r w:rsidRPr="001F5FD2">
              <w:t>PCLRs EP 699</w:t>
            </w:r>
          </w:p>
          <w:p w:rsidR="00E736B0" w:rsidRPr="001F5FD2" w:rsidRDefault="00854532" w:rsidP="00E736B0">
            <w:pPr>
              <w:pStyle w:val="ListParagraph"/>
              <w:numPr>
                <w:ilvl w:val="0"/>
                <w:numId w:val="32"/>
              </w:numPr>
              <w:ind w:left="158" w:hanging="187"/>
            </w:pPr>
            <w:r w:rsidRPr="001F5FD2">
              <w:t xml:space="preserve">files unassociated </w:t>
            </w:r>
            <w:r w:rsidR="002E5503" w:rsidRPr="001F5FD2">
              <w:t xml:space="preserve">or supplemental </w:t>
            </w:r>
            <w:r w:rsidRPr="001F5FD2">
              <w:t>STRs in a separate STR jacket, and</w:t>
            </w:r>
          </w:p>
          <w:p w:rsidR="00854532" w:rsidRPr="001F5FD2" w:rsidRDefault="00854532" w:rsidP="00E736B0">
            <w:pPr>
              <w:pStyle w:val="ListParagraph"/>
              <w:numPr>
                <w:ilvl w:val="0"/>
                <w:numId w:val="32"/>
              </w:numPr>
              <w:ind w:left="158" w:hanging="187"/>
            </w:pPr>
            <w:r w:rsidRPr="001F5FD2">
              <w:t>returns the claims folder to files.</w:t>
            </w:r>
          </w:p>
        </w:tc>
      </w:tr>
      <w:tr w:rsidR="00854532" w:rsidRPr="001F5FD2" w:rsidTr="00EC0AC9">
        <w:tc>
          <w:tcPr>
            <w:tcW w:w="3114" w:type="dxa"/>
            <w:shd w:val="clear" w:color="auto" w:fill="auto"/>
          </w:tcPr>
          <w:p w:rsidR="00854532" w:rsidRPr="001F5FD2" w:rsidRDefault="00854532" w:rsidP="00EC0AC9">
            <w:pPr>
              <w:pStyle w:val="TableText"/>
            </w:pPr>
            <w:r w:rsidRPr="001F5FD2">
              <w:t>duplicate evidence</w:t>
            </w:r>
          </w:p>
        </w:tc>
        <w:tc>
          <w:tcPr>
            <w:tcW w:w="2790" w:type="dxa"/>
            <w:shd w:val="clear" w:color="auto" w:fill="auto"/>
          </w:tcPr>
          <w:p w:rsidR="00854532" w:rsidRPr="001F5FD2" w:rsidRDefault="00E736B0" w:rsidP="00EC0AC9">
            <w:pPr>
              <w:pStyle w:val="TableText"/>
            </w:pPr>
            <w:r w:rsidRPr="001F5FD2">
              <w:t>rating activity</w:t>
            </w:r>
          </w:p>
          <w:p w:rsidR="00854532" w:rsidRPr="001F5FD2" w:rsidRDefault="00854532" w:rsidP="00EC0AC9">
            <w:pPr>
              <w:pStyle w:val="TableText"/>
            </w:pPr>
          </w:p>
          <w:p w:rsidR="00854532" w:rsidRPr="001F5FD2" w:rsidRDefault="00854532" w:rsidP="00EC0AC9">
            <w:pPr>
              <w:pStyle w:val="BulletText1"/>
            </w:pPr>
            <w:r w:rsidRPr="001F5FD2">
              <w:t xml:space="preserve">annotates </w:t>
            </w:r>
            <w:r w:rsidRPr="001F5FD2">
              <w:rPr>
                <w:i/>
                <w:iCs/>
              </w:rPr>
              <w:t xml:space="preserve">Additional STRs reviewed, NAN, </w:t>
            </w:r>
            <w:r w:rsidRPr="001F5FD2">
              <w:rPr>
                <w:iCs/>
              </w:rPr>
              <w:t>and</w:t>
            </w:r>
          </w:p>
          <w:p w:rsidR="00854532" w:rsidRPr="001F5FD2" w:rsidRDefault="00854532" w:rsidP="00EC0AC9">
            <w:pPr>
              <w:pStyle w:val="BulletText1"/>
            </w:pPr>
            <w:r w:rsidRPr="001F5FD2">
              <w:t>returns the claims folder to the IPC VSR</w:t>
            </w:r>
            <w:r w:rsidR="00702FF5" w:rsidRPr="001F5FD2">
              <w:t>.</w:t>
            </w:r>
          </w:p>
        </w:tc>
        <w:tc>
          <w:tcPr>
            <w:tcW w:w="3416" w:type="dxa"/>
            <w:shd w:val="clear" w:color="auto" w:fill="auto"/>
          </w:tcPr>
          <w:p w:rsidR="00854532" w:rsidRPr="001F5FD2" w:rsidRDefault="00854532" w:rsidP="00EC0AC9">
            <w:pPr>
              <w:pStyle w:val="TableText"/>
            </w:pPr>
            <w:r w:rsidRPr="001F5FD2">
              <w:t>VSR</w:t>
            </w:r>
          </w:p>
          <w:p w:rsidR="00854532" w:rsidRPr="001F5FD2" w:rsidRDefault="00854532" w:rsidP="00EC0AC9">
            <w:pPr>
              <w:pStyle w:val="TableText"/>
            </w:pPr>
          </w:p>
          <w:p w:rsidR="00854532" w:rsidRPr="001F5FD2" w:rsidRDefault="00854532" w:rsidP="00EC0AC9">
            <w:pPr>
              <w:pStyle w:val="BulletText1"/>
            </w:pPr>
            <w:r w:rsidRPr="001F5FD2">
              <w:t>PCLRs EP 699, and</w:t>
            </w:r>
          </w:p>
          <w:p w:rsidR="00854532" w:rsidRPr="001F5FD2" w:rsidRDefault="00854532" w:rsidP="00EC0AC9">
            <w:pPr>
              <w:pStyle w:val="BulletText1"/>
            </w:pPr>
            <w:r w:rsidRPr="001F5FD2">
              <w:t>sends the Veteran the duplicate STRs with a cover letter.</w:t>
            </w:r>
          </w:p>
        </w:tc>
      </w:tr>
      <w:tr w:rsidR="00854532" w:rsidRPr="001F5FD2" w:rsidTr="00EC0AC9">
        <w:tc>
          <w:tcPr>
            <w:tcW w:w="3114" w:type="dxa"/>
            <w:shd w:val="clear" w:color="auto" w:fill="auto"/>
          </w:tcPr>
          <w:p w:rsidR="00854532" w:rsidRPr="001F5FD2" w:rsidRDefault="00854532" w:rsidP="00EC0AC9">
            <w:pPr>
              <w:pStyle w:val="TableText"/>
            </w:pPr>
            <w:r w:rsidRPr="001F5FD2">
              <w:t>new evidence,  but none that</w:t>
            </w:r>
          </w:p>
          <w:p w:rsidR="00854532" w:rsidRPr="001F5FD2" w:rsidRDefault="00854532" w:rsidP="00EC0AC9">
            <w:pPr>
              <w:pStyle w:val="TableText"/>
            </w:pPr>
          </w:p>
          <w:p w:rsidR="00854532" w:rsidRPr="001F5FD2" w:rsidRDefault="00854532" w:rsidP="00EC0AC9">
            <w:pPr>
              <w:pStyle w:val="BulletText1"/>
            </w:pPr>
            <w:r w:rsidRPr="001F5FD2">
              <w:t>indicates an increase in a</w:t>
            </w:r>
            <w:r w:rsidR="00B2405D" w:rsidRPr="001F5FD2">
              <w:t xml:space="preserve"> service-connected</w:t>
            </w:r>
            <w:r w:rsidRPr="001F5FD2">
              <w:t xml:space="preserve"> disability</w:t>
            </w:r>
          </w:p>
          <w:p w:rsidR="00854532" w:rsidRPr="001F5FD2" w:rsidRDefault="00854532" w:rsidP="00EC0AC9">
            <w:pPr>
              <w:pStyle w:val="BulletText1"/>
            </w:pPr>
            <w:r w:rsidRPr="001F5FD2">
              <w:t>relates to a previously</w:t>
            </w:r>
            <w:r w:rsidR="0055643C" w:rsidRPr="001F5FD2">
              <w:t>-</w:t>
            </w:r>
            <w:r w:rsidRPr="001F5FD2">
              <w:t>denied claim, or</w:t>
            </w:r>
          </w:p>
          <w:p w:rsidR="00854532" w:rsidRPr="001F5FD2" w:rsidRDefault="00854532" w:rsidP="00EC0AC9">
            <w:pPr>
              <w:pStyle w:val="BulletText1"/>
            </w:pPr>
            <w:r w:rsidRPr="001F5FD2">
              <w:t xml:space="preserve"> shows a chronic, unclaimed condition incurred during active duty</w:t>
            </w:r>
          </w:p>
        </w:tc>
        <w:tc>
          <w:tcPr>
            <w:tcW w:w="2790" w:type="dxa"/>
            <w:shd w:val="clear" w:color="auto" w:fill="auto"/>
          </w:tcPr>
          <w:p w:rsidR="00854532" w:rsidRPr="001F5FD2" w:rsidRDefault="00E736B0" w:rsidP="00EC0AC9">
            <w:pPr>
              <w:pStyle w:val="TableText"/>
            </w:pPr>
            <w:r w:rsidRPr="001F5FD2">
              <w:t>rating activity</w:t>
            </w:r>
          </w:p>
          <w:p w:rsidR="00854532" w:rsidRPr="001F5FD2" w:rsidRDefault="00854532" w:rsidP="00EC0AC9">
            <w:pPr>
              <w:pStyle w:val="TableText"/>
            </w:pPr>
          </w:p>
          <w:p w:rsidR="00854532" w:rsidRPr="001F5FD2" w:rsidRDefault="00854532" w:rsidP="00EC0AC9">
            <w:pPr>
              <w:pStyle w:val="BulletText1"/>
            </w:pPr>
            <w:r w:rsidRPr="001F5FD2">
              <w:t xml:space="preserve">annotates </w:t>
            </w:r>
            <w:r w:rsidRPr="001F5FD2">
              <w:rPr>
                <w:i/>
                <w:iCs/>
              </w:rPr>
              <w:t xml:space="preserve">Additional STRs reviewed, NAN, </w:t>
            </w:r>
            <w:r w:rsidRPr="001F5FD2">
              <w:rPr>
                <w:iCs/>
              </w:rPr>
              <w:t>and</w:t>
            </w:r>
          </w:p>
          <w:p w:rsidR="00854532" w:rsidRPr="001F5FD2" w:rsidRDefault="00854532" w:rsidP="00EC0AC9">
            <w:pPr>
              <w:pStyle w:val="BulletText1"/>
            </w:pPr>
            <w:r w:rsidRPr="001F5FD2">
              <w:t>returns the claims folder to the IPC VSR</w:t>
            </w:r>
            <w:r w:rsidR="00702FF5" w:rsidRPr="001F5FD2">
              <w:t>.</w:t>
            </w:r>
          </w:p>
        </w:tc>
        <w:tc>
          <w:tcPr>
            <w:tcW w:w="3416" w:type="dxa"/>
            <w:shd w:val="clear" w:color="auto" w:fill="auto"/>
          </w:tcPr>
          <w:p w:rsidR="00854532" w:rsidRPr="001F5FD2" w:rsidRDefault="00854532" w:rsidP="00EC0AC9">
            <w:pPr>
              <w:pStyle w:val="TableText"/>
            </w:pPr>
            <w:r w:rsidRPr="001F5FD2">
              <w:t xml:space="preserve">VSR </w:t>
            </w:r>
          </w:p>
          <w:p w:rsidR="00854532" w:rsidRPr="001F5FD2" w:rsidRDefault="00854532" w:rsidP="00EC0AC9">
            <w:pPr>
              <w:pStyle w:val="TableText"/>
            </w:pPr>
          </w:p>
          <w:p w:rsidR="00854532" w:rsidRPr="001F5FD2" w:rsidRDefault="00854532" w:rsidP="00EC0AC9">
            <w:pPr>
              <w:pStyle w:val="BulletText1"/>
            </w:pPr>
            <w:r w:rsidRPr="001F5FD2">
              <w:t>PCLRs EP 699</w:t>
            </w:r>
          </w:p>
          <w:p w:rsidR="00854532" w:rsidRPr="001F5FD2" w:rsidRDefault="00854532" w:rsidP="00EC0AC9">
            <w:pPr>
              <w:pStyle w:val="BulletText1"/>
            </w:pPr>
            <w:r w:rsidRPr="001F5FD2">
              <w:t xml:space="preserve">files the unassociated </w:t>
            </w:r>
            <w:r w:rsidR="002E5503" w:rsidRPr="001F5FD2">
              <w:t xml:space="preserve">or supplemental </w:t>
            </w:r>
            <w:r w:rsidRPr="001F5FD2">
              <w:t>STRs in a separate STR jacket, and</w:t>
            </w:r>
          </w:p>
          <w:p w:rsidR="00854532" w:rsidRPr="001F5FD2" w:rsidRDefault="00854532" w:rsidP="00EC0AC9">
            <w:pPr>
              <w:pStyle w:val="BulletText1"/>
            </w:pPr>
            <w:r w:rsidRPr="001F5FD2">
              <w:t xml:space="preserve"> returns the claims folder to the files.</w:t>
            </w:r>
          </w:p>
        </w:tc>
      </w:tr>
    </w:tbl>
    <w:p w:rsidR="00854532" w:rsidRPr="001F5FD2" w:rsidRDefault="00854532" w:rsidP="00E035A6"/>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035A6" w:rsidRPr="001F5FD2" w:rsidTr="00E035A6">
        <w:tc>
          <w:tcPr>
            <w:tcW w:w="7740" w:type="dxa"/>
            <w:shd w:val="clear" w:color="auto" w:fill="auto"/>
          </w:tcPr>
          <w:p w:rsidR="00E035A6" w:rsidRPr="001F5FD2" w:rsidRDefault="00E035A6" w:rsidP="00E035A6">
            <w:pPr>
              <w:pStyle w:val="BlockText"/>
            </w:pPr>
            <w:r w:rsidRPr="001F5FD2">
              <w:rPr>
                <w:b/>
                <w:bCs/>
                <w:i/>
                <w:iCs/>
              </w:rPr>
              <w:t>Note</w:t>
            </w:r>
            <w:r w:rsidRPr="001F5FD2">
              <w:t>:  When it is necessary to PCLR an EP 699 that is still pending as a future diary, the VSR will</w:t>
            </w:r>
          </w:p>
          <w:p w:rsidR="00E035A6" w:rsidRPr="001F5FD2" w:rsidRDefault="00E035A6" w:rsidP="00E035A6">
            <w:pPr>
              <w:pStyle w:val="BulletText1"/>
            </w:pPr>
            <w:r w:rsidRPr="001F5FD2">
              <w:t>change (PCHG) the EP 699 diary to EP 930</w:t>
            </w:r>
          </w:p>
          <w:p w:rsidR="005F25D9" w:rsidRPr="001F5FD2" w:rsidRDefault="00E035A6" w:rsidP="00E035A6">
            <w:pPr>
              <w:pStyle w:val="BulletText1"/>
            </w:pPr>
            <w:r w:rsidRPr="001F5FD2">
              <w:t>PCAN the EP 930, and</w:t>
            </w:r>
          </w:p>
          <w:p w:rsidR="00E035A6" w:rsidRPr="001F5FD2" w:rsidRDefault="00E035A6" w:rsidP="00E035A6">
            <w:pPr>
              <w:pStyle w:val="BulletText1"/>
            </w:pPr>
            <w:r w:rsidRPr="001F5FD2">
              <w:t>PCLR a new EP 699 using that day as the date of claim.</w:t>
            </w:r>
          </w:p>
        </w:tc>
      </w:tr>
    </w:tbl>
    <w:p w:rsidR="00E035A6" w:rsidRPr="001F5FD2" w:rsidRDefault="00E035A6" w:rsidP="00E035A6">
      <w:pPr>
        <w:tabs>
          <w:tab w:val="left" w:pos="9360"/>
        </w:tabs>
        <w:ind w:left="1714"/>
      </w:pPr>
      <w:r w:rsidRPr="001F5FD2">
        <w:rPr>
          <w:u w:val="single"/>
        </w:rPr>
        <w:tab/>
      </w:r>
    </w:p>
    <w:p w:rsidR="00E035A6" w:rsidRPr="001F5FD2" w:rsidRDefault="00E035A6" w:rsidP="00E035A6"/>
    <w:tbl>
      <w:tblPr>
        <w:tblW w:w="0" w:type="auto"/>
        <w:tblLayout w:type="fixed"/>
        <w:tblLook w:val="0000" w:firstRow="0" w:lastRow="0" w:firstColumn="0" w:lastColumn="0" w:noHBand="0" w:noVBand="0"/>
      </w:tblPr>
      <w:tblGrid>
        <w:gridCol w:w="1728"/>
        <w:gridCol w:w="7740"/>
      </w:tblGrid>
      <w:tr w:rsidR="00854532" w:rsidRPr="005F63EF" w:rsidTr="00EC0AC9">
        <w:tc>
          <w:tcPr>
            <w:tcW w:w="1728" w:type="dxa"/>
          </w:tcPr>
          <w:p w:rsidR="00854532" w:rsidRPr="001F5FD2" w:rsidRDefault="00854532" w:rsidP="00EC0AC9">
            <w:pPr>
              <w:pStyle w:val="Heading5"/>
            </w:pPr>
            <w:r w:rsidRPr="001F5FD2">
              <w:t>c.  Notifying the Veteran of Rating Decision</w:t>
            </w:r>
            <w:r w:rsidR="00EC0AC9" w:rsidRPr="001F5FD2">
              <w:t xml:space="preserve"> Based on Unassociated</w:t>
            </w:r>
            <w:r w:rsidR="002E5503" w:rsidRPr="001F5FD2">
              <w:t xml:space="preserve"> or Supplemental</w:t>
            </w:r>
            <w:r w:rsidR="00EC0AC9" w:rsidRPr="001F5FD2">
              <w:t xml:space="preserve"> </w:t>
            </w:r>
            <w:r w:rsidRPr="001F5FD2">
              <w:t>STRs</w:t>
            </w:r>
          </w:p>
        </w:tc>
        <w:tc>
          <w:tcPr>
            <w:tcW w:w="7740" w:type="dxa"/>
          </w:tcPr>
          <w:p w:rsidR="00854532" w:rsidRPr="001F5FD2" w:rsidRDefault="00854532" w:rsidP="00EC0AC9">
            <w:pPr>
              <w:pStyle w:val="BlockText"/>
            </w:pPr>
            <w:r w:rsidRPr="001F5FD2">
              <w:t xml:space="preserve">All rating decisions </w:t>
            </w:r>
            <w:r w:rsidR="004D2383" w:rsidRPr="001F5FD2">
              <w:t>award</w:t>
            </w:r>
            <w:r w:rsidRPr="001F5FD2">
              <w:t xml:space="preserve">ing </w:t>
            </w:r>
            <w:r w:rsidR="00E736B0" w:rsidRPr="001F5FD2">
              <w:t>SC</w:t>
            </w:r>
            <w:r w:rsidRPr="001F5FD2">
              <w:t xml:space="preserve">, an increased disability evaluation, or death benefits based on unassociated </w:t>
            </w:r>
            <w:r w:rsidR="002E5503" w:rsidRPr="001F5FD2">
              <w:t xml:space="preserve">or supplemental </w:t>
            </w:r>
            <w:r w:rsidRPr="001F5FD2">
              <w:t>STRs will contain the following language:</w:t>
            </w:r>
          </w:p>
          <w:p w:rsidR="00854532" w:rsidRPr="001F5FD2" w:rsidRDefault="00854532" w:rsidP="00EC0AC9">
            <w:pPr>
              <w:pStyle w:val="BlockText"/>
            </w:pPr>
          </w:p>
          <w:p w:rsidR="00854532" w:rsidRPr="005F63EF" w:rsidRDefault="002E34D1" w:rsidP="00EC0AC9">
            <w:pPr>
              <w:pStyle w:val="BlockText"/>
              <w:rPr>
                <w:i/>
                <w:iCs/>
              </w:rPr>
            </w:pPr>
            <w:r w:rsidRPr="001F5FD2">
              <w:rPr>
                <w:i/>
                <w:iCs/>
              </w:rPr>
              <w:t>“</w:t>
            </w:r>
            <w:r w:rsidR="00854532" w:rsidRPr="001F5FD2">
              <w:rPr>
                <w:i/>
                <w:iCs/>
              </w:rPr>
              <w:t xml:space="preserve">VA has received additional service treatment records that were previously unavailable.  The following decision is based on the additional medical </w:t>
            </w:r>
            <w:r w:rsidR="00854532" w:rsidRPr="001F5FD2">
              <w:rPr>
                <w:i/>
                <w:iCs/>
              </w:rPr>
              <w:lastRenderedPageBreak/>
              <w:t>evidence.</w:t>
            </w:r>
            <w:r w:rsidRPr="001F5FD2">
              <w:rPr>
                <w:i/>
                <w:iCs/>
              </w:rPr>
              <w:t>”</w:t>
            </w:r>
          </w:p>
        </w:tc>
      </w:tr>
    </w:tbl>
    <w:p w:rsidR="00854532" w:rsidRDefault="00854532" w:rsidP="00854532">
      <w:pPr>
        <w:tabs>
          <w:tab w:val="left" w:pos="9360"/>
        </w:tabs>
        <w:ind w:left="1714"/>
      </w:pPr>
      <w:r>
        <w:rPr>
          <w:u w:val="single"/>
        </w:rPr>
        <w:lastRenderedPageBreak/>
        <w:tab/>
      </w:r>
    </w:p>
    <w:p w:rsidR="00854532" w:rsidRDefault="00854532" w:rsidP="00854532">
      <w:pPr>
        <w:ind w:left="1714"/>
      </w:pPr>
    </w:p>
    <w:p w:rsidR="00854532" w:rsidRPr="00854532" w:rsidRDefault="00854532" w:rsidP="00854532"/>
    <w:sectPr w:rsidR="00854532" w:rsidRPr="00854532" w:rsidSect="00860EFA">
      <w:headerReference w:type="even" r:id="rId25"/>
      <w:headerReference w:type="default" r:id="rId26"/>
      <w:footerReference w:type="even" r:id="rId27"/>
      <w:footerReference w:type="default" r:id="rId28"/>
      <w:headerReference w:type="first" r:id="rId29"/>
      <w:footerReference w:type="first" r:id="rId30"/>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D8" w:rsidRDefault="00576DD8">
      <w:r>
        <w:separator/>
      </w:r>
    </w:p>
  </w:endnote>
  <w:endnote w:type="continuationSeparator" w:id="0">
    <w:p w:rsidR="00576DD8" w:rsidRDefault="00576DD8">
      <w:r>
        <w:continuationSeparator/>
      </w:r>
    </w:p>
  </w:endnote>
  <w:endnote w:type="continuationNotice" w:id="1">
    <w:p w:rsidR="00576DD8" w:rsidRDefault="00576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29" w:rsidRDefault="00556E29">
    <w:pPr>
      <w:pStyle w:val="Footer"/>
      <w:tabs>
        <w:tab w:val="left" w:pos="0"/>
        <w:tab w:val="right" w:pos="9274"/>
      </w:tabs>
      <w:ind w:right="360"/>
      <w:rPr>
        <w:b/>
        <w:sz w:val="20"/>
      </w:rPr>
    </w:pPr>
    <w:r>
      <w:rPr>
        <w:b/>
        <w:sz w:val="20"/>
      </w:rPr>
      <w:t>2-A-</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8</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29" w:rsidRDefault="00556E29">
    <w:pPr>
      <w:pStyle w:val="Footer"/>
      <w:tabs>
        <w:tab w:val="left" w:pos="0"/>
        <w:tab w:val="right" w:pos="9274"/>
      </w:tabs>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29" w:rsidRDefault="00556E29">
    <w:pPr>
      <w:pStyle w:val="Footer"/>
      <w:tabs>
        <w:tab w:val="left" w:pos="0"/>
        <w:tab w:val="right" w:pos="9274"/>
      </w:tabs>
      <w:rPr>
        <w:b/>
        <w:sz w:val="20"/>
      </w:rPr>
    </w:pPr>
    <w:r>
      <w:rPr>
        <w:b/>
        <w:sz w:val="20"/>
      </w:rPr>
      <w:tab/>
    </w:r>
    <w:r>
      <w:rPr>
        <w:b/>
        <w:sz w:val="20"/>
      </w:rPr>
      <w:tab/>
      <w:t>2-K-</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D8" w:rsidRDefault="00576DD8">
      <w:r>
        <w:separator/>
      </w:r>
    </w:p>
  </w:footnote>
  <w:footnote w:type="continuationSeparator" w:id="0">
    <w:p w:rsidR="00576DD8" w:rsidRDefault="00576DD8">
      <w:r>
        <w:continuationSeparator/>
      </w:r>
    </w:p>
  </w:footnote>
  <w:footnote w:type="continuationNotice" w:id="1">
    <w:p w:rsidR="00576DD8" w:rsidRDefault="00576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29" w:rsidRDefault="00556E29">
    <w:pPr>
      <w:pStyle w:val="Header"/>
      <w:tabs>
        <w:tab w:val="left" w:pos="0"/>
      </w:tabs>
      <w:rPr>
        <w:b/>
        <w:sz w:val="20"/>
      </w:rPr>
    </w:pPr>
    <w:r>
      <w:rPr>
        <w:b/>
        <w:sz w:val="20"/>
      </w:rPr>
      <w:t>M21-1, Part IV, Subpart ii, Chapter 2, Section A</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29" w:rsidRDefault="00556E29">
    <w:pPr>
      <w:pStyle w:val="Header"/>
      <w:tabs>
        <w:tab w:val="left" w:pos="0"/>
      </w:tabs>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29" w:rsidRDefault="00556E29">
    <w:pPr>
      <w:pStyle w:val="Header"/>
      <w:tabs>
        <w:tab w:val="left" w:pos="0"/>
      </w:tabs>
      <w:rPr>
        <w:b/>
        <w:sz w:val="20"/>
      </w:rPr>
    </w:pPr>
    <w:r>
      <w:rPr>
        <w:b/>
        <w:sz w:val="20"/>
      </w:rPr>
      <w:t>11/26/02</w:t>
    </w:r>
    <w:r>
      <w:rPr>
        <w:b/>
        <w:sz w:val="20"/>
      </w:rPr>
      <w:tab/>
      <w:t>M21-1,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fspro_2columns"/>
      </v:shape>
    </w:pict>
  </w:numPicBullet>
  <w:numPicBullet w:numPicBulletId="1">
    <w:pict>
      <v:shape id="_x0000_i1035" type="#_x0000_t75" style="width:12pt;height:12pt" o:bullet="t">
        <v:imagedata r:id="rId2" o:title="advanced"/>
      </v:shape>
    </w:pict>
  </w:numPicBullet>
  <w:numPicBullet w:numPicBulletId="2">
    <w:pict>
      <v:shape id="_x0000_i1036" type="#_x0000_t75" style="width:12pt;height:12pt" o:bullet="t">
        <v:imagedata r:id="rId3" o:title="continue"/>
      </v:shape>
    </w:pict>
  </w:numPicBullet>
  <w:numPicBullet w:numPicBulletId="3">
    <w:pict>
      <v:shape id="_x0000_i1037" type="#_x0000_t75" style="width:12pt;height:12pt" o:bullet="t">
        <v:imagedata r:id="rId4" o:title="webpage"/>
      </v:shape>
    </w:pict>
  </w:numPicBullet>
  <w:abstractNum w:abstractNumId="0">
    <w:nsid w:val="FFFFFF89"/>
    <w:multiLevelType w:val="singleLevel"/>
    <w:tmpl w:val="D82E1C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1512B"/>
    <w:multiLevelType w:val="hybridMultilevel"/>
    <w:tmpl w:val="5F166DFE"/>
    <w:lvl w:ilvl="0" w:tplc="D15677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4102"/>
    <w:multiLevelType w:val="hybridMultilevel"/>
    <w:tmpl w:val="5590C9E6"/>
    <w:lvl w:ilvl="0" w:tplc="820EB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07187"/>
    <w:multiLevelType w:val="hybridMultilevel"/>
    <w:tmpl w:val="0AF6F536"/>
    <w:lvl w:ilvl="0" w:tplc="7E341E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9149E"/>
    <w:multiLevelType w:val="hybridMultilevel"/>
    <w:tmpl w:val="28D83BD0"/>
    <w:lvl w:ilvl="0" w:tplc="820EB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C0BAB"/>
    <w:multiLevelType w:val="hybridMultilevel"/>
    <w:tmpl w:val="B1B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B6E6B"/>
    <w:multiLevelType w:val="hybridMultilevel"/>
    <w:tmpl w:val="B65EB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24CB0"/>
    <w:multiLevelType w:val="hybridMultilevel"/>
    <w:tmpl w:val="E934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038BF"/>
    <w:multiLevelType w:val="hybridMultilevel"/>
    <w:tmpl w:val="85A448FA"/>
    <w:lvl w:ilvl="0" w:tplc="7AA213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B31B7"/>
    <w:multiLevelType w:val="hybridMultilevel"/>
    <w:tmpl w:val="E15C3E82"/>
    <w:lvl w:ilvl="0" w:tplc="820EB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34CE7934"/>
    <w:multiLevelType w:val="hybridMultilevel"/>
    <w:tmpl w:val="0B1CAF06"/>
    <w:lvl w:ilvl="0" w:tplc="820EB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0139C8"/>
    <w:multiLevelType w:val="hybridMultilevel"/>
    <w:tmpl w:val="E450720A"/>
    <w:lvl w:ilvl="0" w:tplc="820EB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97E6B"/>
    <w:multiLevelType w:val="hybridMultilevel"/>
    <w:tmpl w:val="2EE80448"/>
    <w:lvl w:ilvl="0" w:tplc="820EB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8">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9">
    <w:nsid w:val="5BBF00C0"/>
    <w:multiLevelType w:val="hybridMultilevel"/>
    <w:tmpl w:val="0586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1">
    <w:nsid w:val="5C35201B"/>
    <w:multiLevelType w:val="hybridMultilevel"/>
    <w:tmpl w:val="B07867E0"/>
    <w:lvl w:ilvl="0" w:tplc="6450E8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F62DD"/>
    <w:multiLevelType w:val="hybridMultilevel"/>
    <w:tmpl w:val="0AA24560"/>
    <w:lvl w:ilvl="0" w:tplc="0E704F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51510D"/>
    <w:multiLevelType w:val="hybridMultilevel"/>
    <w:tmpl w:val="2B2CC0C0"/>
    <w:lvl w:ilvl="0" w:tplc="820EB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6">
    <w:nsid w:val="6E6D107C"/>
    <w:multiLevelType w:val="hybridMultilevel"/>
    <w:tmpl w:val="1B28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9">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num>
  <w:num w:numId="2">
    <w:abstractNumId w:val="29"/>
  </w:num>
  <w:num w:numId="3">
    <w:abstractNumId w:val="25"/>
  </w:num>
  <w:num w:numId="4">
    <w:abstractNumId w:val="12"/>
  </w:num>
  <w:num w:numId="5">
    <w:abstractNumId w:val="23"/>
  </w:num>
  <w:num w:numId="6">
    <w:abstractNumId w:val="9"/>
  </w:num>
  <w:num w:numId="7">
    <w:abstractNumId w:val="27"/>
  </w:num>
  <w:num w:numId="8">
    <w:abstractNumId w:val="1"/>
  </w:num>
  <w:num w:numId="9">
    <w:abstractNumId w:val="20"/>
  </w:num>
  <w:num w:numId="10">
    <w:abstractNumId w:val="18"/>
  </w:num>
  <w:num w:numId="11">
    <w:abstractNumId w:val="28"/>
  </w:num>
  <w:num w:numId="12">
    <w:abstractNumId w:val="17"/>
  </w:num>
  <w:num w:numId="13">
    <w:abstractNumId w:val="14"/>
  </w:num>
  <w:num w:numId="14">
    <w:abstractNumId w:val="26"/>
  </w:num>
  <w:num w:numId="15">
    <w:abstractNumId w:val="6"/>
  </w:num>
  <w:num w:numId="16">
    <w:abstractNumId w:val="7"/>
  </w:num>
  <w:num w:numId="17">
    <w:abstractNumId w:val="1"/>
  </w:num>
  <w:num w:numId="18">
    <w:abstractNumId w:val="1"/>
  </w:num>
  <w:num w:numId="19">
    <w:abstractNumId w:val="23"/>
  </w:num>
  <w:num w:numId="20">
    <w:abstractNumId w:val="23"/>
  </w:num>
  <w:num w:numId="21">
    <w:abstractNumId w:val="2"/>
  </w:num>
  <w:num w:numId="22">
    <w:abstractNumId w:val="19"/>
  </w:num>
  <w:num w:numId="23">
    <w:abstractNumId w:val="10"/>
  </w:num>
  <w:num w:numId="24">
    <w:abstractNumId w:val="21"/>
  </w:num>
  <w:num w:numId="25">
    <w:abstractNumId w:val="13"/>
  </w:num>
  <w:num w:numId="26">
    <w:abstractNumId w:val="24"/>
  </w:num>
  <w:num w:numId="27">
    <w:abstractNumId w:val="5"/>
  </w:num>
  <w:num w:numId="28">
    <w:abstractNumId w:val="16"/>
  </w:num>
  <w:num w:numId="29">
    <w:abstractNumId w:val="15"/>
  </w:num>
  <w:num w:numId="30">
    <w:abstractNumId w:val="3"/>
  </w:num>
  <w:num w:numId="31">
    <w:abstractNumId w:val="11"/>
  </w:num>
  <w:num w:numId="32">
    <w:abstractNumId w:val="22"/>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D24B0F"/>
    <w:rsid w:val="00040CBF"/>
    <w:rsid w:val="000643CE"/>
    <w:rsid w:val="000779C2"/>
    <w:rsid w:val="000A39A8"/>
    <w:rsid w:val="000B1C0F"/>
    <w:rsid w:val="000B3DE3"/>
    <w:rsid w:val="000D75D6"/>
    <w:rsid w:val="001130A8"/>
    <w:rsid w:val="00114045"/>
    <w:rsid w:val="001200C0"/>
    <w:rsid w:val="00136F5D"/>
    <w:rsid w:val="00146987"/>
    <w:rsid w:val="00150933"/>
    <w:rsid w:val="00162027"/>
    <w:rsid w:val="00163608"/>
    <w:rsid w:val="001716A6"/>
    <w:rsid w:val="001722B0"/>
    <w:rsid w:val="001827C8"/>
    <w:rsid w:val="001A5598"/>
    <w:rsid w:val="001D7504"/>
    <w:rsid w:val="001F4255"/>
    <w:rsid w:val="001F5FD2"/>
    <w:rsid w:val="00204FEF"/>
    <w:rsid w:val="00207594"/>
    <w:rsid w:val="002456EE"/>
    <w:rsid w:val="00254107"/>
    <w:rsid w:val="00256208"/>
    <w:rsid w:val="002607F7"/>
    <w:rsid w:val="00260BB2"/>
    <w:rsid w:val="002D38B9"/>
    <w:rsid w:val="002D70F8"/>
    <w:rsid w:val="002E34D1"/>
    <w:rsid w:val="002E4D69"/>
    <w:rsid w:val="002E5503"/>
    <w:rsid w:val="003147DB"/>
    <w:rsid w:val="00320AA9"/>
    <w:rsid w:val="003331A2"/>
    <w:rsid w:val="00336397"/>
    <w:rsid w:val="00395F11"/>
    <w:rsid w:val="00396283"/>
    <w:rsid w:val="003A7A40"/>
    <w:rsid w:val="003B2775"/>
    <w:rsid w:val="003C08E0"/>
    <w:rsid w:val="003C6F24"/>
    <w:rsid w:val="003D62C1"/>
    <w:rsid w:val="003E16A3"/>
    <w:rsid w:val="003E72C3"/>
    <w:rsid w:val="003F44F2"/>
    <w:rsid w:val="00417412"/>
    <w:rsid w:val="00436073"/>
    <w:rsid w:val="00450865"/>
    <w:rsid w:val="004570BC"/>
    <w:rsid w:val="004630F6"/>
    <w:rsid w:val="00480370"/>
    <w:rsid w:val="004B1E3D"/>
    <w:rsid w:val="004B6FBD"/>
    <w:rsid w:val="004D19F4"/>
    <w:rsid w:val="004D2383"/>
    <w:rsid w:val="004F51A5"/>
    <w:rsid w:val="00512FA3"/>
    <w:rsid w:val="00520844"/>
    <w:rsid w:val="0052566E"/>
    <w:rsid w:val="00534C23"/>
    <w:rsid w:val="0054422D"/>
    <w:rsid w:val="00545D53"/>
    <w:rsid w:val="00547832"/>
    <w:rsid w:val="0055643C"/>
    <w:rsid w:val="00556E29"/>
    <w:rsid w:val="00571C5D"/>
    <w:rsid w:val="00575729"/>
    <w:rsid w:val="00576DD8"/>
    <w:rsid w:val="005A41A4"/>
    <w:rsid w:val="005A59B4"/>
    <w:rsid w:val="005B1A68"/>
    <w:rsid w:val="005C5FA1"/>
    <w:rsid w:val="005D7309"/>
    <w:rsid w:val="005F25D9"/>
    <w:rsid w:val="005F5016"/>
    <w:rsid w:val="005F63EF"/>
    <w:rsid w:val="0062419F"/>
    <w:rsid w:val="00652C56"/>
    <w:rsid w:val="00667B84"/>
    <w:rsid w:val="006730C4"/>
    <w:rsid w:val="006A3FCD"/>
    <w:rsid w:val="006A7BAB"/>
    <w:rsid w:val="006B340B"/>
    <w:rsid w:val="006C3FD9"/>
    <w:rsid w:val="006F1B10"/>
    <w:rsid w:val="006F39F9"/>
    <w:rsid w:val="00702FF5"/>
    <w:rsid w:val="00725118"/>
    <w:rsid w:val="0073229D"/>
    <w:rsid w:val="00742EBD"/>
    <w:rsid w:val="00751968"/>
    <w:rsid w:val="00751E68"/>
    <w:rsid w:val="00756225"/>
    <w:rsid w:val="00761BDB"/>
    <w:rsid w:val="0076232C"/>
    <w:rsid w:val="0079594C"/>
    <w:rsid w:val="007B0E9C"/>
    <w:rsid w:val="007D5818"/>
    <w:rsid w:val="007D685D"/>
    <w:rsid w:val="007E027B"/>
    <w:rsid w:val="007F0FF8"/>
    <w:rsid w:val="007F7E5F"/>
    <w:rsid w:val="008076A0"/>
    <w:rsid w:val="00821E75"/>
    <w:rsid w:val="00822110"/>
    <w:rsid w:val="008232E1"/>
    <w:rsid w:val="00831AC8"/>
    <w:rsid w:val="00831D01"/>
    <w:rsid w:val="00836FD5"/>
    <w:rsid w:val="008516F2"/>
    <w:rsid w:val="00854532"/>
    <w:rsid w:val="00860EFA"/>
    <w:rsid w:val="00870657"/>
    <w:rsid w:val="0088178A"/>
    <w:rsid w:val="008821EE"/>
    <w:rsid w:val="00887080"/>
    <w:rsid w:val="008A2D65"/>
    <w:rsid w:val="008B6ADB"/>
    <w:rsid w:val="008D170E"/>
    <w:rsid w:val="008D3ED3"/>
    <w:rsid w:val="008D61BB"/>
    <w:rsid w:val="008E6702"/>
    <w:rsid w:val="00920922"/>
    <w:rsid w:val="00925658"/>
    <w:rsid w:val="00947D6D"/>
    <w:rsid w:val="00987DA8"/>
    <w:rsid w:val="009938CB"/>
    <w:rsid w:val="009A3857"/>
    <w:rsid w:val="009A67CC"/>
    <w:rsid w:val="009B7ECB"/>
    <w:rsid w:val="009C76BE"/>
    <w:rsid w:val="009E4AC0"/>
    <w:rsid w:val="009E6ED2"/>
    <w:rsid w:val="009E6F12"/>
    <w:rsid w:val="009F3065"/>
    <w:rsid w:val="00A07B9E"/>
    <w:rsid w:val="00A24A4E"/>
    <w:rsid w:val="00A6054F"/>
    <w:rsid w:val="00A64A30"/>
    <w:rsid w:val="00A7407F"/>
    <w:rsid w:val="00A7411A"/>
    <w:rsid w:val="00A7726A"/>
    <w:rsid w:val="00A93A53"/>
    <w:rsid w:val="00AB1F45"/>
    <w:rsid w:val="00AB3DB2"/>
    <w:rsid w:val="00AD1E58"/>
    <w:rsid w:val="00AD2743"/>
    <w:rsid w:val="00AD68C2"/>
    <w:rsid w:val="00B041FD"/>
    <w:rsid w:val="00B17C09"/>
    <w:rsid w:val="00B2405D"/>
    <w:rsid w:val="00B27D33"/>
    <w:rsid w:val="00B45CAD"/>
    <w:rsid w:val="00B4763A"/>
    <w:rsid w:val="00B51882"/>
    <w:rsid w:val="00B55559"/>
    <w:rsid w:val="00B7220F"/>
    <w:rsid w:val="00B8246C"/>
    <w:rsid w:val="00BA07DE"/>
    <w:rsid w:val="00BA09CD"/>
    <w:rsid w:val="00BA18AF"/>
    <w:rsid w:val="00BA6158"/>
    <w:rsid w:val="00BB6450"/>
    <w:rsid w:val="00BC1223"/>
    <w:rsid w:val="00BC4FB4"/>
    <w:rsid w:val="00BD26FA"/>
    <w:rsid w:val="00BF2A72"/>
    <w:rsid w:val="00BF40EC"/>
    <w:rsid w:val="00BF4C8D"/>
    <w:rsid w:val="00C05D9E"/>
    <w:rsid w:val="00C37CBC"/>
    <w:rsid w:val="00C4270D"/>
    <w:rsid w:val="00C46F7D"/>
    <w:rsid w:val="00C53D17"/>
    <w:rsid w:val="00C704FD"/>
    <w:rsid w:val="00C80462"/>
    <w:rsid w:val="00CA3A52"/>
    <w:rsid w:val="00CB0097"/>
    <w:rsid w:val="00CB26CD"/>
    <w:rsid w:val="00CD0555"/>
    <w:rsid w:val="00CE3944"/>
    <w:rsid w:val="00CE3F44"/>
    <w:rsid w:val="00CF4E99"/>
    <w:rsid w:val="00D106CE"/>
    <w:rsid w:val="00D13B1D"/>
    <w:rsid w:val="00D24716"/>
    <w:rsid w:val="00D24B0F"/>
    <w:rsid w:val="00D32231"/>
    <w:rsid w:val="00D37A01"/>
    <w:rsid w:val="00D63AB0"/>
    <w:rsid w:val="00D86F58"/>
    <w:rsid w:val="00DA6E3B"/>
    <w:rsid w:val="00DC291E"/>
    <w:rsid w:val="00DD501D"/>
    <w:rsid w:val="00DD6ADC"/>
    <w:rsid w:val="00E00A94"/>
    <w:rsid w:val="00E035A6"/>
    <w:rsid w:val="00E05C2F"/>
    <w:rsid w:val="00E16D06"/>
    <w:rsid w:val="00E51DF7"/>
    <w:rsid w:val="00E56353"/>
    <w:rsid w:val="00E71CE3"/>
    <w:rsid w:val="00E7226C"/>
    <w:rsid w:val="00E736B0"/>
    <w:rsid w:val="00E92B5D"/>
    <w:rsid w:val="00E9621C"/>
    <w:rsid w:val="00EA334C"/>
    <w:rsid w:val="00EB0C2C"/>
    <w:rsid w:val="00EC068B"/>
    <w:rsid w:val="00EC0AC9"/>
    <w:rsid w:val="00EC5CF6"/>
    <w:rsid w:val="00ED1EDF"/>
    <w:rsid w:val="00ED2350"/>
    <w:rsid w:val="00EE42E7"/>
    <w:rsid w:val="00EE7E88"/>
    <w:rsid w:val="00EF3217"/>
    <w:rsid w:val="00EF4609"/>
    <w:rsid w:val="00F022D2"/>
    <w:rsid w:val="00F13298"/>
    <w:rsid w:val="00F36009"/>
    <w:rsid w:val="00F43C68"/>
    <w:rsid w:val="00F5447E"/>
    <w:rsid w:val="00F64B0D"/>
    <w:rsid w:val="00F73F9B"/>
    <w:rsid w:val="00FA10F4"/>
    <w:rsid w:val="00FB39C5"/>
    <w:rsid w:val="00FC3EDF"/>
    <w:rsid w:val="00FD2AAE"/>
    <w:rsid w:val="00FD5747"/>
    <w:rsid w:val="00FD5FDB"/>
    <w:rsid w:val="00FD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F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B"/>
    <w:rPr>
      <w:color w:val="000000"/>
      <w:sz w:val="24"/>
      <w:szCs w:val="24"/>
    </w:rPr>
  </w:style>
  <w:style w:type="paragraph" w:styleId="Heading1">
    <w:name w:val="heading 1"/>
    <w:aliases w:val="Part Title"/>
    <w:basedOn w:val="Normal"/>
    <w:next w:val="Heading4"/>
    <w:link w:val="Heading1Char"/>
    <w:qFormat/>
    <w:rsid w:val="006B340B"/>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6B340B"/>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B340B"/>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B340B"/>
    <w:pPr>
      <w:spacing w:after="240"/>
      <w:outlineLvl w:val="3"/>
    </w:pPr>
    <w:rPr>
      <w:rFonts w:ascii="Arial" w:hAnsi="Arial" w:cs="Arial"/>
      <w:b/>
      <w:sz w:val="32"/>
      <w:szCs w:val="20"/>
    </w:rPr>
  </w:style>
  <w:style w:type="paragraph" w:styleId="Heading5">
    <w:name w:val="heading 5"/>
    <w:aliases w:val="Block Label"/>
    <w:basedOn w:val="Normal"/>
    <w:qFormat/>
    <w:rsid w:val="006B340B"/>
    <w:pPr>
      <w:outlineLvl w:val="4"/>
    </w:pPr>
    <w:rPr>
      <w:b/>
      <w:sz w:val="22"/>
      <w:szCs w:val="20"/>
    </w:rPr>
  </w:style>
  <w:style w:type="paragraph" w:styleId="Heading6">
    <w:name w:val="heading 6"/>
    <w:aliases w:val="Sub Label"/>
    <w:basedOn w:val="Heading5"/>
    <w:next w:val="BlockText"/>
    <w:link w:val="Heading6Char"/>
    <w:qFormat/>
    <w:rsid w:val="006B340B"/>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6B340B"/>
    <w:pPr>
      <w:numPr>
        <w:numId w:val="5"/>
      </w:numPr>
    </w:pPr>
    <w:rPr>
      <w:szCs w:val="20"/>
    </w:rPr>
  </w:style>
  <w:style w:type="paragraph" w:customStyle="1" w:styleId="BulletText2">
    <w:name w:val="Bullet Text 2"/>
    <w:basedOn w:val="Normal"/>
    <w:rsid w:val="006B340B"/>
    <w:pPr>
      <w:numPr>
        <w:numId w:val="8"/>
      </w:numPr>
    </w:pPr>
    <w:rPr>
      <w:szCs w:val="20"/>
    </w:rPr>
  </w:style>
  <w:style w:type="paragraph" w:styleId="ListBullet">
    <w:name w:val="List Bullet"/>
    <w:basedOn w:val="Normal"/>
    <w:autoRedefine/>
    <w:semiHidden/>
    <w:rsid w:val="00860EFA"/>
    <w:pPr>
      <w:numPr>
        <w:numId w:val="1"/>
      </w:numPr>
    </w:pPr>
  </w:style>
  <w:style w:type="paragraph" w:customStyle="1" w:styleId="BulletText3">
    <w:name w:val="Bullet Text 3"/>
    <w:basedOn w:val="Normal"/>
    <w:rsid w:val="006B340B"/>
    <w:pPr>
      <w:numPr>
        <w:numId w:val="7"/>
      </w:numPr>
      <w:tabs>
        <w:tab w:val="clear" w:pos="173"/>
      </w:tabs>
      <w:ind w:left="533" w:hanging="173"/>
    </w:pPr>
    <w:rPr>
      <w:szCs w:val="20"/>
    </w:rPr>
  </w:style>
  <w:style w:type="paragraph" w:customStyle="1" w:styleId="BlockLine">
    <w:name w:val="Block Line"/>
    <w:basedOn w:val="Normal"/>
    <w:next w:val="Normal"/>
    <w:rsid w:val="006B340B"/>
    <w:pPr>
      <w:pBdr>
        <w:top w:val="single" w:sz="6" w:space="1" w:color="000000"/>
        <w:between w:val="single" w:sz="6" w:space="1" w:color="auto"/>
      </w:pBdr>
      <w:spacing w:before="240"/>
      <w:ind w:left="1728"/>
    </w:pPr>
    <w:rPr>
      <w:szCs w:val="20"/>
    </w:rPr>
  </w:style>
  <w:style w:type="paragraph" w:styleId="BlockText">
    <w:name w:val="Block Text"/>
    <w:basedOn w:val="Normal"/>
    <w:rsid w:val="006B340B"/>
  </w:style>
  <w:style w:type="paragraph" w:customStyle="1" w:styleId="TableHeaderText">
    <w:name w:val="Table Header Text"/>
    <w:basedOn w:val="Normal"/>
    <w:rsid w:val="006B340B"/>
    <w:pPr>
      <w:jc w:val="center"/>
    </w:pPr>
    <w:rPr>
      <w:b/>
      <w:szCs w:val="20"/>
    </w:rPr>
  </w:style>
  <w:style w:type="paragraph" w:customStyle="1" w:styleId="TableText">
    <w:name w:val="Table Text"/>
    <w:basedOn w:val="Normal"/>
    <w:rsid w:val="006B340B"/>
    <w:rPr>
      <w:szCs w:val="20"/>
    </w:rPr>
  </w:style>
  <w:style w:type="character" w:styleId="Hyperlink">
    <w:name w:val="Hyperlink"/>
    <w:uiPriority w:val="99"/>
    <w:rsid w:val="006B340B"/>
    <w:rPr>
      <w:color w:val="0000FF"/>
      <w:u w:val="single"/>
    </w:rPr>
  </w:style>
  <w:style w:type="paragraph" w:customStyle="1" w:styleId="ContinuedOnNextPa">
    <w:name w:val="Continued On Next Pa"/>
    <w:basedOn w:val="Normal"/>
    <w:next w:val="Normal"/>
    <w:rsid w:val="006B340B"/>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6B340B"/>
    <w:pPr>
      <w:spacing w:after="240"/>
    </w:pPr>
    <w:rPr>
      <w:rFonts w:ascii="Arial" w:hAnsi="Arial" w:cs="Arial"/>
      <w:b/>
      <w:sz w:val="32"/>
      <w:szCs w:val="20"/>
    </w:rPr>
  </w:style>
  <w:style w:type="character" w:customStyle="1" w:styleId="referencecode1">
    <w:name w:val="referencecode1"/>
    <w:basedOn w:val="DefaultParagraphFont"/>
    <w:rsid w:val="00860EFA"/>
    <w:rPr>
      <w:b w:val="0"/>
      <w:bCs w:val="0"/>
      <w:sz w:val="24"/>
      <w:szCs w:val="24"/>
    </w:rPr>
  </w:style>
  <w:style w:type="paragraph" w:customStyle="1" w:styleId="ContinuedTableLabe">
    <w:name w:val="Continued Table Labe"/>
    <w:basedOn w:val="Normal"/>
    <w:next w:val="Normal"/>
    <w:rsid w:val="006B340B"/>
    <w:pPr>
      <w:spacing w:after="240"/>
    </w:pPr>
    <w:rPr>
      <w:b/>
      <w:sz w:val="22"/>
      <w:szCs w:val="20"/>
    </w:rPr>
  </w:style>
  <w:style w:type="paragraph" w:styleId="Header">
    <w:name w:val="header"/>
    <w:basedOn w:val="Normal"/>
    <w:link w:val="HeaderChar"/>
    <w:rsid w:val="006B340B"/>
    <w:pPr>
      <w:tabs>
        <w:tab w:val="center" w:pos="4680"/>
        <w:tab w:val="right" w:pos="9360"/>
      </w:tabs>
    </w:pPr>
    <w:rPr>
      <w:color w:val="auto"/>
    </w:rPr>
  </w:style>
  <w:style w:type="character" w:styleId="PageNumber">
    <w:name w:val="page number"/>
    <w:basedOn w:val="DefaultParagraphFont"/>
    <w:semiHidden/>
    <w:rsid w:val="00860EFA"/>
  </w:style>
  <w:style w:type="paragraph" w:styleId="Footer">
    <w:name w:val="footer"/>
    <w:basedOn w:val="Normal"/>
    <w:link w:val="FooterChar"/>
    <w:rsid w:val="006B340B"/>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6B340B"/>
    <w:rPr>
      <w:rFonts w:ascii="Arial" w:hAnsi="Arial" w:cs="Arial"/>
      <w:b/>
      <w:color w:val="000000"/>
      <w:sz w:val="32"/>
    </w:rPr>
  </w:style>
  <w:style w:type="character" w:customStyle="1" w:styleId="Heading2Char">
    <w:name w:val="Heading 2 Char"/>
    <w:aliases w:val="Chapter Title Char"/>
    <w:basedOn w:val="DefaultParagraphFont"/>
    <w:link w:val="Heading2"/>
    <w:rsid w:val="006B340B"/>
    <w:rPr>
      <w:rFonts w:ascii="Arial" w:hAnsi="Arial" w:cs="Arial"/>
      <w:b/>
      <w:color w:val="000000"/>
      <w:sz w:val="32"/>
    </w:rPr>
  </w:style>
  <w:style w:type="character" w:customStyle="1" w:styleId="Heading6Char">
    <w:name w:val="Heading 6 Char"/>
    <w:aliases w:val="Sub Label Char"/>
    <w:basedOn w:val="DefaultParagraphFont"/>
    <w:link w:val="Heading6"/>
    <w:rsid w:val="006B340B"/>
    <w:rPr>
      <w:b/>
      <w:i/>
      <w:color w:val="000000"/>
      <w:sz w:val="22"/>
    </w:rPr>
  </w:style>
  <w:style w:type="paragraph" w:styleId="BalloonText">
    <w:name w:val="Balloon Text"/>
    <w:basedOn w:val="Normal"/>
    <w:link w:val="BalloonTextChar"/>
    <w:semiHidden/>
    <w:rsid w:val="006B340B"/>
    <w:rPr>
      <w:rFonts w:ascii="Tahoma" w:hAnsi="Tahoma" w:cs="Tahoma"/>
      <w:sz w:val="16"/>
      <w:szCs w:val="16"/>
    </w:rPr>
  </w:style>
  <w:style w:type="character" w:customStyle="1" w:styleId="BalloonTextChar">
    <w:name w:val="Balloon Text Char"/>
    <w:basedOn w:val="DefaultParagraphFont"/>
    <w:link w:val="BalloonText"/>
    <w:semiHidden/>
    <w:rsid w:val="006B340B"/>
    <w:rPr>
      <w:rFonts w:ascii="Tahoma" w:hAnsi="Tahoma" w:cs="Tahoma"/>
      <w:color w:val="000000"/>
      <w:sz w:val="16"/>
      <w:szCs w:val="16"/>
    </w:rPr>
  </w:style>
  <w:style w:type="paragraph" w:customStyle="1" w:styleId="ContinuedBlockLabel">
    <w:name w:val="Continued Block Label"/>
    <w:basedOn w:val="Normal"/>
    <w:next w:val="Normal"/>
    <w:rsid w:val="006B340B"/>
    <w:pPr>
      <w:spacing w:after="240"/>
    </w:pPr>
    <w:rPr>
      <w:b/>
      <w:sz w:val="22"/>
      <w:szCs w:val="20"/>
    </w:rPr>
  </w:style>
  <w:style w:type="paragraph" w:customStyle="1" w:styleId="EmbeddedText">
    <w:name w:val="Embedded Text"/>
    <w:basedOn w:val="Normal"/>
    <w:rsid w:val="006B340B"/>
    <w:rPr>
      <w:szCs w:val="20"/>
    </w:rPr>
  </w:style>
  <w:style w:type="character" w:styleId="HTMLAcronym">
    <w:name w:val="HTML Acronym"/>
    <w:basedOn w:val="DefaultParagraphFont"/>
    <w:rsid w:val="006B340B"/>
  </w:style>
  <w:style w:type="paragraph" w:customStyle="1" w:styleId="IMTOC">
    <w:name w:val="IMTOC"/>
    <w:rsid w:val="006B340B"/>
    <w:rPr>
      <w:sz w:val="24"/>
    </w:rPr>
  </w:style>
  <w:style w:type="paragraph" w:customStyle="1" w:styleId="MemoLine">
    <w:name w:val="Memo Line"/>
    <w:basedOn w:val="BlockLine"/>
    <w:next w:val="Normal"/>
    <w:rsid w:val="006B340B"/>
  </w:style>
  <w:style w:type="paragraph" w:customStyle="1" w:styleId="NoteText">
    <w:name w:val="Note Text"/>
    <w:basedOn w:val="Normal"/>
    <w:rsid w:val="006B340B"/>
    <w:rPr>
      <w:szCs w:val="20"/>
    </w:rPr>
  </w:style>
  <w:style w:type="paragraph" w:customStyle="1" w:styleId="PublicationTitle">
    <w:name w:val="Publication Title"/>
    <w:basedOn w:val="Normal"/>
    <w:next w:val="Heading4"/>
    <w:rsid w:val="006B340B"/>
    <w:pPr>
      <w:spacing w:after="240"/>
      <w:jc w:val="center"/>
    </w:pPr>
    <w:rPr>
      <w:rFonts w:ascii="Arial" w:hAnsi="Arial" w:cs="Arial"/>
      <w:b/>
      <w:sz w:val="32"/>
      <w:szCs w:val="20"/>
    </w:rPr>
  </w:style>
  <w:style w:type="table" w:styleId="TableGrid">
    <w:name w:val="Table Grid"/>
    <w:basedOn w:val="TableNormal"/>
    <w:rsid w:val="006B34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6B340B"/>
    <w:pPr>
      <w:widowControl w:val="0"/>
    </w:pPr>
    <w:rPr>
      <w:rFonts w:ascii="Arial" w:hAnsi="Arial" w:cs="Arial"/>
      <w:b/>
      <w:sz w:val="32"/>
      <w:szCs w:val="20"/>
    </w:rPr>
  </w:style>
  <w:style w:type="paragraph" w:customStyle="1" w:styleId="TOCItem">
    <w:name w:val="TOCItem"/>
    <w:basedOn w:val="Normal"/>
    <w:rsid w:val="006B340B"/>
    <w:pPr>
      <w:tabs>
        <w:tab w:val="left" w:leader="dot" w:pos="7061"/>
        <w:tab w:val="right" w:pos="7524"/>
      </w:tabs>
      <w:spacing w:before="60" w:after="60"/>
      <w:ind w:right="465"/>
    </w:pPr>
    <w:rPr>
      <w:szCs w:val="20"/>
    </w:rPr>
  </w:style>
  <w:style w:type="paragraph" w:customStyle="1" w:styleId="TOCStem">
    <w:name w:val="TOCStem"/>
    <w:basedOn w:val="Normal"/>
    <w:rsid w:val="006B340B"/>
    <w:rPr>
      <w:szCs w:val="20"/>
    </w:rPr>
  </w:style>
  <w:style w:type="character" w:customStyle="1" w:styleId="HeaderChar">
    <w:name w:val="Header Char"/>
    <w:link w:val="Header"/>
    <w:rsid w:val="006B340B"/>
    <w:rPr>
      <w:sz w:val="24"/>
      <w:szCs w:val="24"/>
    </w:rPr>
  </w:style>
  <w:style w:type="character" w:customStyle="1" w:styleId="FooterChar">
    <w:name w:val="Footer Char"/>
    <w:link w:val="Footer"/>
    <w:rsid w:val="006B340B"/>
    <w:rPr>
      <w:sz w:val="24"/>
      <w:szCs w:val="24"/>
    </w:rPr>
  </w:style>
  <w:style w:type="character" w:styleId="FollowedHyperlink">
    <w:name w:val="FollowedHyperlink"/>
    <w:rsid w:val="006B340B"/>
    <w:rPr>
      <w:color w:val="800080"/>
      <w:u w:val="single"/>
    </w:rPr>
  </w:style>
  <w:style w:type="paragraph" w:styleId="TOC3">
    <w:name w:val="toc 3"/>
    <w:basedOn w:val="Normal"/>
    <w:next w:val="Normal"/>
    <w:autoRedefine/>
    <w:uiPriority w:val="39"/>
    <w:rsid w:val="006B340B"/>
    <w:pPr>
      <w:ind w:left="480"/>
    </w:pPr>
  </w:style>
  <w:style w:type="paragraph" w:styleId="TOC4">
    <w:name w:val="toc 4"/>
    <w:basedOn w:val="Normal"/>
    <w:next w:val="Normal"/>
    <w:autoRedefine/>
    <w:uiPriority w:val="39"/>
    <w:rsid w:val="006B340B"/>
    <w:pPr>
      <w:ind w:left="720"/>
    </w:pPr>
  </w:style>
  <w:style w:type="paragraph" w:styleId="ListParagraph">
    <w:name w:val="List Paragraph"/>
    <w:basedOn w:val="Normal"/>
    <w:uiPriority w:val="34"/>
    <w:qFormat/>
    <w:rsid w:val="00204FEF"/>
    <w:pPr>
      <w:ind w:left="720"/>
      <w:contextualSpacing/>
    </w:pPr>
  </w:style>
  <w:style w:type="character" w:styleId="CommentReference">
    <w:name w:val="annotation reference"/>
    <w:basedOn w:val="DefaultParagraphFont"/>
    <w:uiPriority w:val="99"/>
    <w:semiHidden/>
    <w:unhideWhenUsed/>
    <w:rsid w:val="006F39F9"/>
    <w:rPr>
      <w:sz w:val="16"/>
      <w:szCs w:val="16"/>
    </w:rPr>
  </w:style>
  <w:style w:type="paragraph" w:styleId="CommentText">
    <w:name w:val="annotation text"/>
    <w:basedOn w:val="Normal"/>
    <w:link w:val="CommentTextChar"/>
    <w:uiPriority w:val="99"/>
    <w:unhideWhenUsed/>
    <w:rsid w:val="006F39F9"/>
    <w:rPr>
      <w:sz w:val="20"/>
      <w:szCs w:val="20"/>
    </w:rPr>
  </w:style>
  <w:style w:type="character" w:customStyle="1" w:styleId="CommentTextChar">
    <w:name w:val="Comment Text Char"/>
    <w:basedOn w:val="DefaultParagraphFont"/>
    <w:link w:val="CommentText"/>
    <w:uiPriority w:val="99"/>
    <w:rsid w:val="006F39F9"/>
    <w:rPr>
      <w:color w:val="000000"/>
    </w:rPr>
  </w:style>
  <w:style w:type="paragraph" w:styleId="CommentSubject">
    <w:name w:val="annotation subject"/>
    <w:basedOn w:val="CommentText"/>
    <w:next w:val="CommentText"/>
    <w:link w:val="CommentSubjectChar"/>
    <w:uiPriority w:val="99"/>
    <w:semiHidden/>
    <w:unhideWhenUsed/>
    <w:rsid w:val="006F39F9"/>
    <w:rPr>
      <w:b/>
      <w:bCs/>
    </w:rPr>
  </w:style>
  <w:style w:type="character" w:customStyle="1" w:styleId="CommentSubjectChar">
    <w:name w:val="Comment Subject Char"/>
    <w:basedOn w:val="CommentTextChar"/>
    <w:link w:val="CommentSubject"/>
    <w:uiPriority w:val="99"/>
    <w:semiHidden/>
    <w:rsid w:val="006F39F9"/>
    <w:rPr>
      <w:b/>
      <w:bCs/>
      <w:color w:val="000000"/>
    </w:rPr>
  </w:style>
  <w:style w:type="paragraph" w:styleId="Revision">
    <w:name w:val="Revision"/>
    <w:hidden/>
    <w:uiPriority w:val="99"/>
    <w:semiHidden/>
    <w:rsid w:val="00545D53"/>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B"/>
    <w:rPr>
      <w:color w:val="000000"/>
      <w:sz w:val="24"/>
      <w:szCs w:val="24"/>
    </w:rPr>
  </w:style>
  <w:style w:type="paragraph" w:styleId="Heading1">
    <w:name w:val="heading 1"/>
    <w:aliases w:val="Part Title"/>
    <w:basedOn w:val="Normal"/>
    <w:next w:val="Heading4"/>
    <w:link w:val="Heading1Char"/>
    <w:qFormat/>
    <w:rsid w:val="006B340B"/>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6B340B"/>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B340B"/>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B340B"/>
    <w:pPr>
      <w:spacing w:after="240"/>
      <w:outlineLvl w:val="3"/>
    </w:pPr>
    <w:rPr>
      <w:rFonts w:ascii="Arial" w:hAnsi="Arial" w:cs="Arial"/>
      <w:b/>
      <w:sz w:val="32"/>
      <w:szCs w:val="20"/>
    </w:rPr>
  </w:style>
  <w:style w:type="paragraph" w:styleId="Heading5">
    <w:name w:val="heading 5"/>
    <w:aliases w:val="Block Label"/>
    <w:basedOn w:val="Normal"/>
    <w:qFormat/>
    <w:rsid w:val="006B340B"/>
    <w:pPr>
      <w:outlineLvl w:val="4"/>
    </w:pPr>
    <w:rPr>
      <w:b/>
      <w:sz w:val="22"/>
      <w:szCs w:val="20"/>
    </w:rPr>
  </w:style>
  <w:style w:type="paragraph" w:styleId="Heading6">
    <w:name w:val="heading 6"/>
    <w:aliases w:val="Sub Label"/>
    <w:basedOn w:val="Heading5"/>
    <w:next w:val="BlockText"/>
    <w:link w:val="Heading6Char"/>
    <w:qFormat/>
    <w:rsid w:val="006B340B"/>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6B340B"/>
    <w:pPr>
      <w:numPr>
        <w:numId w:val="5"/>
      </w:numPr>
    </w:pPr>
    <w:rPr>
      <w:szCs w:val="20"/>
    </w:rPr>
  </w:style>
  <w:style w:type="paragraph" w:customStyle="1" w:styleId="BulletText2">
    <w:name w:val="Bullet Text 2"/>
    <w:basedOn w:val="Normal"/>
    <w:rsid w:val="006B340B"/>
    <w:pPr>
      <w:numPr>
        <w:numId w:val="8"/>
      </w:numPr>
    </w:pPr>
    <w:rPr>
      <w:szCs w:val="20"/>
    </w:rPr>
  </w:style>
  <w:style w:type="paragraph" w:styleId="ListBullet">
    <w:name w:val="List Bullet"/>
    <w:basedOn w:val="Normal"/>
    <w:autoRedefine/>
    <w:semiHidden/>
    <w:rsid w:val="00860EFA"/>
    <w:pPr>
      <w:numPr>
        <w:numId w:val="1"/>
      </w:numPr>
    </w:pPr>
  </w:style>
  <w:style w:type="paragraph" w:customStyle="1" w:styleId="BulletText3">
    <w:name w:val="Bullet Text 3"/>
    <w:basedOn w:val="Normal"/>
    <w:rsid w:val="006B340B"/>
    <w:pPr>
      <w:numPr>
        <w:numId w:val="7"/>
      </w:numPr>
      <w:tabs>
        <w:tab w:val="clear" w:pos="173"/>
      </w:tabs>
      <w:ind w:left="533" w:hanging="173"/>
    </w:pPr>
    <w:rPr>
      <w:szCs w:val="20"/>
    </w:rPr>
  </w:style>
  <w:style w:type="paragraph" w:customStyle="1" w:styleId="BlockLine">
    <w:name w:val="Block Line"/>
    <w:basedOn w:val="Normal"/>
    <w:next w:val="Normal"/>
    <w:rsid w:val="006B340B"/>
    <w:pPr>
      <w:pBdr>
        <w:top w:val="single" w:sz="6" w:space="1" w:color="000000"/>
        <w:between w:val="single" w:sz="6" w:space="1" w:color="auto"/>
      </w:pBdr>
      <w:spacing w:before="240"/>
      <w:ind w:left="1728"/>
    </w:pPr>
    <w:rPr>
      <w:szCs w:val="20"/>
    </w:rPr>
  </w:style>
  <w:style w:type="paragraph" w:styleId="BlockText">
    <w:name w:val="Block Text"/>
    <w:basedOn w:val="Normal"/>
    <w:rsid w:val="006B340B"/>
  </w:style>
  <w:style w:type="paragraph" w:customStyle="1" w:styleId="TableHeaderText">
    <w:name w:val="Table Header Text"/>
    <w:basedOn w:val="Normal"/>
    <w:rsid w:val="006B340B"/>
    <w:pPr>
      <w:jc w:val="center"/>
    </w:pPr>
    <w:rPr>
      <w:b/>
      <w:szCs w:val="20"/>
    </w:rPr>
  </w:style>
  <w:style w:type="paragraph" w:customStyle="1" w:styleId="TableText">
    <w:name w:val="Table Text"/>
    <w:basedOn w:val="Normal"/>
    <w:rsid w:val="006B340B"/>
    <w:rPr>
      <w:szCs w:val="20"/>
    </w:rPr>
  </w:style>
  <w:style w:type="character" w:styleId="Hyperlink">
    <w:name w:val="Hyperlink"/>
    <w:uiPriority w:val="99"/>
    <w:rsid w:val="006B340B"/>
    <w:rPr>
      <w:color w:val="0000FF"/>
      <w:u w:val="single"/>
    </w:rPr>
  </w:style>
  <w:style w:type="paragraph" w:customStyle="1" w:styleId="ContinuedOnNextPa">
    <w:name w:val="Continued On Next Pa"/>
    <w:basedOn w:val="Normal"/>
    <w:next w:val="Normal"/>
    <w:rsid w:val="006B340B"/>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6B340B"/>
    <w:pPr>
      <w:spacing w:after="240"/>
    </w:pPr>
    <w:rPr>
      <w:rFonts w:ascii="Arial" w:hAnsi="Arial" w:cs="Arial"/>
      <w:b/>
      <w:sz w:val="32"/>
      <w:szCs w:val="20"/>
    </w:rPr>
  </w:style>
  <w:style w:type="character" w:customStyle="1" w:styleId="referencecode1">
    <w:name w:val="referencecode1"/>
    <w:basedOn w:val="DefaultParagraphFont"/>
    <w:rsid w:val="00860EFA"/>
    <w:rPr>
      <w:b w:val="0"/>
      <w:bCs w:val="0"/>
      <w:sz w:val="24"/>
      <w:szCs w:val="24"/>
    </w:rPr>
  </w:style>
  <w:style w:type="paragraph" w:customStyle="1" w:styleId="ContinuedTableLabe">
    <w:name w:val="Continued Table Labe"/>
    <w:basedOn w:val="Normal"/>
    <w:next w:val="Normal"/>
    <w:rsid w:val="006B340B"/>
    <w:pPr>
      <w:spacing w:after="240"/>
    </w:pPr>
    <w:rPr>
      <w:b/>
      <w:sz w:val="22"/>
      <w:szCs w:val="20"/>
    </w:rPr>
  </w:style>
  <w:style w:type="paragraph" w:styleId="Header">
    <w:name w:val="header"/>
    <w:basedOn w:val="Normal"/>
    <w:link w:val="HeaderChar"/>
    <w:rsid w:val="006B340B"/>
    <w:pPr>
      <w:tabs>
        <w:tab w:val="center" w:pos="4680"/>
        <w:tab w:val="right" w:pos="9360"/>
      </w:tabs>
    </w:pPr>
    <w:rPr>
      <w:color w:val="auto"/>
    </w:rPr>
  </w:style>
  <w:style w:type="character" w:styleId="PageNumber">
    <w:name w:val="page number"/>
    <w:basedOn w:val="DefaultParagraphFont"/>
    <w:semiHidden/>
    <w:rsid w:val="00860EFA"/>
  </w:style>
  <w:style w:type="paragraph" w:styleId="Footer">
    <w:name w:val="footer"/>
    <w:basedOn w:val="Normal"/>
    <w:link w:val="FooterChar"/>
    <w:rsid w:val="006B340B"/>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6B340B"/>
    <w:rPr>
      <w:rFonts w:ascii="Arial" w:hAnsi="Arial" w:cs="Arial"/>
      <w:b/>
      <w:color w:val="000000"/>
      <w:sz w:val="32"/>
    </w:rPr>
  </w:style>
  <w:style w:type="character" w:customStyle="1" w:styleId="Heading2Char">
    <w:name w:val="Heading 2 Char"/>
    <w:aliases w:val="Chapter Title Char"/>
    <w:basedOn w:val="DefaultParagraphFont"/>
    <w:link w:val="Heading2"/>
    <w:rsid w:val="006B340B"/>
    <w:rPr>
      <w:rFonts w:ascii="Arial" w:hAnsi="Arial" w:cs="Arial"/>
      <w:b/>
      <w:color w:val="000000"/>
      <w:sz w:val="32"/>
    </w:rPr>
  </w:style>
  <w:style w:type="character" w:customStyle="1" w:styleId="Heading6Char">
    <w:name w:val="Heading 6 Char"/>
    <w:aliases w:val="Sub Label Char"/>
    <w:basedOn w:val="DefaultParagraphFont"/>
    <w:link w:val="Heading6"/>
    <w:rsid w:val="006B340B"/>
    <w:rPr>
      <w:b/>
      <w:i/>
      <w:color w:val="000000"/>
      <w:sz w:val="22"/>
    </w:rPr>
  </w:style>
  <w:style w:type="paragraph" w:styleId="BalloonText">
    <w:name w:val="Balloon Text"/>
    <w:basedOn w:val="Normal"/>
    <w:link w:val="BalloonTextChar"/>
    <w:semiHidden/>
    <w:rsid w:val="006B340B"/>
    <w:rPr>
      <w:rFonts w:ascii="Tahoma" w:hAnsi="Tahoma" w:cs="Tahoma"/>
      <w:sz w:val="16"/>
      <w:szCs w:val="16"/>
    </w:rPr>
  </w:style>
  <w:style w:type="character" w:customStyle="1" w:styleId="BalloonTextChar">
    <w:name w:val="Balloon Text Char"/>
    <w:basedOn w:val="DefaultParagraphFont"/>
    <w:link w:val="BalloonText"/>
    <w:semiHidden/>
    <w:rsid w:val="006B340B"/>
    <w:rPr>
      <w:rFonts w:ascii="Tahoma" w:hAnsi="Tahoma" w:cs="Tahoma"/>
      <w:color w:val="000000"/>
      <w:sz w:val="16"/>
      <w:szCs w:val="16"/>
    </w:rPr>
  </w:style>
  <w:style w:type="paragraph" w:customStyle="1" w:styleId="ContinuedBlockLabel">
    <w:name w:val="Continued Block Label"/>
    <w:basedOn w:val="Normal"/>
    <w:next w:val="Normal"/>
    <w:rsid w:val="006B340B"/>
    <w:pPr>
      <w:spacing w:after="240"/>
    </w:pPr>
    <w:rPr>
      <w:b/>
      <w:sz w:val="22"/>
      <w:szCs w:val="20"/>
    </w:rPr>
  </w:style>
  <w:style w:type="paragraph" w:customStyle="1" w:styleId="EmbeddedText">
    <w:name w:val="Embedded Text"/>
    <w:basedOn w:val="Normal"/>
    <w:rsid w:val="006B340B"/>
    <w:rPr>
      <w:szCs w:val="20"/>
    </w:rPr>
  </w:style>
  <w:style w:type="character" w:styleId="HTMLAcronym">
    <w:name w:val="HTML Acronym"/>
    <w:basedOn w:val="DefaultParagraphFont"/>
    <w:rsid w:val="006B340B"/>
  </w:style>
  <w:style w:type="paragraph" w:customStyle="1" w:styleId="IMTOC">
    <w:name w:val="IMTOC"/>
    <w:rsid w:val="006B340B"/>
    <w:rPr>
      <w:sz w:val="24"/>
    </w:rPr>
  </w:style>
  <w:style w:type="paragraph" w:customStyle="1" w:styleId="MemoLine">
    <w:name w:val="Memo Line"/>
    <w:basedOn w:val="BlockLine"/>
    <w:next w:val="Normal"/>
    <w:rsid w:val="006B340B"/>
  </w:style>
  <w:style w:type="paragraph" w:customStyle="1" w:styleId="NoteText">
    <w:name w:val="Note Text"/>
    <w:basedOn w:val="Normal"/>
    <w:rsid w:val="006B340B"/>
    <w:rPr>
      <w:szCs w:val="20"/>
    </w:rPr>
  </w:style>
  <w:style w:type="paragraph" w:customStyle="1" w:styleId="PublicationTitle">
    <w:name w:val="Publication Title"/>
    <w:basedOn w:val="Normal"/>
    <w:next w:val="Heading4"/>
    <w:rsid w:val="006B340B"/>
    <w:pPr>
      <w:spacing w:after="240"/>
      <w:jc w:val="center"/>
    </w:pPr>
    <w:rPr>
      <w:rFonts w:ascii="Arial" w:hAnsi="Arial" w:cs="Arial"/>
      <w:b/>
      <w:sz w:val="32"/>
      <w:szCs w:val="20"/>
    </w:rPr>
  </w:style>
  <w:style w:type="table" w:styleId="TableGrid">
    <w:name w:val="Table Grid"/>
    <w:basedOn w:val="TableNormal"/>
    <w:rsid w:val="006B34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6B340B"/>
    <w:pPr>
      <w:widowControl w:val="0"/>
    </w:pPr>
    <w:rPr>
      <w:rFonts w:ascii="Arial" w:hAnsi="Arial" w:cs="Arial"/>
      <w:b/>
      <w:sz w:val="32"/>
      <w:szCs w:val="20"/>
    </w:rPr>
  </w:style>
  <w:style w:type="paragraph" w:customStyle="1" w:styleId="TOCItem">
    <w:name w:val="TOCItem"/>
    <w:basedOn w:val="Normal"/>
    <w:rsid w:val="006B340B"/>
    <w:pPr>
      <w:tabs>
        <w:tab w:val="left" w:leader="dot" w:pos="7061"/>
        <w:tab w:val="right" w:pos="7524"/>
      </w:tabs>
      <w:spacing w:before="60" w:after="60"/>
      <w:ind w:right="465"/>
    </w:pPr>
    <w:rPr>
      <w:szCs w:val="20"/>
    </w:rPr>
  </w:style>
  <w:style w:type="paragraph" w:customStyle="1" w:styleId="TOCStem">
    <w:name w:val="TOCStem"/>
    <w:basedOn w:val="Normal"/>
    <w:rsid w:val="006B340B"/>
    <w:rPr>
      <w:szCs w:val="20"/>
    </w:rPr>
  </w:style>
  <w:style w:type="character" w:customStyle="1" w:styleId="HeaderChar">
    <w:name w:val="Header Char"/>
    <w:link w:val="Header"/>
    <w:rsid w:val="006B340B"/>
    <w:rPr>
      <w:sz w:val="24"/>
      <w:szCs w:val="24"/>
    </w:rPr>
  </w:style>
  <w:style w:type="character" w:customStyle="1" w:styleId="FooterChar">
    <w:name w:val="Footer Char"/>
    <w:link w:val="Footer"/>
    <w:rsid w:val="006B340B"/>
    <w:rPr>
      <w:sz w:val="24"/>
      <w:szCs w:val="24"/>
    </w:rPr>
  </w:style>
  <w:style w:type="character" w:styleId="FollowedHyperlink">
    <w:name w:val="FollowedHyperlink"/>
    <w:rsid w:val="006B340B"/>
    <w:rPr>
      <w:color w:val="800080"/>
      <w:u w:val="single"/>
    </w:rPr>
  </w:style>
  <w:style w:type="paragraph" w:styleId="TOC3">
    <w:name w:val="toc 3"/>
    <w:basedOn w:val="Normal"/>
    <w:next w:val="Normal"/>
    <w:autoRedefine/>
    <w:uiPriority w:val="39"/>
    <w:rsid w:val="006B340B"/>
    <w:pPr>
      <w:ind w:left="480"/>
    </w:pPr>
  </w:style>
  <w:style w:type="paragraph" w:styleId="TOC4">
    <w:name w:val="toc 4"/>
    <w:basedOn w:val="Normal"/>
    <w:next w:val="Normal"/>
    <w:autoRedefine/>
    <w:uiPriority w:val="39"/>
    <w:rsid w:val="006B340B"/>
    <w:pPr>
      <w:ind w:left="720"/>
    </w:pPr>
  </w:style>
  <w:style w:type="paragraph" w:styleId="ListParagraph">
    <w:name w:val="List Paragraph"/>
    <w:basedOn w:val="Normal"/>
    <w:uiPriority w:val="34"/>
    <w:qFormat/>
    <w:rsid w:val="00204FEF"/>
    <w:pPr>
      <w:ind w:left="720"/>
      <w:contextualSpacing/>
    </w:pPr>
  </w:style>
  <w:style w:type="character" w:styleId="CommentReference">
    <w:name w:val="annotation reference"/>
    <w:basedOn w:val="DefaultParagraphFont"/>
    <w:uiPriority w:val="99"/>
    <w:semiHidden/>
    <w:unhideWhenUsed/>
    <w:rsid w:val="006F39F9"/>
    <w:rPr>
      <w:sz w:val="16"/>
      <w:szCs w:val="16"/>
    </w:rPr>
  </w:style>
  <w:style w:type="paragraph" w:styleId="CommentText">
    <w:name w:val="annotation text"/>
    <w:basedOn w:val="Normal"/>
    <w:link w:val="CommentTextChar"/>
    <w:uiPriority w:val="99"/>
    <w:unhideWhenUsed/>
    <w:rsid w:val="006F39F9"/>
    <w:rPr>
      <w:sz w:val="20"/>
      <w:szCs w:val="20"/>
    </w:rPr>
  </w:style>
  <w:style w:type="character" w:customStyle="1" w:styleId="CommentTextChar">
    <w:name w:val="Comment Text Char"/>
    <w:basedOn w:val="DefaultParagraphFont"/>
    <w:link w:val="CommentText"/>
    <w:uiPriority w:val="99"/>
    <w:rsid w:val="006F39F9"/>
    <w:rPr>
      <w:color w:val="000000"/>
    </w:rPr>
  </w:style>
  <w:style w:type="paragraph" w:styleId="CommentSubject">
    <w:name w:val="annotation subject"/>
    <w:basedOn w:val="CommentText"/>
    <w:next w:val="CommentText"/>
    <w:link w:val="CommentSubjectChar"/>
    <w:uiPriority w:val="99"/>
    <w:semiHidden/>
    <w:unhideWhenUsed/>
    <w:rsid w:val="006F39F9"/>
    <w:rPr>
      <w:b/>
      <w:bCs/>
    </w:rPr>
  </w:style>
  <w:style w:type="character" w:customStyle="1" w:styleId="CommentSubjectChar">
    <w:name w:val="Comment Subject Char"/>
    <w:basedOn w:val="CommentTextChar"/>
    <w:link w:val="CommentSubject"/>
    <w:uiPriority w:val="99"/>
    <w:semiHidden/>
    <w:rsid w:val="006F39F9"/>
    <w:rPr>
      <w:b/>
      <w:bCs/>
      <w:color w:val="000000"/>
    </w:rPr>
  </w:style>
  <w:style w:type="paragraph" w:styleId="Revision">
    <w:name w:val="Revision"/>
    <w:hidden/>
    <w:uiPriority w:val="99"/>
    <w:semiHidden/>
    <w:rsid w:val="00545D5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imi-internal:M21-1MRIV.ii.2.A.1.b" TargetMode="External"/><Relationship Id="rId18" Type="http://schemas.openxmlformats.org/officeDocument/2006/relationships/hyperlink" Target="http://www.law.cornell.edu/uscode/html/uscode38/usc_sec_38_00005110----000-.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cfr.gov/cgi-bin/text-idx?SID=294b161fdf3bd0d4ab5a4619e0715dfd&amp;node=se38.1.3_1401&amp;rgn=div8" TargetMode="External"/><Relationship Id="rId7" Type="http://schemas.microsoft.com/office/2007/relationships/stylesWithEffects" Target="stylesWithEffects.xml"/><Relationship Id="rId12" Type="http://schemas.openxmlformats.org/officeDocument/2006/relationships/hyperlink" Target="http://www.ecfr.gov/cgi-bin/text-idx?SID=4ab11bba923e3373a10b49d5ebefd147&amp;node=se38.1.3_1159&amp;rgn=div8" TargetMode="External"/><Relationship Id="rId17" Type="http://schemas.openxmlformats.org/officeDocument/2006/relationships/hyperlink" Target="http://www.va.gov/vaform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po.gov/fdsys/pkg/CFR-2009-title38-vol1/xml/CFR-2009-title38-vol1-sec3-157.xml" TargetMode="External"/><Relationship Id="rId20" Type="http://schemas.openxmlformats.org/officeDocument/2006/relationships/hyperlink" Target="http://www.ecfr.gov/cgi-bin/text-idx?SID=294b161fdf3bd0d4ab5a4619e0715dfd&amp;node=se38.1.3_1400&amp;rgn=div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031509136c4175df811fdbe6205e59b2&amp;node=se38.1.3_1156&amp;rgn=div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po.gov/fdsys/pkg/CFR-2009-title38-vol1/xml/CFR-2009-title38-vol1-sec3-157.xml" TargetMode="External"/><Relationship Id="rId23" Type="http://schemas.openxmlformats.org/officeDocument/2006/relationships/hyperlink" Target="http://www.ecfr.gov/cgi-bin/text-idx?SID=031509136c4175df811fdbe6205e59b2&amp;node=se38.1.3_1156&amp;rgn=div8"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cfr.gov/cgi-bin/text-idx?SID=294b161fdf3bd0d4ab5a4619e0715dfd&amp;node=se38.1.3_1156&amp;rgn=div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imi-internal:M21-1MRIII.iv.6.B.2" TargetMode="External"/><Relationship Id="rId22" Type="http://schemas.openxmlformats.org/officeDocument/2006/relationships/hyperlink" Target="http://vbaw.vba.va.gov/VBMS/docs/VBMS_Release_8_1_UserGuide_UsersEdition.pdf"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F98C-D21B-489B-847E-F9B7088B4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6A114F-2E6A-40C3-9DBE-4410A10D7473}">
  <ds:schemaRefs>
    <ds:schemaRef ds:uri="http://schemas.microsoft.com/sharepoint/v3/contenttype/forms"/>
  </ds:schemaRefs>
</ds:datastoreItem>
</file>

<file path=customXml/itemProps3.xml><?xml version="1.0" encoding="utf-8"?>
<ds:datastoreItem xmlns:ds="http://schemas.openxmlformats.org/officeDocument/2006/customXml" ds:itemID="{22FEF1A9-B0FC-4BD7-AF5B-25846513EA80}">
  <ds:schemaRefs>
    <ds:schemaRef ds:uri="http://schemas.microsoft.com/office/2006/metadata/properties"/>
  </ds:schemaRefs>
</ds:datastoreItem>
</file>

<file path=customXml/itemProps4.xml><?xml version="1.0" encoding="utf-8"?>
<ds:datastoreItem xmlns:ds="http://schemas.openxmlformats.org/officeDocument/2006/customXml" ds:itemID="{4596C32C-2F26-4B15-99CC-38F4D358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1583</TotalTime>
  <Pages>8</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13097</CharactersWithSpaces>
  <SharedDoc>false</SharedDoc>
  <HLinks>
    <vt:vector size="114" baseType="variant">
      <vt:variant>
        <vt:i4>6815791</vt:i4>
      </vt:variant>
      <vt:variant>
        <vt:i4>75</vt:i4>
      </vt:variant>
      <vt:variant>
        <vt:i4>0</vt:i4>
      </vt:variant>
      <vt:variant>
        <vt:i4>5</vt:i4>
      </vt:variant>
      <vt:variant>
        <vt:lpwstr>imi-internal:M21-1MRIII.iv.2.B.7.h</vt:lpwstr>
      </vt:variant>
      <vt:variant>
        <vt:lpwstr/>
      </vt:variant>
      <vt:variant>
        <vt:i4>6422575</vt:i4>
      </vt:variant>
      <vt:variant>
        <vt:i4>72</vt:i4>
      </vt:variant>
      <vt:variant>
        <vt:i4>0</vt:i4>
      </vt:variant>
      <vt:variant>
        <vt:i4>5</vt:i4>
      </vt:variant>
      <vt:variant>
        <vt:lpwstr>imi-internal:M21-1MRIII.iv.2.B.6.c</vt:lpwstr>
      </vt:variant>
      <vt:variant>
        <vt:lpwstr/>
      </vt:variant>
      <vt:variant>
        <vt:i4>6619206</vt:i4>
      </vt:variant>
      <vt:variant>
        <vt:i4>69</vt:i4>
      </vt:variant>
      <vt:variant>
        <vt:i4>0</vt:i4>
      </vt:variant>
      <vt:variant>
        <vt:i4>5</vt:i4>
      </vt:variant>
      <vt:variant>
        <vt:lpwstr>http://www.warms.vba.va.gov/regs/38CFR/BOOKB/PART3/S3_401.DOC</vt:lpwstr>
      </vt:variant>
      <vt:variant>
        <vt:lpwstr/>
      </vt:variant>
      <vt:variant>
        <vt:i4>6619207</vt:i4>
      </vt:variant>
      <vt:variant>
        <vt:i4>66</vt:i4>
      </vt:variant>
      <vt:variant>
        <vt:i4>0</vt:i4>
      </vt:variant>
      <vt:variant>
        <vt:i4>5</vt:i4>
      </vt:variant>
      <vt:variant>
        <vt:lpwstr>http://www.warms.vba.va.gov/regs/38CFR/BOOKB/PART3/S3_400.DOC</vt:lpwstr>
      </vt:variant>
      <vt:variant>
        <vt:lpwstr/>
      </vt:variant>
      <vt:variant>
        <vt:i4>6291525</vt:i4>
      </vt:variant>
      <vt:variant>
        <vt:i4>63</vt:i4>
      </vt:variant>
      <vt:variant>
        <vt:i4>0</vt:i4>
      </vt:variant>
      <vt:variant>
        <vt:i4>5</vt:i4>
      </vt:variant>
      <vt:variant>
        <vt:lpwstr>http://www.warms.vba.va.gov/regs/38CFR/BOOKB/PART3/S3_157.DOC</vt:lpwstr>
      </vt:variant>
      <vt:variant>
        <vt:lpwstr/>
      </vt:variant>
      <vt:variant>
        <vt:i4>6291524</vt:i4>
      </vt:variant>
      <vt:variant>
        <vt:i4>60</vt:i4>
      </vt:variant>
      <vt:variant>
        <vt:i4>0</vt:i4>
      </vt:variant>
      <vt:variant>
        <vt:i4>5</vt:i4>
      </vt:variant>
      <vt:variant>
        <vt:lpwstr>http://www.warms.vba.va.gov/regs/38CFR/BOOKB/PART3/S3_156.DOC</vt:lpwstr>
      </vt:variant>
      <vt:variant>
        <vt:lpwstr/>
      </vt:variant>
      <vt:variant>
        <vt:i4>983158</vt:i4>
      </vt:variant>
      <vt:variant>
        <vt:i4>57</vt:i4>
      </vt:variant>
      <vt:variant>
        <vt:i4>0</vt:i4>
      </vt:variant>
      <vt:variant>
        <vt:i4>5</vt:i4>
      </vt:variant>
      <vt:variant>
        <vt:lpwstr>http://www.law.cornell.edu/uscode/html/uscode38/usc_sec_38_00005110----000-.html</vt:lpwstr>
      </vt:variant>
      <vt:variant>
        <vt:lpwstr/>
      </vt:variant>
      <vt:variant>
        <vt:i4>4784138</vt:i4>
      </vt:variant>
      <vt:variant>
        <vt:i4>48</vt:i4>
      </vt:variant>
      <vt:variant>
        <vt:i4>0</vt:i4>
      </vt:variant>
      <vt:variant>
        <vt:i4>5</vt:i4>
      </vt:variant>
      <vt:variant>
        <vt:lpwstr>imi-internal:M21-1MRIV.ii.2.A.1.b</vt:lpwstr>
      </vt:variant>
      <vt:variant>
        <vt:lpwstr/>
      </vt:variant>
      <vt:variant>
        <vt:i4>4784138</vt:i4>
      </vt:variant>
      <vt:variant>
        <vt:i4>45</vt:i4>
      </vt:variant>
      <vt:variant>
        <vt:i4>0</vt:i4>
      </vt:variant>
      <vt:variant>
        <vt:i4>5</vt:i4>
      </vt:variant>
      <vt:variant>
        <vt:lpwstr>imi-internal:M21-1MRIV.ii.2.A.1.e</vt:lpwstr>
      </vt:variant>
      <vt:variant>
        <vt:lpwstr/>
      </vt:variant>
      <vt:variant>
        <vt:i4>6291524</vt:i4>
      </vt:variant>
      <vt:variant>
        <vt:i4>42</vt:i4>
      </vt:variant>
      <vt:variant>
        <vt:i4>0</vt:i4>
      </vt:variant>
      <vt:variant>
        <vt:i4>5</vt:i4>
      </vt:variant>
      <vt:variant>
        <vt:lpwstr>http://www.warms.vba.va.gov/regs/38CFR/BOOKB/PART3/S3_156.DOC</vt:lpwstr>
      </vt:variant>
      <vt:variant>
        <vt:lpwstr/>
      </vt:variant>
      <vt:variant>
        <vt:i4>4784138</vt:i4>
      </vt:variant>
      <vt:variant>
        <vt:i4>33</vt:i4>
      </vt:variant>
      <vt:variant>
        <vt:i4>0</vt:i4>
      </vt:variant>
      <vt:variant>
        <vt:i4>5</vt:i4>
      </vt:variant>
      <vt:variant>
        <vt:lpwstr>imi-internal:M21-1MRIV.ii.2.A.1.e</vt:lpwstr>
      </vt:variant>
      <vt:variant>
        <vt:lpwstr/>
      </vt:variant>
      <vt:variant>
        <vt:i4>6291524</vt:i4>
      </vt:variant>
      <vt:variant>
        <vt:i4>30</vt:i4>
      </vt:variant>
      <vt:variant>
        <vt:i4>0</vt:i4>
      </vt:variant>
      <vt:variant>
        <vt:i4>5</vt:i4>
      </vt:variant>
      <vt:variant>
        <vt:lpwstr>http://www.warms.vba.va.gov/regs/38CFR/BOOKB/PART3/S3_156.DOC</vt:lpwstr>
      </vt:variant>
      <vt:variant>
        <vt:lpwstr/>
      </vt:variant>
      <vt:variant>
        <vt:i4>7077922</vt:i4>
      </vt:variant>
      <vt:variant>
        <vt:i4>18</vt:i4>
      </vt:variant>
      <vt:variant>
        <vt:i4>0</vt:i4>
      </vt:variant>
      <vt:variant>
        <vt:i4>5</vt:i4>
      </vt:variant>
      <vt:variant>
        <vt:lpwstr>http://vbaw.vba.va.gov/bl/21/Advisory/DADS/1998dads/Brannon.doc</vt:lpwstr>
      </vt:variant>
      <vt:variant>
        <vt:lpwstr/>
      </vt:variant>
      <vt:variant>
        <vt:i4>3801133</vt:i4>
      </vt:variant>
      <vt:variant>
        <vt:i4>15</vt:i4>
      </vt:variant>
      <vt:variant>
        <vt:i4>0</vt:i4>
      </vt:variant>
      <vt:variant>
        <vt:i4>5</vt:i4>
      </vt:variant>
      <vt:variant>
        <vt:lpwstr>http://vbaw.vba.va.gov/bl/21/Advisory/DADS/2006dads/FedCirc/MacPhee.doc</vt:lpwstr>
      </vt:variant>
      <vt:variant>
        <vt:lpwstr/>
      </vt:variant>
      <vt:variant>
        <vt:i4>5963794</vt:i4>
      </vt:variant>
      <vt:variant>
        <vt:i4>12</vt:i4>
      </vt:variant>
      <vt:variant>
        <vt:i4>0</vt:i4>
      </vt:variant>
      <vt:variant>
        <vt:i4>5</vt:i4>
      </vt:variant>
      <vt:variant>
        <vt:lpwstr>http://vbaw.vba.va.gov/bl/21/Advisory/DADS/2006dads/Criswell.doc</vt:lpwstr>
      </vt:variant>
      <vt:variant>
        <vt:lpwstr/>
      </vt:variant>
      <vt:variant>
        <vt:i4>65537</vt:i4>
      </vt:variant>
      <vt:variant>
        <vt:i4>9</vt:i4>
      </vt:variant>
      <vt:variant>
        <vt:i4>0</vt:i4>
      </vt:variant>
      <vt:variant>
        <vt:i4>5</vt:i4>
      </vt:variant>
      <vt:variant>
        <vt:lpwstr>imi-internal:M21-1MRIII.iv.6.B.2</vt:lpwstr>
      </vt:variant>
      <vt:variant>
        <vt:lpwstr/>
      </vt:variant>
      <vt:variant>
        <vt:i4>4784138</vt:i4>
      </vt:variant>
      <vt:variant>
        <vt:i4>6</vt:i4>
      </vt:variant>
      <vt:variant>
        <vt:i4>0</vt:i4>
      </vt:variant>
      <vt:variant>
        <vt:i4>5</vt:i4>
      </vt:variant>
      <vt:variant>
        <vt:lpwstr>imi-internal:M21-1MRIV.ii.2.A.1.b</vt:lpwstr>
      </vt:variant>
      <vt:variant>
        <vt:lpwstr/>
      </vt:variant>
      <vt:variant>
        <vt:i4>4784138</vt:i4>
      </vt:variant>
      <vt:variant>
        <vt:i4>3</vt:i4>
      </vt:variant>
      <vt:variant>
        <vt:i4>0</vt:i4>
      </vt:variant>
      <vt:variant>
        <vt:i4>5</vt:i4>
      </vt:variant>
      <vt:variant>
        <vt:lpwstr>imi-internal:M21-1MRIV.ii.2.A.1.c</vt:lpwstr>
      </vt:variant>
      <vt:variant>
        <vt:lpwstr/>
      </vt:variant>
      <vt:variant>
        <vt:i4>6291525</vt:i4>
      </vt:variant>
      <vt:variant>
        <vt:i4>0</vt:i4>
      </vt:variant>
      <vt:variant>
        <vt:i4>0</vt:i4>
      </vt:variant>
      <vt:variant>
        <vt:i4>5</vt:i4>
      </vt:variant>
      <vt:variant>
        <vt:lpwstr>http://www.warms.vba.va.gov/regs/38CFR/BOOKB/PART3/S3_157.DOC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Deciding Claims for Disability Compensation</dc:subject>
  <dc:creator>adjatoml</dc:creator>
  <cp:keywords>disability, compensation, service treatment records (STRs), claims, benefit of the doubt</cp:keywords>
  <dc:description>Information on deciding claims for disability compensation.</dc:description>
  <cp:lastModifiedBy>Mazar, Leah B., VBAVACO</cp:lastModifiedBy>
  <cp:revision>21</cp:revision>
  <cp:lastPrinted>2011-09-15T18:06:00Z</cp:lastPrinted>
  <dcterms:created xsi:type="dcterms:W3CDTF">2015-03-30T17:13:00Z</dcterms:created>
  <dcterms:modified xsi:type="dcterms:W3CDTF">2015-09-14T16:18:00Z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20140829</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y fmtid="{D5CDD505-2E9C-101B-9397-08002B2CF9AE}" pid="8" name="Order0">
    <vt:r8>1</vt:r8>
  </property>
</Properties>
</file>