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6F27A3">
        <w:rPr>
          <w:rFonts w:ascii="Times New Roman" w:hAnsi="Times New Roman"/>
          <w:sz w:val="20"/>
        </w:rPr>
        <w:t>ment of Veterans Affairs</w:t>
      </w:r>
      <w:r w:rsidR="006F27A3">
        <w:rPr>
          <w:rFonts w:ascii="Times New Roman" w:hAnsi="Times New Roman"/>
          <w:sz w:val="20"/>
        </w:rPr>
        <w:tab/>
      </w:r>
      <w:r w:rsidR="006F27A3">
        <w:rPr>
          <w:rFonts w:ascii="Times New Roman" w:hAnsi="Times New Roman"/>
          <w:sz w:val="20"/>
        </w:rPr>
        <w:tab/>
        <w:t>M21-4, Appendix B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6F27A3">
        <w:rPr>
          <w:b/>
          <w:bCs/>
          <w:sz w:val="20"/>
        </w:rPr>
        <w:t xml:space="preserve">           September 16, 2015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6F27A3" w:rsidRDefault="006F27A3" w:rsidP="006F27A3">
            <w:pPr>
              <w:pStyle w:val="BlockText"/>
            </w:pPr>
            <w:r>
              <w:t>The table below describes the changes included in this revision of Veterans Benefits Manual M21-4, Manpower Control and Utilization in Adjudication, Appendix B, “End Product Codes and Work-Rate Standards for Quantitative Measurements.”</w:t>
            </w:r>
          </w:p>
          <w:p w:rsidR="006F27A3" w:rsidRDefault="006F27A3" w:rsidP="006F27A3">
            <w:pPr>
              <w:pStyle w:val="BulletText1"/>
              <w:numPr>
                <w:ilvl w:val="0"/>
                <w:numId w:val="0"/>
              </w:numPr>
              <w:tabs>
                <w:tab w:val="left" w:pos="720"/>
              </w:tabs>
            </w:pPr>
          </w:p>
          <w:p w:rsidR="006F27A3" w:rsidRDefault="006F27A3" w:rsidP="006F27A3">
            <w:pPr>
              <w:pStyle w:val="BulletText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6F27A3" w:rsidRDefault="006F27A3" w:rsidP="006F27A3">
            <w:pPr>
              <w:pStyle w:val="BulletText1"/>
              <w:numPr>
                <w:ilvl w:val="0"/>
                <w:numId w:val="11"/>
              </w:numPr>
            </w:pPr>
            <w:r>
              <w:t>The term “regional office” (RO) also includes pension management center (PMC), where appropriate.</w:t>
            </w:r>
          </w:p>
          <w:p w:rsidR="00504F80" w:rsidRPr="00EA3A57" w:rsidRDefault="006F27A3" w:rsidP="006F27A3">
            <w:pPr>
              <w:pStyle w:val="BulletText1"/>
              <w:numPr>
                <w:ilvl w:val="0"/>
                <w:numId w:val="11"/>
              </w:numPr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F27A3" w:rsidRDefault="006F27A3" w:rsidP="006F27A3">
            <w:pPr>
              <w:pStyle w:val="TableText"/>
            </w:pPr>
            <w:r>
              <w:t>To revise guidance for EP</w:t>
            </w:r>
            <w:r>
              <w:t xml:space="preserve"> 930, including</w:t>
            </w:r>
          </w:p>
          <w:p w:rsidR="006F27A3" w:rsidRDefault="006F27A3" w:rsidP="006F27A3">
            <w:pPr>
              <w:pStyle w:val="TableText"/>
            </w:pPr>
          </w:p>
          <w:p w:rsidR="006F27A3" w:rsidRPr="006F27A3" w:rsidRDefault="006F27A3" w:rsidP="00D62E4D">
            <w:pPr>
              <w:numPr>
                <w:ilvl w:val="0"/>
                <w:numId w:val="26"/>
              </w:numPr>
              <w:ind w:left="158" w:hanging="187"/>
            </w:pPr>
            <w:r>
              <w:t>r</w:t>
            </w:r>
            <w:r w:rsidRPr="006F27A3">
              <w:t>emoved instructions for merging existing EP 930s into a new rating or non-rating EP that is received for a new contention</w:t>
            </w:r>
            <w:r>
              <w:t>,</w:t>
            </w:r>
          </w:p>
          <w:p w:rsidR="00D62E4D" w:rsidRDefault="00D62E4D" w:rsidP="00D62E4D">
            <w:pPr>
              <w:numPr>
                <w:ilvl w:val="0"/>
                <w:numId w:val="30"/>
              </w:numPr>
              <w:ind w:left="158" w:hanging="187"/>
            </w:pPr>
            <w:r>
              <w:t>p</w:t>
            </w:r>
            <w:r>
              <w:t>rovided cla</w:t>
            </w:r>
            <w:r>
              <w:t>rification when</w:t>
            </w:r>
            <w:r>
              <w:t xml:space="preserve"> both an EP 930 and a rating or non-rating EP </w:t>
            </w:r>
            <w:r>
              <w:t>can be pending concurrently, and</w:t>
            </w:r>
          </w:p>
          <w:p w:rsidR="006F27A3" w:rsidRPr="00D62E4D" w:rsidRDefault="00D62E4D" w:rsidP="00D62E4D">
            <w:pPr>
              <w:numPr>
                <w:ilvl w:val="0"/>
                <w:numId w:val="31"/>
              </w:numPr>
              <w:ind w:left="158" w:hanging="187"/>
            </w:pPr>
            <w:proofErr w:type="gramStart"/>
            <w:r>
              <w:t>p</w:t>
            </w:r>
            <w:r>
              <w:t>rovided</w:t>
            </w:r>
            <w:proofErr w:type="gramEnd"/>
            <w:r>
              <w:t xml:space="preserve"> clarification that a missed issue is an issue that was previously placed under EP control but not decided, which should be controlled under an EP 930, and is not the same as an </w:t>
            </w:r>
            <w:proofErr w:type="spellStart"/>
            <w:r>
              <w:t>unadjudicated</w:t>
            </w:r>
            <w:proofErr w:type="spellEnd"/>
            <w:r>
              <w:t xml:space="preserve"> discovered claim.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6F27A3" w:rsidP="002F7397">
            <w:pPr>
              <w:pStyle w:val="TableText"/>
            </w:pPr>
            <w:r>
              <w:t>M21-4, Appendix B, Section II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7D5B97" w:rsidRDefault="00504F80" w:rsidP="00D62E4D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A3" w:rsidRDefault="004861A3" w:rsidP="00C765C7">
      <w:r>
        <w:separator/>
      </w:r>
    </w:p>
  </w:endnote>
  <w:endnote w:type="continuationSeparator" w:id="0">
    <w:p w:rsidR="004861A3" w:rsidRDefault="004861A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E4D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A3" w:rsidRDefault="004861A3" w:rsidP="00C765C7">
      <w:r>
        <w:separator/>
      </w:r>
    </w:p>
  </w:footnote>
  <w:footnote w:type="continuationSeparator" w:id="0">
    <w:p w:rsidR="004861A3" w:rsidRDefault="004861A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fspro_2columns"/>
      </v:shape>
    </w:pict>
  </w:numPicBullet>
  <w:numPicBullet w:numPicBulletId="1">
    <w:pict>
      <v:shape id="_x0000_i1043" type="#_x0000_t75" style="width:12pt;height:12pt" o:bullet="t">
        <v:imagedata r:id="rId2" o:title="advanced"/>
      </v:shape>
    </w:pict>
  </w:numPicBullet>
  <w:numPicBullet w:numPicBulletId="2">
    <w:pict>
      <v:shape id="_x0000_i1044" type="#_x0000_t75" style="width:12pt;height:12pt" o:bullet="t">
        <v:imagedata r:id="rId3" o:title="continue"/>
      </v:shape>
    </w:pict>
  </w:numPicBullet>
  <w:numPicBullet w:numPicBulletId="3">
    <w:pict>
      <v:shape id="_x0000_i1045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0AC8"/>
    <w:multiLevelType w:val="hybridMultilevel"/>
    <w:tmpl w:val="9C90CC4C"/>
    <w:lvl w:ilvl="0" w:tplc="D338C45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94CB8"/>
    <w:multiLevelType w:val="hybridMultilevel"/>
    <w:tmpl w:val="D592FFEC"/>
    <w:lvl w:ilvl="0" w:tplc="D3FC09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3F8A"/>
    <w:multiLevelType w:val="hybridMultilevel"/>
    <w:tmpl w:val="9C1A135A"/>
    <w:lvl w:ilvl="0" w:tplc="B658C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3FD2"/>
    <w:multiLevelType w:val="hybridMultilevel"/>
    <w:tmpl w:val="998C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6CF0"/>
    <w:multiLevelType w:val="hybridMultilevel"/>
    <w:tmpl w:val="1EC6F1F2"/>
    <w:lvl w:ilvl="0" w:tplc="B658C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0D23"/>
    <w:multiLevelType w:val="hybridMultilevel"/>
    <w:tmpl w:val="6A0247AA"/>
    <w:lvl w:ilvl="0" w:tplc="E8DA83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6617E"/>
    <w:multiLevelType w:val="hybridMultilevel"/>
    <w:tmpl w:val="B8B0B928"/>
    <w:lvl w:ilvl="0" w:tplc="D338C45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CA1ED4"/>
    <w:multiLevelType w:val="hybridMultilevel"/>
    <w:tmpl w:val="D8F0312A"/>
    <w:lvl w:ilvl="0" w:tplc="B658C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0734"/>
    <w:multiLevelType w:val="hybridMultilevel"/>
    <w:tmpl w:val="09102CD6"/>
    <w:lvl w:ilvl="0" w:tplc="5B0C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FDE3B65"/>
    <w:multiLevelType w:val="hybridMultilevel"/>
    <w:tmpl w:val="B720E34C"/>
    <w:lvl w:ilvl="0" w:tplc="D3FC09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A0B9B"/>
    <w:multiLevelType w:val="hybridMultilevel"/>
    <w:tmpl w:val="F13889DA"/>
    <w:lvl w:ilvl="0" w:tplc="EB162E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8EF0FFB"/>
    <w:multiLevelType w:val="hybridMultilevel"/>
    <w:tmpl w:val="82A42C6A"/>
    <w:lvl w:ilvl="0" w:tplc="DB8C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E095A38"/>
    <w:multiLevelType w:val="hybridMultilevel"/>
    <w:tmpl w:val="C4E0611E"/>
    <w:lvl w:ilvl="0" w:tplc="735ADE8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C34A6"/>
    <w:multiLevelType w:val="hybridMultilevel"/>
    <w:tmpl w:val="1B7CAD20"/>
    <w:lvl w:ilvl="0" w:tplc="EB162E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76E11"/>
    <w:multiLevelType w:val="hybridMultilevel"/>
    <w:tmpl w:val="C8F86678"/>
    <w:lvl w:ilvl="0" w:tplc="D3FC09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6A8525E"/>
    <w:multiLevelType w:val="hybridMultilevel"/>
    <w:tmpl w:val="7382DD2A"/>
    <w:lvl w:ilvl="0" w:tplc="D3FC09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635BA"/>
    <w:multiLevelType w:val="hybridMultilevel"/>
    <w:tmpl w:val="B0E27950"/>
    <w:lvl w:ilvl="0" w:tplc="D3FC096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171FFD"/>
    <w:multiLevelType w:val="hybridMultilevel"/>
    <w:tmpl w:val="DE7E1B16"/>
    <w:lvl w:ilvl="0" w:tplc="D338C45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39B"/>
    <w:multiLevelType w:val="hybridMultilevel"/>
    <w:tmpl w:val="E7125FFC"/>
    <w:lvl w:ilvl="0" w:tplc="D338C45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22"/>
  </w:num>
  <w:num w:numId="5">
    <w:abstractNumId w:val="16"/>
  </w:num>
  <w:num w:numId="6">
    <w:abstractNumId w:val="14"/>
  </w:num>
  <w:num w:numId="7">
    <w:abstractNumId w:val="23"/>
  </w:num>
  <w:num w:numId="8">
    <w:abstractNumId w:val="11"/>
  </w:num>
  <w:num w:numId="9">
    <w:abstractNumId w:val="8"/>
  </w:num>
  <w:num w:numId="10">
    <w:abstractNumId w:val="21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9"/>
  </w:num>
  <w:num w:numId="20">
    <w:abstractNumId w:val="13"/>
  </w:num>
  <w:num w:numId="21">
    <w:abstractNumId w:val="6"/>
  </w:num>
  <w:num w:numId="22">
    <w:abstractNumId w:val="7"/>
  </w:num>
  <w:num w:numId="23">
    <w:abstractNumId w:val="28"/>
  </w:num>
  <w:num w:numId="24">
    <w:abstractNumId w:val="1"/>
  </w:num>
  <w:num w:numId="25">
    <w:abstractNumId w:val="27"/>
  </w:num>
  <w:num w:numId="26">
    <w:abstractNumId w:val="2"/>
  </w:num>
  <w:num w:numId="27">
    <w:abstractNumId w:val="20"/>
  </w:num>
  <w:num w:numId="28">
    <w:abstractNumId w:val="24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861A3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27A3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62E4D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F27A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62E4D"/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F27A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62E4D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Gerrets, Melvin M., VBAVACO</cp:lastModifiedBy>
  <cp:revision>2</cp:revision>
  <dcterms:created xsi:type="dcterms:W3CDTF">2015-09-15T21:11:00Z</dcterms:created>
  <dcterms:modified xsi:type="dcterms:W3CDTF">2015-09-15T21:11:00Z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