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2839" w14:textId="06BF89BC"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r w:rsidR="00AC5761">
        <w:rPr>
          <w:rFonts w:ascii="Times New Roman" w:hAnsi="Times New Roman"/>
          <w:sz w:val="20"/>
        </w:rPr>
        <w:t xml:space="preserve">     </w:t>
      </w:r>
      <w:r>
        <w:rPr>
          <w:rFonts w:ascii="Times New Roman" w:hAnsi="Times New Roman"/>
          <w:sz w:val="20"/>
        </w:rPr>
        <w:t xml:space="preserve">M21-1, Part </w:t>
      </w:r>
      <w:r w:rsidR="00EA58A3">
        <w:rPr>
          <w:rFonts w:ascii="Times New Roman" w:hAnsi="Times New Roman"/>
          <w:sz w:val="20"/>
        </w:rPr>
        <w:t>IX</w:t>
      </w:r>
      <w:r>
        <w:rPr>
          <w:rFonts w:ascii="Times New Roman" w:hAnsi="Times New Roman"/>
          <w:sz w:val="20"/>
        </w:rPr>
        <w:t xml:space="preserve">, Subpart </w:t>
      </w:r>
      <w:r w:rsidR="00945950">
        <w:rPr>
          <w:rFonts w:ascii="Times New Roman" w:hAnsi="Times New Roman"/>
          <w:sz w:val="20"/>
        </w:rPr>
        <w:t>ii</w:t>
      </w:r>
    </w:p>
    <w:p w14:paraId="5385E7E6" w14:textId="4A505451"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AC5761">
        <w:rPr>
          <w:b/>
          <w:bCs/>
          <w:sz w:val="20"/>
        </w:rPr>
        <w:tab/>
      </w:r>
      <w:r w:rsidR="00AC5761">
        <w:rPr>
          <w:b/>
          <w:bCs/>
          <w:sz w:val="20"/>
        </w:rPr>
        <w:tab/>
        <w:t xml:space="preserve">      July 20, 2015</w:t>
      </w:r>
      <w:r>
        <w:rPr>
          <w:b/>
          <w:bCs/>
          <w:sz w:val="20"/>
        </w:rPr>
        <w:tab/>
      </w:r>
    </w:p>
    <w:p w14:paraId="531E508C" w14:textId="77777777" w:rsidR="00504F80" w:rsidRDefault="00504F80" w:rsidP="00504F80">
      <w:pPr>
        <w:rPr>
          <w:b/>
          <w:bCs/>
          <w:sz w:val="20"/>
        </w:rPr>
      </w:pPr>
      <w:r>
        <w:rPr>
          <w:b/>
          <w:bCs/>
          <w:sz w:val="20"/>
        </w:rPr>
        <w:t>Washington, DC  20420</w:t>
      </w:r>
    </w:p>
    <w:p w14:paraId="4D04FD93" w14:textId="77777777" w:rsidR="00504F80" w:rsidRDefault="00504F80" w:rsidP="00504F80">
      <w:pPr>
        <w:rPr>
          <w:b/>
          <w:bCs/>
          <w:sz w:val="20"/>
        </w:rPr>
      </w:pPr>
    </w:p>
    <w:p w14:paraId="5380CDC3" w14:textId="77777777" w:rsidR="00504F80" w:rsidRDefault="00504F80" w:rsidP="00504F80">
      <w:pPr>
        <w:pStyle w:val="Heading4"/>
      </w:pPr>
      <w:r>
        <w:t xml:space="preserve">Transmittal Sheet </w:t>
      </w:r>
    </w:p>
    <w:p w14:paraId="0F62981F"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39221A3" w14:textId="77777777" w:rsidTr="00C24D50">
        <w:tc>
          <w:tcPr>
            <w:tcW w:w="1728" w:type="dxa"/>
          </w:tcPr>
          <w:p w14:paraId="54728E6A" w14:textId="77777777" w:rsidR="00504F80" w:rsidRDefault="00504F80" w:rsidP="00237C22">
            <w:pPr>
              <w:pStyle w:val="Heading5"/>
            </w:pPr>
            <w:r>
              <w:t>Changes Included in This Revision</w:t>
            </w:r>
          </w:p>
        </w:tc>
        <w:tc>
          <w:tcPr>
            <w:tcW w:w="7740" w:type="dxa"/>
          </w:tcPr>
          <w:p w14:paraId="49CE5857" w14:textId="77777777" w:rsidR="00504F80" w:rsidRDefault="00504F80" w:rsidP="00237C22">
            <w:pPr>
              <w:pStyle w:val="BlockText"/>
            </w:pPr>
            <w:r>
              <w:t>The table below describes the changes included in this revision of Veterans Benefits Manual</w:t>
            </w:r>
            <w:r w:rsidR="000D2EE3">
              <w:t>,</w:t>
            </w:r>
            <w:r>
              <w:t xml:space="preserve"> M21-1, Part </w:t>
            </w:r>
            <w:r w:rsidR="00BB3345">
              <w:t>I</w:t>
            </w:r>
            <w:r w:rsidR="00EA58A3">
              <w:t>X</w:t>
            </w:r>
            <w:r>
              <w:t>, “</w:t>
            </w:r>
            <w:r w:rsidR="00EA58A3">
              <w:t>Ancillary and Special Benefits</w:t>
            </w:r>
            <w:r>
              <w:t xml:space="preserve">,” Subpart </w:t>
            </w:r>
            <w:r w:rsidR="00BB3345">
              <w:t>ii</w:t>
            </w:r>
            <w:r>
              <w:t>, “</w:t>
            </w:r>
            <w:r w:rsidR="000D2EE3">
              <w:t>Special Benefits</w:t>
            </w:r>
            <w:r>
              <w:t>.”</w:t>
            </w:r>
          </w:p>
          <w:p w14:paraId="0C1FE7A9" w14:textId="77777777" w:rsidR="00504F80" w:rsidRPr="00450FD6" w:rsidRDefault="00504F80" w:rsidP="00237C22">
            <w:pPr>
              <w:pStyle w:val="BulletText1"/>
              <w:numPr>
                <w:ilvl w:val="0"/>
                <w:numId w:val="0"/>
              </w:numPr>
            </w:pPr>
          </w:p>
          <w:p w14:paraId="3F070102" w14:textId="77777777" w:rsidR="000D2EE3" w:rsidRDefault="00504F80" w:rsidP="00237C22">
            <w:pPr>
              <w:pStyle w:val="BulletText1"/>
              <w:numPr>
                <w:ilvl w:val="0"/>
                <w:numId w:val="0"/>
              </w:numPr>
            </w:pPr>
            <w:r>
              <w:rPr>
                <w:b/>
                <w:i/>
              </w:rPr>
              <w:t>Notes</w:t>
            </w:r>
            <w:r>
              <w:t xml:space="preserve">: </w:t>
            </w:r>
          </w:p>
          <w:p w14:paraId="0ABE6F90" w14:textId="77777777" w:rsidR="000D2EE3" w:rsidRDefault="00504F80" w:rsidP="000D2EE3">
            <w:pPr>
              <w:pStyle w:val="BulletText1"/>
            </w:pPr>
            <w:r>
              <w:t xml:space="preserve"> </w:t>
            </w:r>
            <w:r w:rsidR="000D2EE3">
              <w:t>The term “regional office” (RO) also includes pension management center (PMC), where appropriate.</w:t>
            </w:r>
          </w:p>
          <w:p w14:paraId="46CAA5E1" w14:textId="77777777" w:rsidR="00504F80" w:rsidRDefault="000D2EE3" w:rsidP="000D2EE3">
            <w:pPr>
              <w:pStyle w:val="BulletText1"/>
            </w:pPr>
            <w:r>
              <w:t>Unless otherwise noted, the term “claims folder” refers to the official, numbered, Department of Veterans Affairs (VA) repository – whether paper or electronic – for all documentation relating to claims that a Veteran and/or his/her survivors file with VA.</w:t>
            </w:r>
          </w:p>
          <w:p w14:paraId="674A75EA" w14:textId="77777777" w:rsidR="000D2EE3" w:rsidRDefault="00504F80" w:rsidP="000D2EE3">
            <w:pPr>
              <w:pStyle w:val="BulletText1"/>
            </w:pPr>
            <w:r>
              <w:t xml:space="preserve">Minor editorial changes have also been made to </w:t>
            </w:r>
          </w:p>
          <w:p w14:paraId="2E9A6F4C" w14:textId="77777777" w:rsidR="00504F80" w:rsidRDefault="00504F80" w:rsidP="00237C22">
            <w:pPr>
              <w:pStyle w:val="BulletText2"/>
              <w:tabs>
                <w:tab w:val="num" w:pos="547"/>
              </w:tabs>
            </w:pPr>
            <w:r>
              <w:t>update incorrect or obsolete references</w:t>
            </w:r>
          </w:p>
          <w:p w14:paraId="75AC6F8D" w14:textId="77777777" w:rsidR="000D2EE3" w:rsidRDefault="000D2EE3" w:rsidP="000D2EE3">
            <w:pPr>
              <w:pStyle w:val="BulletText2"/>
              <w:tabs>
                <w:tab w:val="num" w:pos="547"/>
              </w:tabs>
            </w:pPr>
            <w:r>
              <w:t>update obsolete terminology, where appropriate</w:t>
            </w:r>
          </w:p>
          <w:p w14:paraId="3DB574F7" w14:textId="75550DB4" w:rsidR="00AF5C2E" w:rsidRDefault="00AF5C2E" w:rsidP="000D2EE3">
            <w:pPr>
              <w:pStyle w:val="BulletText2"/>
              <w:tabs>
                <w:tab w:val="num" w:pos="547"/>
              </w:tabs>
            </w:pPr>
            <w:r>
              <w:t>remove references to specific claims-processing systems, where doing so does not affect the clarity of the instructions or information provided</w:t>
            </w:r>
          </w:p>
          <w:p w14:paraId="73407638" w14:textId="77777777" w:rsidR="003E2CA2" w:rsidRDefault="003E2CA2" w:rsidP="00237C22">
            <w:pPr>
              <w:pStyle w:val="BulletText2"/>
              <w:tabs>
                <w:tab w:val="num" w:pos="547"/>
              </w:tabs>
            </w:pPr>
            <w:r>
              <w:t>reassign alphabetical designations to individual blocks, where necessary, to account for new and/or deleted blocks within a topic</w:t>
            </w:r>
          </w:p>
          <w:p w14:paraId="0B04483F" w14:textId="77777777" w:rsidR="00A557BB" w:rsidRDefault="00A557BB" w:rsidP="00237C22">
            <w:pPr>
              <w:pStyle w:val="BulletText2"/>
              <w:tabs>
                <w:tab w:val="num" w:pos="547"/>
              </w:tabs>
            </w:pPr>
            <w:r>
              <w:t>update section and topic titles to more accurately reflect their content</w:t>
            </w:r>
          </w:p>
          <w:p w14:paraId="3E543CC7"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40AC785B" w14:textId="77777777" w:rsidR="00504F80" w:rsidRPr="00EA3A57" w:rsidRDefault="00504F80" w:rsidP="00120103">
            <w:pPr>
              <w:pStyle w:val="BulletText2"/>
            </w:pPr>
            <w:proofErr w:type="gramStart"/>
            <w:r>
              <w:t>bring</w:t>
            </w:r>
            <w:proofErr w:type="gramEnd"/>
            <w:r>
              <w:t xml:space="preserve"> the document into conformance with M21-1 standards.</w:t>
            </w:r>
          </w:p>
        </w:tc>
        <w:bookmarkStart w:id="0" w:name="_GoBack"/>
        <w:bookmarkEnd w:id="0"/>
      </w:tr>
    </w:tbl>
    <w:p w14:paraId="0821373F"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078EED34" w14:textId="77777777" w:rsidTr="00AF5C2E">
        <w:trPr>
          <w:trHeight w:val="180"/>
        </w:trPr>
        <w:tc>
          <w:tcPr>
            <w:tcW w:w="3750" w:type="pct"/>
            <w:shd w:val="clear" w:color="auto" w:fill="auto"/>
          </w:tcPr>
          <w:p w14:paraId="7D5114DE" w14:textId="77777777" w:rsidR="002A1D3E" w:rsidRPr="00C24D50" w:rsidRDefault="002A1D3E" w:rsidP="002F7397">
            <w:pPr>
              <w:pStyle w:val="TableHeaderText"/>
            </w:pPr>
            <w:r w:rsidRPr="00C24D50">
              <w:t>Reason(s) for the Change</w:t>
            </w:r>
          </w:p>
        </w:tc>
        <w:tc>
          <w:tcPr>
            <w:tcW w:w="1250" w:type="pct"/>
            <w:shd w:val="clear" w:color="auto" w:fill="auto"/>
          </w:tcPr>
          <w:p w14:paraId="2A9A9690" w14:textId="77777777" w:rsidR="002A1D3E" w:rsidRPr="00C24D50" w:rsidRDefault="002A1D3E" w:rsidP="002F7397">
            <w:pPr>
              <w:pStyle w:val="TableHeaderText"/>
            </w:pPr>
            <w:r w:rsidRPr="00C24D50">
              <w:t>Citation</w:t>
            </w:r>
          </w:p>
        </w:tc>
      </w:tr>
      <w:tr w:rsidR="002A1D3E" w14:paraId="3132E1CD" w14:textId="77777777" w:rsidTr="00AF5C2E">
        <w:trPr>
          <w:trHeight w:val="180"/>
        </w:trPr>
        <w:tc>
          <w:tcPr>
            <w:tcW w:w="3750" w:type="pct"/>
            <w:shd w:val="clear" w:color="auto" w:fill="auto"/>
          </w:tcPr>
          <w:p w14:paraId="112EA408" w14:textId="77777777" w:rsidR="002A1D3E" w:rsidRDefault="000D2EE3" w:rsidP="000D2EE3">
            <w:pPr>
              <w:pStyle w:val="ListParagraph"/>
              <w:numPr>
                <w:ilvl w:val="0"/>
                <w:numId w:val="12"/>
              </w:numPr>
              <w:ind w:left="158" w:hanging="187"/>
            </w:pPr>
            <w:r>
              <w:t>To add information that as of September 4, 2013, the Department of Veterans Affairs (VA) is allowed to administer spousal benefits to same-sex married couples</w:t>
            </w:r>
            <w:r w:rsidR="00F55B12">
              <w:t xml:space="preserve"> under the Defense of Marriage Act</w:t>
            </w:r>
            <w:r>
              <w:t>, provided their marriages meet the requirements of 38 CFR 3.1(j).</w:t>
            </w:r>
          </w:p>
          <w:p w14:paraId="4AC7B333" w14:textId="7994E011" w:rsidR="000D2EE3" w:rsidRPr="00C24D50" w:rsidRDefault="000D2EE3" w:rsidP="00421891">
            <w:pPr>
              <w:pStyle w:val="ListParagraph"/>
              <w:numPr>
                <w:ilvl w:val="0"/>
                <w:numId w:val="13"/>
              </w:numPr>
              <w:ind w:left="158" w:hanging="187"/>
            </w:pPr>
            <w:r>
              <w:t>To add information that as of September 4, 2013, VA is permitted, for the purpose of gratuitous death benefits, to recognize certain marriages as deemed valid marriages that are not recognized under State law if certain requirements are met.</w:t>
            </w:r>
          </w:p>
        </w:tc>
        <w:tc>
          <w:tcPr>
            <w:tcW w:w="1250" w:type="pct"/>
            <w:shd w:val="clear" w:color="auto" w:fill="auto"/>
          </w:tcPr>
          <w:p w14:paraId="6A3292B4" w14:textId="77777777" w:rsidR="002A1D3E" w:rsidRPr="00C24D50" w:rsidRDefault="000D2EE3" w:rsidP="002F7397">
            <w:pPr>
              <w:pStyle w:val="TableText"/>
            </w:pPr>
            <w:r>
              <w:t xml:space="preserve">M21-1, </w:t>
            </w:r>
            <w:r w:rsidR="00EA58A3">
              <w:t>Part</w:t>
            </w:r>
            <w:r>
              <w:t xml:space="preserve"> </w:t>
            </w:r>
            <w:r w:rsidR="00EA58A3">
              <w:t>IX, Subpart ii, Chapter 2</w:t>
            </w:r>
            <w:r>
              <w:t>, Topic 1, Block c. (IX.ii.2.1.c</w:t>
            </w:r>
            <w:r w:rsidR="00C5223A">
              <w:t>)</w:t>
            </w:r>
          </w:p>
        </w:tc>
      </w:tr>
      <w:tr w:rsidR="002A1D3E" w14:paraId="6DD1C21E" w14:textId="77777777" w:rsidTr="00AF5C2E">
        <w:trPr>
          <w:trHeight w:val="180"/>
        </w:trPr>
        <w:tc>
          <w:tcPr>
            <w:tcW w:w="3750" w:type="pct"/>
            <w:shd w:val="clear" w:color="auto" w:fill="auto"/>
          </w:tcPr>
          <w:p w14:paraId="080D4A38" w14:textId="43B1144D" w:rsidR="002A1D3E" w:rsidRPr="00C24D50" w:rsidRDefault="00F55B12" w:rsidP="00AF5C2E">
            <w:pPr>
              <w:pStyle w:val="TableText"/>
            </w:pPr>
            <w:r>
              <w:t>To add a new Block e provid</w:t>
            </w:r>
            <w:r w:rsidR="00AF5C2E">
              <w:t>ing</w:t>
            </w:r>
            <w:r>
              <w:t xml:space="preserve"> information on presuming permanence of disability when Dependency and Indemnity Compensation (DIC) is awarded to a surviving spouse</w:t>
            </w:r>
            <w:r w:rsidR="002B17C1">
              <w:t xml:space="preserve"> or child</w:t>
            </w:r>
            <w:r>
              <w:t xml:space="preserve"> under 38 U.S.C. 1318 and awarding entitlement to Dependents Educational Assistance (DEA) unless Veterans Benefits Administration (VBA) has specific evidence to the contrary.</w:t>
            </w:r>
            <w:r w:rsidR="00EA58A3">
              <w:t xml:space="preserve">  </w:t>
            </w:r>
          </w:p>
        </w:tc>
        <w:tc>
          <w:tcPr>
            <w:tcW w:w="1250" w:type="pct"/>
            <w:shd w:val="clear" w:color="auto" w:fill="auto"/>
          </w:tcPr>
          <w:p w14:paraId="00E50A88" w14:textId="77777777" w:rsidR="002A1D3E" w:rsidRPr="00C24D50" w:rsidRDefault="00F55B12" w:rsidP="002F7397">
            <w:pPr>
              <w:pStyle w:val="TableText"/>
            </w:pPr>
            <w:r>
              <w:t>IX.ii.2.1.e</w:t>
            </w:r>
          </w:p>
        </w:tc>
      </w:tr>
      <w:tr w:rsidR="002A1D3E" w14:paraId="223FAF6D" w14:textId="77777777" w:rsidTr="00AF5C2E">
        <w:trPr>
          <w:trHeight w:val="180"/>
        </w:trPr>
        <w:tc>
          <w:tcPr>
            <w:tcW w:w="3750" w:type="pct"/>
            <w:shd w:val="clear" w:color="auto" w:fill="auto"/>
          </w:tcPr>
          <w:p w14:paraId="2310FA61" w14:textId="77777777" w:rsidR="00F55B12" w:rsidRDefault="00F55B12" w:rsidP="00F55B12">
            <w:pPr>
              <w:pStyle w:val="ListParagraph"/>
              <w:numPr>
                <w:ilvl w:val="0"/>
                <w:numId w:val="15"/>
              </w:numPr>
              <w:ind w:left="158" w:hanging="187"/>
            </w:pPr>
            <w:r>
              <w:t xml:space="preserve">To provide guidance not to consider basic eligibility to DEA when the qualifying disability is awarded permanent and total (P&amp;T) benefits </w:t>
            </w:r>
            <w:proofErr w:type="gramStart"/>
            <w:r>
              <w:t>under</w:t>
            </w:r>
            <w:proofErr w:type="gramEnd"/>
            <w:r>
              <w:t xml:space="preserve"> 38 U.S.C. 1151.</w:t>
            </w:r>
          </w:p>
          <w:p w14:paraId="5D621575" w14:textId="77777777" w:rsidR="002A1D3E" w:rsidRDefault="00F55B12" w:rsidP="00F55B12">
            <w:pPr>
              <w:pStyle w:val="ListParagraph"/>
              <w:numPr>
                <w:ilvl w:val="0"/>
                <w:numId w:val="16"/>
              </w:numPr>
              <w:ind w:left="158" w:hanging="187"/>
            </w:pPr>
            <w:r>
              <w:t xml:space="preserve">To add information that Veterans Benefits Management - Rating </w:t>
            </w:r>
            <w:r>
              <w:lastRenderedPageBreak/>
              <w:t>(VBMS-R)</w:t>
            </w:r>
            <w:r w:rsidR="00C46C2A">
              <w:t xml:space="preserve"> </w:t>
            </w:r>
            <w:r>
              <w:t>automatically establishes the ancillary issue of DEA/Chapter 35 entitlement when there is a combined evaluation of 100 percent and no future examination identified.</w:t>
            </w:r>
          </w:p>
          <w:p w14:paraId="16DE0884" w14:textId="77777777" w:rsidR="00F55B12" w:rsidRPr="00F55B12" w:rsidRDefault="00F55B12" w:rsidP="00F55B12">
            <w:pPr>
              <w:pStyle w:val="ListParagraph"/>
              <w:numPr>
                <w:ilvl w:val="0"/>
                <w:numId w:val="17"/>
              </w:numPr>
              <w:ind w:left="158" w:hanging="187"/>
            </w:pPr>
            <w:r>
              <w:t xml:space="preserve">To add a reference to the </w:t>
            </w:r>
            <w:r w:rsidRPr="00F55B12">
              <w:rPr>
                <w:i/>
              </w:rPr>
              <w:t>VBMS-R User Guide</w:t>
            </w:r>
            <w:r>
              <w:t>.</w:t>
            </w:r>
          </w:p>
        </w:tc>
        <w:tc>
          <w:tcPr>
            <w:tcW w:w="1250" w:type="pct"/>
            <w:shd w:val="clear" w:color="auto" w:fill="auto"/>
          </w:tcPr>
          <w:p w14:paraId="5EF96FB7" w14:textId="77777777" w:rsidR="002A1D3E" w:rsidRPr="00C24D50" w:rsidRDefault="00F55B12" w:rsidP="00C46C2A">
            <w:pPr>
              <w:pStyle w:val="TableText"/>
            </w:pPr>
            <w:r>
              <w:lastRenderedPageBreak/>
              <w:t>IX.ii.2.1.l</w:t>
            </w:r>
          </w:p>
        </w:tc>
      </w:tr>
      <w:tr w:rsidR="00F55B12" w14:paraId="34B9B605" w14:textId="77777777" w:rsidTr="00AF5C2E">
        <w:trPr>
          <w:trHeight w:val="180"/>
        </w:trPr>
        <w:tc>
          <w:tcPr>
            <w:tcW w:w="3750" w:type="pct"/>
            <w:shd w:val="clear" w:color="auto" w:fill="auto"/>
          </w:tcPr>
          <w:p w14:paraId="0039AA50" w14:textId="6050C9EC" w:rsidR="00F55B12" w:rsidRDefault="00F55B12" w:rsidP="00AF5C2E">
            <w:pPr>
              <w:pStyle w:val="TableText"/>
            </w:pPr>
            <w:r>
              <w:lastRenderedPageBreak/>
              <w:t xml:space="preserve">To remove unnecessary information on informal claims </w:t>
            </w:r>
            <w:proofErr w:type="gramStart"/>
            <w:r>
              <w:t>under</w:t>
            </w:r>
            <w:proofErr w:type="gramEnd"/>
            <w:r>
              <w:t xml:space="preserve"> 38 CFR 3.155 for consistency with </w:t>
            </w:r>
            <w:r w:rsidR="00AF5C2E">
              <w:t xml:space="preserve">regulation </w:t>
            </w:r>
            <w:r>
              <w:t>changes.</w:t>
            </w:r>
          </w:p>
        </w:tc>
        <w:tc>
          <w:tcPr>
            <w:tcW w:w="1250" w:type="pct"/>
            <w:shd w:val="clear" w:color="auto" w:fill="auto"/>
          </w:tcPr>
          <w:p w14:paraId="3F477E01" w14:textId="77777777" w:rsidR="00F55B12" w:rsidRPr="00C46C2A" w:rsidRDefault="00F55B12" w:rsidP="00C5223A">
            <w:pPr>
              <w:pStyle w:val="TableText"/>
            </w:pPr>
            <w:r>
              <w:t>IX.ii.2.2.a</w:t>
            </w:r>
          </w:p>
        </w:tc>
      </w:tr>
      <w:tr w:rsidR="00F55B12" w14:paraId="0CC47A62" w14:textId="77777777" w:rsidTr="00AF5C2E">
        <w:trPr>
          <w:trHeight w:val="180"/>
        </w:trPr>
        <w:tc>
          <w:tcPr>
            <w:tcW w:w="3750" w:type="pct"/>
            <w:shd w:val="clear" w:color="auto" w:fill="auto"/>
          </w:tcPr>
          <w:p w14:paraId="5388B4E2" w14:textId="648BC92E" w:rsidR="00F55B12" w:rsidRDefault="00F55B12" w:rsidP="00DD5A02">
            <w:pPr>
              <w:pStyle w:val="ListParagraph"/>
              <w:numPr>
                <w:ilvl w:val="0"/>
                <w:numId w:val="18"/>
              </w:numPr>
              <w:ind w:left="158" w:hanging="187"/>
            </w:pPr>
            <w:r>
              <w:t>To add a new Block e provid</w:t>
            </w:r>
            <w:r w:rsidR="00421891">
              <w:t>ing</w:t>
            </w:r>
            <w:r>
              <w:t xml:space="preserve"> information on the definition and rating guidelines for bruxism to include the need to return the examination to the examiner and request the etiology of bruxism in order to determine whether bruxism is secondary to a service-connected disability.</w:t>
            </w:r>
          </w:p>
          <w:p w14:paraId="3E901E7D" w14:textId="77777777" w:rsidR="00DD5A02" w:rsidRDefault="00DD5A02" w:rsidP="00DD5A02">
            <w:pPr>
              <w:pStyle w:val="ListParagraph"/>
              <w:numPr>
                <w:ilvl w:val="0"/>
                <w:numId w:val="19"/>
              </w:numPr>
              <w:ind w:left="158" w:hanging="187"/>
            </w:pPr>
            <w:r>
              <w:t>To add references for more information on requirements for examination reports to III.iv.3.D.2.j and returning examination reports as insufficient for rating purposes to III.iv.3.D.3.</w:t>
            </w:r>
          </w:p>
        </w:tc>
        <w:tc>
          <w:tcPr>
            <w:tcW w:w="1250" w:type="pct"/>
            <w:shd w:val="clear" w:color="auto" w:fill="auto"/>
          </w:tcPr>
          <w:p w14:paraId="39EE79D4" w14:textId="77777777" w:rsidR="00F55B12" w:rsidRPr="00C46C2A" w:rsidRDefault="00F55B12" w:rsidP="00C5223A">
            <w:pPr>
              <w:pStyle w:val="TableText"/>
            </w:pPr>
            <w:r>
              <w:t>IX.ii.2.3.e</w:t>
            </w:r>
          </w:p>
        </w:tc>
      </w:tr>
      <w:tr w:rsidR="002A1D3E" w14:paraId="69ADB1EF" w14:textId="77777777" w:rsidTr="00AF5C2E">
        <w:trPr>
          <w:trHeight w:val="180"/>
        </w:trPr>
        <w:tc>
          <w:tcPr>
            <w:tcW w:w="3750" w:type="pct"/>
            <w:shd w:val="clear" w:color="auto" w:fill="auto"/>
          </w:tcPr>
          <w:p w14:paraId="6897B633" w14:textId="77777777" w:rsidR="002A1D3E" w:rsidRPr="00C24D50" w:rsidRDefault="00DD5A02" w:rsidP="00C5223A">
            <w:pPr>
              <w:pStyle w:val="TableText"/>
            </w:pPr>
            <w:r>
              <w:t>To provide information that a bereavement diagnosis found in the mental examination is considered an acute and transitory condition and does not require the subordinate issue of 38 U.S.C. 1702 to be addressed.</w:t>
            </w:r>
          </w:p>
        </w:tc>
        <w:tc>
          <w:tcPr>
            <w:tcW w:w="1250" w:type="pct"/>
            <w:shd w:val="clear" w:color="auto" w:fill="auto"/>
          </w:tcPr>
          <w:p w14:paraId="1F35B000" w14:textId="77777777" w:rsidR="002A1D3E" w:rsidRPr="00C24D50" w:rsidRDefault="00DD5A02" w:rsidP="00C5223A">
            <w:pPr>
              <w:pStyle w:val="TableText"/>
            </w:pPr>
            <w:r>
              <w:t>IX.ii.2.5.f</w:t>
            </w:r>
          </w:p>
        </w:tc>
      </w:tr>
      <w:tr w:rsidR="0062115A" w14:paraId="17FFF688" w14:textId="77777777" w:rsidTr="00AF5C2E">
        <w:trPr>
          <w:trHeight w:val="180"/>
        </w:trPr>
        <w:tc>
          <w:tcPr>
            <w:tcW w:w="3750" w:type="pct"/>
            <w:shd w:val="clear" w:color="auto" w:fill="auto"/>
          </w:tcPr>
          <w:p w14:paraId="3C6DFA5D" w14:textId="183AFFF8" w:rsidR="0062115A" w:rsidRDefault="0062115A" w:rsidP="00C5223A">
            <w:pPr>
              <w:pStyle w:val="TableText"/>
            </w:pPr>
            <w:r>
              <w:t>To remove note related to information from a Veteran’s claims folder being furnished electronically, whenever possible, as this is confusing given that the majority of claims are electronic.</w:t>
            </w:r>
          </w:p>
        </w:tc>
        <w:tc>
          <w:tcPr>
            <w:tcW w:w="1250" w:type="pct"/>
            <w:shd w:val="clear" w:color="auto" w:fill="auto"/>
          </w:tcPr>
          <w:p w14:paraId="622A9E18" w14:textId="51A183E4" w:rsidR="0062115A" w:rsidRDefault="0062115A" w:rsidP="00C5223A">
            <w:pPr>
              <w:pStyle w:val="TableText"/>
            </w:pPr>
            <w:r>
              <w:t>IX.ii.2.8.g</w:t>
            </w:r>
          </w:p>
        </w:tc>
      </w:tr>
      <w:tr w:rsidR="00BA0267" w14:paraId="4E11DDA8" w14:textId="77777777" w:rsidTr="00AF5C2E">
        <w:trPr>
          <w:trHeight w:val="180"/>
        </w:trPr>
        <w:tc>
          <w:tcPr>
            <w:tcW w:w="3750" w:type="pct"/>
            <w:shd w:val="clear" w:color="auto" w:fill="auto"/>
          </w:tcPr>
          <w:p w14:paraId="66C2385E" w14:textId="0A876EC6" w:rsidR="00BA0267" w:rsidRDefault="00BA0267" w:rsidP="00C5223A">
            <w:pPr>
              <w:pStyle w:val="TableText"/>
            </w:pPr>
            <w:r>
              <w:t xml:space="preserve">To revise Block </w:t>
            </w:r>
            <w:proofErr w:type="gramStart"/>
            <w:r>
              <w:t>a to</w:t>
            </w:r>
            <w:proofErr w:type="gramEnd"/>
            <w:r>
              <w:t xml:space="preserve"> contain accurate jurisdictional information for education claims pertaining to the Atlanta, Buffalo, St. Louis, and Muskogee Regional Processing Offices (RPOs).</w:t>
            </w:r>
          </w:p>
        </w:tc>
        <w:tc>
          <w:tcPr>
            <w:tcW w:w="1250" w:type="pct"/>
            <w:shd w:val="clear" w:color="auto" w:fill="auto"/>
          </w:tcPr>
          <w:p w14:paraId="43F94D28" w14:textId="1E7165FA" w:rsidR="00BA0267" w:rsidRDefault="00BA0267" w:rsidP="00C5223A">
            <w:pPr>
              <w:pStyle w:val="TableText"/>
            </w:pPr>
            <w:r>
              <w:t>IX.ii.2.11.a</w:t>
            </w:r>
          </w:p>
        </w:tc>
      </w:tr>
    </w:tbl>
    <w:p w14:paraId="47901808"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F5F3997" w14:textId="77777777" w:rsidTr="00237C22">
        <w:tc>
          <w:tcPr>
            <w:tcW w:w="1728" w:type="dxa"/>
          </w:tcPr>
          <w:p w14:paraId="7DF6CE8F" w14:textId="77777777" w:rsidR="00504F80" w:rsidRPr="00B4163A" w:rsidRDefault="00504F80" w:rsidP="00237C22">
            <w:pPr>
              <w:pStyle w:val="Heading5"/>
              <w:rPr>
                <w:sz w:val="24"/>
              </w:rPr>
            </w:pPr>
            <w:r w:rsidRPr="00B4163A">
              <w:rPr>
                <w:sz w:val="24"/>
              </w:rPr>
              <w:t>Rescissions</w:t>
            </w:r>
          </w:p>
        </w:tc>
        <w:tc>
          <w:tcPr>
            <w:tcW w:w="7740" w:type="dxa"/>
          </w:tcPr>
          <w:p w14:paraId="005F341F" w14:textId="77777777" w:rsidR="00504F80" w:rsidRPr="00B4163A" w:rsidRDefault="00504F80" w:rsidP="00237C22">
            <w:pPr>
              <w:pStyle w:val="BlockText"/>
            </w:pPr>
            <w:r w:rsidRPr="00B4163A">
              <w:t>None</w:t>
            </w:r>
          </w:p>
        </w:tc>
      </w:tr>
    </w:tbl>
    <w:p w14:paraId="633135C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B110583" w14:textId="77777777" w:rsidTr="00237C22">
        <w:tc>
          <w:tcPr>
            <w:tcW w:w="1728" w:type="dxa"/>
          </w:tcPr>
          <w:p w14:paraId="71E8753E" w14:textId="77777777" w:rsidR="00504F80" w:rsidRPr="00B4163A" w:rsidRDefault="00504F80" w:rsidP="00237C22">
            <w:pPr>
              <w:pStyle w:val="Heading5"/>
              <w:rPr>
                <w:sz w:val="24"/>
              </w:rPr>
            </w:pPr>
            <w:r w:rsidRPr="00B4163A">
              <w:rPr>
                <w:sz w:val="24"/>
              </w:rPr>
              <w:t>Authority</w:t>
            </w:r>
          </w:p>
        </w:tc>
        <w:tc>
          <w:tcPr>
            <w:tcW w:w="7740" w:type="dxa"/>
          </w:tcPr>
          <w:p w14:paraId="7DE6D1F1" w14:textId="77777777" w:rsidR="00504F80" w:rsidRPr="00B4163A" w:rsidRDefault="00504F80" w:rsidP="00237C22">
            <w:pPr>
              <w:pStyle w:val="BlockText"/>
            </w:pPr>
            <w:r w:rsidRPr="00B4163A">
              <w:t>By Direction of the Under Secretary for Benefits</w:t>
            </w:r>
          </w:p>
        </w:tc>
      </w:tr>
    </w:tbl>
    <w:p w14:paraId="770D28E9"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2F315C7" w14:textId="77777777" w:rsidTr="00237C22">
        <w:tc>
          <w:tcPr>
            <w:tcW w:w="1728" w:type="dxa"/>
          </w:tcPr>
          <w:p w14:paraId="4EE766EF" w14:textId="77777777" w:rsidR="00504F80" w:rsidRPr="00B4163A" w:rsidRDefault="00504F80" w:rsidP="00237C22">
            <w:pPr>
              <w:pStyle w:val="Heading5"/>
              <w:rPr>
                <w:sz w:val="24"/>
              </w:rPr>
            </w:pPr>
            <w:r w:rsidRPr="00B4163A">
              <w:rPr>
                <w:sz w:val="24"/>
              </w:rPr>
              <w:t>Signature</w:t>
            </w:r>
          </w:p>
        </w:tc>
        <w:tc>
          <w:tcPr>
            <w:tcW w:w="7740" w:type="dxa"/>
          </w:tcPr>
          <w:p w14:paraId="1E64B512" w14:textId="77777777" w:rsidR="00504F80" w:rsidRPr="00B4163A" w:rsidRDefault="00504F80" w:rsidP="00237C22">
            <w:pPr>
              <w:pStyle w:val="BlockText"/>
            </w:pPr>
          </w:p>
          <w:p w14:paraId="188329A4" w14:textId="77777777" w:rsidR="00504F80" w:rsidRPr="00B4163A" w:rsidRDefault="00504F80" w:rsidP="00237C22">
            <w:pPr>
              <w:pStyle w:val="MemoLine"/>
              <w:ind w:left="-18" w:right="612"/>
            </w:pPr>
          </w:p>
          <w:p w14:paraId="7AE13198" w14:textId="77777777" w:rsidR="00504F80" w:rsidRPr="00B4163A" w:rsidRDefault="00504F80" w:rsidP="00237C22">
            <w:pPr>
              <w:rPr>
                <w:szCs w:val="20"/>
              </w:rPr>
            </w:pPr>
            <w:r w:rsidRPr="00B4163A">
              <w:t>Thomas J. Murphy, Director</w:t>
            </w:r>
          </w:p>
          <w:p w14:paraId="2C389D30" w14:textId="77777777" w:rsidR="00504F80" w:rsidRPr="00B4163A" w:rsidRDefault="00504F80" w:rsidP="00237C22">
            <w:pPr>
              <w:pStyle w:val="BlockText"/>
            </w:pPr>
            <w:r w:rsidRPr="00B4163A">
              <w:t>Compensation Service</w:t>
            </w:r>
          </w:p>
        </w:tc>
      </w:tr>
    </w:tbl>
    <w:p w14:paraId="129736E2"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3EE1410B" w14:textId="77777777" w:rsidTr="00237C22">
        <w:tc>
          <w:tcPr>
            <w:tcW w:w="1728" w:type="dxa"/>
          </w:tcPr>
          <w:p w14:paraId="4E21296F" w14:textId="77777777" w:rsidR="00504F80" w:rsidRPr="00B4163A" w:rsidRDefault="00504F80" w:rsidP="00237C22">
            <w:pPr>
              <w:pStyle w:val="Heading5"/>
              <w:rPr>
                <w:sz w:val="24"/>
              </w:rPr>
            </w:pPr>
            <w:r w:rsidRPr="00B4163A">
              <w:rPr>
                <w:sz w:val="24"/>
              </w:rPr>
              <w:t>Distribution</w:t>
            </w:r>
          </w:p>
        </w:tc>
        <w:tc>
          <w:tcPr>
            <w:tcW w:w="7740" w:type="dxa"/>
          </w:tcPr>
          <w:p w14:paraId="693F5D0A" w14:textId="77777777" w:rsidR="00504F80" w:rsidRDefault="00504F80" w:rsidP="00237C22">
            <w:pPr>
              <w:pStyle w:val="BlockText"/>
              <w:jc w:val="center"/>
            </w:pPr>
            <w:r w:rsidRPr="00B4163A">
              <w:t>LOCAL REPRODUCTION AUTHORIZED</w:t>
            </w:r>
          </w:p>
        </w:tc>
      </w:tr>
    </w:tbl>
    <w:p w14:paraId="628918DD"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408BB645" w14:textId="4B52CD8D"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AF5C2E">
        <w:fldChar w:fldCharType="begin">
          <w:fldData xml:space="preserve">RABvAGMAVABlAG0AcAAxAFYAYQByAFQAcgBhAGQAaQB0AGkAbwBuAGEAbAA=
</w:fldData>
        </w:fldChar>
      </w:r>
      <w:r w:rsidR="00AF5C2E">
        <w:instrText xml:space="preserve"> ADDIN  \* MERGEFORMAT </w:instrText>
      </w:r>
      <w:r w:rsidR="00AF5C2E">
        <w:fldChar w:fldCharType="end"/>
      </w:r>
      <w:r w:rsidR="00AF5C2E">
        <w:fldChar w:fldCharType="begin">
          <w:fldData xml:space="preserve">RgBvAG4AdABTAGUAdABpAG0AaQBzAHQAeQBsAGUAcwAuAHgAbQBsAA==
</w:fldData>
        </w:fldChar>
      </w:r>
      <w:r w:rsidR="00AF5C2E">
        <w:instrText xml:space="preserve"> ADDIN  \* MERGEFORMAT </w:instrText>
      </w:r>
      <w:r w:rsidR="00AF5C2E">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6F109" w14:textId="77777777" w:rsidR="002D5E54" w:rsidRDefault="002D5E54" w:rsidP="00C765C7">
      <w:r>
        <w:separator/>
      </w:r>
    </w:p>
  </w:endnote>
  <w:endnote w:type="continuationSeparator" w:id="0">
    <w:p w14:paraId="6A0B4D9D" w14:textId="77777777" w:rsidR="002D5E54" w:rsidRDefault="002D5E5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AAA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5AD5F"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1917"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5761">
      <w:rPr>
        <w:rStyle w:val="PageNumber"/>
        <w:noProof/>
      </w:rPr>
      <w:t>i</w:t>
    </w:r>
    <w:r>
      <w:rPr>
        <w:rStyle w:val="PageNumber"/>
      </w:rPr>
      <w:fldChar w:fldCharType="end"/>
    </w:r>
  </w:p>
  <w:p w14:paraId="3C4E658A"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C42B1" w14:textId="77777777" w:rsidR="002D5E54" w:rsidRDefault="002D5E54" w:rsidP="00C765C7">
      <w:r>
        <w:separator/>
      </w:r>
    </w:p>
  </w:footnote>
  <w:footnote w:type="continuationSeparator" w:id="0">
    <w:p w14:paraId="73525CD9" w14:textId="77777777" w:rsidR="002D5E54" w:rsidRDefault="002D5E5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2.45pt" o:bullet="t">
        <v:imagedata r:id="rId1" o:title="fspro_2columns"/>
      </v:shape>
    </w:pict>
  </w:numPicBullet>
  <w:numPicBullet w:numPicBulletId="1">
    <w:pict>
      <v:shape id="_x0000_i1027" type="#_x0000_t75" style="width:12.45pt;height:12.45pt" o:bullet="t">
        <v:imagedata r:id="rId2" o:title="advanced"/>
      </v:shape>
    </w:pict>
  </w:numPicBullet>
  <w:numPicBullet w:numPicBulletId="2">
    <w:pict>
      <v:shape id="_x0000_i1028" type="#_x0000_t75" style="width:12.45pt;height:12.45pt" o:bullet="t">
        <v:imagedata r:id="rId3" o:title="continue"/>
      </v:shape>
    </w:pict>
  </w:numPicBullet>
  <w:numPicBullet w:numPicBulletId="3">
    <w:pict>
      <v:shape id="_x0000_i1029" type="#_x0000_t75" style="width:12.45pt;height:12.45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43324"/>
    <w:multiLevelType w:val="hybridMultilevel"/>
    <w:tmpl w:val="3E04735E"/>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47FF5389"/>
    <w:multiLevelType w:val="hybridMultilevel"/>
    <w:tmpl w:val="C81EBB84"/>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31480C"/>
    <w:multiLevelType w:val="hybridMultilevel"/>
    <w:tmpl w:val="8D162894"/>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A87601"/>
    <w:multiLevelType w:val="hybridMultilevel"/>
    <w:tmpl w:val="8ACAE440"/>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3">
    <w:nsid w:val="7772179E"/>
    <w:multiLevelType w:val="hybridMultilevel"/>
    <w:tmpl w:val="8F9AAA88"/>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5">
    <w:nsid w:val="794E701A"/>
    <w:multiLevelType w:val="hybridMultilevel"/>
    <w:tmpl w:val="DEE8134A"/>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34E03"/>
    <w:multiLevelType w:val="hybridMultilevel"/>
    <w:tmpl w:val="FEB884D2"/>
    <w:lvl w:ilvl="0" w:tplc="98BE49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34AB8"/>
    <w:multiLevelType w:val="hybridMultilevel"/>
    <w:tmpl w:val="616011AE"/>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D63B7"/>
    <w:multiLevelType w:val="hybridMultilevel"/>
    <w:tmpl w:val="4C6E6F32"/>
    <w:lvl w:ilvl="0" w:tplc="F3C0B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0"/>
  </w:num>
  <w:num w:numId="5">
    <w:abstractNumId w:val="6"/>
  </w:num>
  <w:num w:numId="6">
    <w:abstractNumId w:val="5"/>
  </w:num>
  <w:num w:numId="7">
    <w:abstractNumId w:val="12"/>
  </w:num>
  <w:num w:numId="8">
    <w:abstractNumId w:val="3"/>
  </w:num>
  <w:num w:numId="9">
    <w:abstractNumId w:val="2"/>
  </w:num>
  <w:num w:numId="10">
    <w:abstractNumId w:val="9"/>
  </w:num>
  <w:num w:numId="11">
    <w:abstractNumId w:val="16"/>
  </w:num>
  <w:num w:numId="12">
    <w:abstractNumId w:val="8"/>
  </w:num>
  <w:num w:numId="13">
    <w:abstractNumId w:val="13"/>
  </w:num>
  <w:num w:numId="14">
    <w:abstractNumId w:val="17"/>
  </w:num>
  <w:num w:numId="15">
    <w:abstractNumId w:val="18"/>
  </w:num>
  <w:num w:numId="16">
    <w:abstractNumId w:val="4"/>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0D2EE3"/>
    <w:rsid w:val="000E320F"/>
    <w:rsid w:val="00100433"/>
    <w:rsid w:val="0010215F"/>
    <w:rsid w:val="00106EEF"/>
    <w:rsid w:val="00120103"/>
    <w:rsid w:val="00123973"/>
    <w:rsid w:val="001253ED"/>
    <w:rsid w:val="00186D46"/>
    <w:rsid w:val="001C3AE3"/>
    <w:rsid w:val="001C3EB5"/>
    <w:rsid w:val="002041BE"/>
    <w:rsid w:val="00205C50"/>
    <w:rsid w:val="002220F1"/>
    <w:rsid w:val="00237C22"/>
    <w:rsid w:val="00240624"/>
    <w:rsid w:val="00264204"/>
    <w:rsid w:val="00271962"/>
    <w:rsid w:val="0027298D"/>
    <w:rsid w:val="002A1D3E"/>
    <w:rsid w:val="002B17C1"/>
    <w:rsid w:val="002B7A7E"/>
    <w:rsid w:val="002D5E54"/>
    <w:rsid w:val="002F5B21"/>
    <w:rsid w:val="002F7397"/>
    <w:rsid w:val="00332B80"/>
    <w:rsid w:val="00341981"/>
    <w:rsid w:val="00366D36"/>
    <w:rsid w:val="00386999"/>
    <w:rsid w:val="003B2927"/>
    <w:rsid w:val="003D47AF"/>
    <w:rsid w:val="003E0899"/>
    <w:rsid w:val="003E2CA2"/>
    <w:rsid w:val="003F3021"/>
    <w:rsid w:val="003F6048"/>
    <w:rsid w:val="003F672A"/>
    <w:rsid w:val="00401EAD"/>
    <w:rsid w:val="0040351B"/>
    <w:rsid w:val="0041026E"/>
    <w:rsid w:val="00421403"/>
    <w:rsid w:val="00421891"/>
    <w:rsid w:val="00422836"/>
    <w:rsid w:val="00435BA5"/>
    <w:rsid w:val="00437647"/>
    <w:rsid w:val="00450FD6"/>
    <w:rsid w:val="00455EF7"/>
    <w:rsid w:val="004562CC"/>
    <w:rsid w:val="00471ECA"/>
    <w:rsid w:val="00482FA3"/>
    <w:rsid w:val="0048559D"/>
    <w:rsid w:val="00494175"/>
    <w:rsid w:val="004A0832"/>
    <w:rsid w:val="004F375E"/>
    <w:rsid w:val="00504F80"/>
    <w:rsid w:val="00506485"/>
    <w:rsid w:val="00513DA7"/>
    <w:rsid w:val="00516C82"/>
    <w:rsid w:val="005238CB"/>
    <w:rsid w:val="00526F0E"/>
    <w:rsid w:val="00594258"/>
    <w:rsid w:val="005E4363"/>
    <w:rsid w:val="00600DC7"/>
    <w:rsid w:val="0062068D"/>
    <w:rsid w:val="0062115A"/>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51F00"/>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C2993"/>
    <w:rsid w:val="00AC5761"/>
    <w:rsid w:val="00AD0EDC"/>
    <w:rsid w:val="00AF2CD6"/>
    <w:rsid w:val="00AF5C2E"/>
    <w:rsid w:val="00B0548B"/>
    <w:rsid w:val="00B30D2F"/>
    <w:rsid w:val="00B50AD7"/>
    <w:rsid w:val="00B64F2F"/>
    <w:rsid w:val="00B93A3C"/>
    <w:rsid w:val="00B96287"/>
    <w:rsid w:val="00BA0267"/>
    <w:rsid w:val="00BB3345"/>
    <w:rsid w:val="00BF7FE3"/>
    <w:rsid w:val="00C0404B"/>
    <w:rsid w:val="00C24D50"/>
    <w:rsid w:val="00C273AD"/>
    <w:rsid w:val="00C46C2A"/>
    <w:rsid w:val="00C5223A"/>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5A02"/>
    <w:rsid w:val="00DE0E35"/>
    <w:rsid w:val="00DF44AC"/>
    <w:rsid w:val="00E2529E"/>
    <w:rsid w:val="00E36906"/>
    <w:rsid w:val="00E648E9"/>
    <w:rsid w:val="00E77596"/>
    <w:rsid w:val="00E964FD"/>
    <w:rsid w:val="00EA58A3"/>
    <w:rsid w:val="00ED4D5E"/>
    <w:rsid w:val="00ED71C8"/>
    <w:rsid w:val="00F006B2"/>
    <w:rsid w:val="00F43DFA"/>
    <w:rsid w:val="00F55B12"/>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D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D2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D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purl.org/dc/elements/1.1/"/>
    <ds:schemaRef ds:uri="http://www.w3.org/XML/1998/namespace"/>
    <ds:schemaRef ds:uri="http://schemas.microsoft.com/office/2006/documentManagement/types"/>
    <ds:schemaRef ds:uri="b438dcf7-3998-4283-b7fc-0ec6fa8e430f"/>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B806ADE-423D-4848-B5E9-03BAB9B7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35</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10</cp:revision>
  <dcterms:created xsi:type="dcterms:W3CDTF">2015-02-10T18:24:00Z</dcterms:created>
  <dcterms:modified xsi:type="dcterms:W3CDTF">2015-07-20T13:34:00Z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