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DBCA" w14:textId="48CFF7BE" w:rsidR="00EE5DBB" w:rsidRPr="00E14EB4" w:rsidRDefault="00EE5DBB" w:rsidP="004A5F1D">
      <w:pPr>
        <w:pStyle w:val="Heading2"/>
      </w:pPr>
      <w:r w:rsidRPr="00E14EB4">
        <w:t xml:space="preserve">Chapter 3.  Specially Adapted Housing (SAH) or Special </w:t>
      </w:r>
      <w:r w:rsidR="001F7B73" w:rsidRPr="00E14EB4">
        <w:t>Housing</w:t>
      </w:r>
      <w:r w:rsidRPr="00E14EB4">
        <w:t xml:space="preserve"> Adaptation (SHA) Grants</w:t>
      </w:r>
    </w:p>
    <w:p w14:paraId="2DBFB365" w14:textId="77777777" w:rsidR="00EE5DBB" w:rsidRPr="00E14EB4" w:rsidRDefault="00EE5DBB">
      <w:pPr>
        <w:pStyle w:val="Heading4"/>
      </w:pPr>
      <w:r w:rsidRPr="00E14EB4">
        <w:t>1.  Eligibility for SAH or SHA Grants</w:t>
      </w:r>
    </w:p>
    <w:p w14:paraId="2E51E975" w14:textId="168636AC" w:rsidR="00EE5DBB" w:rsidRPr="00E14EB4"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E14EB4" w14:paraId="3FE027AF" w14:textId="77777777">
        <w:trPr>
          <w:cantSplit/>
        </w:trPr>
        <w:tc>
          <w:tcPr>
            <w:tcW w:w="1728" w:type="dxa"/>
          </w:tcPr>
          <w:p w14:paraId="1775F716" w14:textId="77777777" w:rsidR="00EE5DBB" w:rsidRPr="00E14EB4" w:rsidRDefault="00EE5DBB">
            <w:pPr>
              <w:pStyle w:val="Heading5"/>
            </w:pPr>
            <w:r w:rsidRPr="00E14EB4">
              <w:t>Introduction</w:t>
            </w:r>
          </w:p>
        </w:tc>
        <w:tc>
          <w:tcPr>
            <w:tcW w:w="7740" w:type="dxa"/>
          </w:tcPr>
          <w:p w14:paraId="2394C8B5" w14:textId="6D5FFD27" w:rsidR="00EE5DBB" w:rsidRPr="00E14EB4" w:rsidRDefault="00EE5DBB">
            <w:pPr>
              <w:pStyle w:val="BlockText"/>
            </w:pPr>
            <w:r w:rsidRPr="00E14EB4">
              <w:t xml:space="preserve">This topic contains information about the eligibility for specially adapted housing (SAH) or special </w:t>
            </w:r>
            <w:r w:rsidR="001F7B73" w:rsidRPr="00E14EB4">
              <w:t>housing</w:t>
            </w:r>
            <w:r w:rsidR="008062E1" w:rsidRPr="00E14EB4">
              <w:t xml:space="preserve"> </w:t>
            </w:r>
            <w:r w:rsidRPr="00E14EB4">
              <w:t xml:space="preserve">adaptation (SHA) grants, including </w:t>
            </w:r>
          </w:p>
          <w:p w14:paraId="1DE486B2" w14:textId="77777777" w:rsidR="00EE5DBB" w:rsidRPr="00E14EB4" w:rsidRDefault="00EE5DBB">
            <w:pPr>
              <w:pStyle w:val="BlockText"/>
            </w:pPr>
          </w:p>
          <w:p w14:paraId="63102451" w14:textId="77777777" w:rsidR="00EE5DBB" w:rsidRPr="00E14EB4" w:rsidRDefault="00EE5DBB" w:rsidP="001E3F07">
            <w:pPr>
              <w:pStyle w:val="BulletText1"/>
            </w:pPr>
            <w:r w:rsidRPr="00E14EB4">
              <w:t>general information on SAH and SHA grants</w:t>
            </w:r>
          </w:p>
          <w:p w14:paraId="7D4E2677" w14:textId="77777777" w:rsidR="00EE5DBB" w:rsidRPr="00E14EB4" w:rsidRDefault="00EE5DBB">
            <w:pPr>
              <w:pStyle w:val="BulletText1"/>
            </w:pPr>
            <w:r w:rsidRPr="00E14EB4">
              <w:t>eligibility for SAH grants</w:t>
            </w:r>
          </w:p>
          <w:p w14:paraId="3A26AAC7" w14:textId="77777777" w:rsidR="00EE5DBB" w:rsidRPr="00E14EB4" w:rsidRDefault="00EE5DBB">
            <w:pPr>
              <w:pStyle w:val="BulletText1"/>
            </w:pPr>
            <w:r w:rsidRPr="00E14EB4">
              <w:t>eligibility for SHA grants</w:t>
            </w:r>
          </w:p>
          <w:p w14:paraId="78725E65" w14:textId="426A560D" w:rsidR="00EE5DBB" w:rsidRPr="00E14EB4" w:rsidRDefault="00144DF7" w:rsidP="00144DF7">
            <w:pPr>
              <w:pStyle w:val="BulletText1"/>
            </w:pPr>
            <w:r w:rsidRPr="00E14EB4">
              <w:t>SAH or SHA claims based on paired organs or extremities</w:t>
            </w:r>
          </w:p>
          <w:p w14:paraId="569C3B2E" w14:textId="0473F942" w:rsidR="00EE5DBB" w:rsidRPr="00E14EB4" w:rsidRDefault="00EE5DBB" w:rsidP="00144DF7">
            <w:pPr>
              <w:pStyle w:val="BulletText1"/>
            </w:pPr>
            <w:r w:rsidRPr="00E14EB4">
              <w:t>reduction of benefits due to tort judgment or settlement</w:t>
            </w:r>
            <w:r w:rsidR="00144DF7" w:rsidRPr="00E14EB4">
              <w:t>, and</w:t>
            </w:r>
          </w:p>
          <w:p w14:paraId="42974288" w14:textId="286B0D1C" w:rsidR="00144DF7" w:rsidRPr="00E14EB4" w:rsidRDefault="00144DF7" w:rsidP="002430E4">
            <w:pPr>
              <w:pStyle w:val="BulletText1"/>
              <w:rPr>
                <w:strike/>
              </w:rPr>
            </w:pPr>
            <w:r w:rsidRPr="00E14EB4">
              <w:t xml:space="preserve">temporary SAH criteria under </w:t>
            </w:r>
            <w:r w:rsidR="00DE13ED" w:rsidRPr="00E14EB4">
              <w:rPr>
                <w:i/>
              </w:rPr>
              <w:t>Public Law (</w:t>
            </w:r>
            <w:r w:rsidR="002430E4" w:rsidRPr="00E14EB4">
              <w:rPr>
                <w:i/>
              </w:rPr>
              <w:t>PL</w:t>
            </w:r>
            <w:r w:rsidR="00DE13ED" w:rsidRPr="00E14EB4">
              <w:rPr>
                <w:i/>
              </w:rPr>
              <w:t>)</w:t>
            </w:r>
            <w:r w:rsidRPr="00E14EB4">
              <w:rPr>
                <w:i/>
              </w:rPr>
              <w:t xml:space="preserve"> 112-154</w:t>
            </w:r>
            <w:r w:rsidRPr="00E14EB4">
              <w:t>.</w:t>
            </w:r>
          </w:p>
        </w:tc>
      </w:tr>
    </w:tbl>
    <w:p w14:paraId="155F3AF8" w14:textId="77777777" w:rsidR="00EE5DBB" w:rsidRPr="00E14EB4"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E14EB4" w14:paraId="7B73DA57" w14:textId="77777777" w:rsidTr="001E3F07">
        <w:trPr>
          <w:cantSplit/>
          <w:trHeight w:val="261"/>
        </w:trPr>
        <w:tc>
          <w:tcPr>
            <w:tcW w:w="1728" w:type="dxa"/>
          </w:tcPr>
          <w:p w14:paraId="01660022" w14:textId="77777777" w:rsidR="00EE5DBB" w:rsidRPr="00E14EB4" w:rsidRDefault="00EE5DBB">
            <w:pPr>
              <w:pStyle w:val="Heading5"/>
            </w:pPr>
            <w:r w:rsidRPr="00E14EB4">
              <w:t>Change Date</w:t>
            </w:r>
          </w:p>
        </w:tc>
        <w:tc>
          <w:tcPr>
            <w:tcW w:w="7740" w:type="dxa"/>
          </w:tcPr>
          <w:p w14:paraId="411FC921" w14:textId="167FA5CD" w:rsidR="00EE5DBB" w:rsidRPr="00E14EB4" w:rsidRDefault="00F16172">
            <w:pPr>
              <w:pStyle w:val="BlockText"/>
            </w:pPr>
            <w:r w:rsidRPr="00E14EB4">
              <w:t>October 28, 2015</w:t>
            </w:r>
          </w:p>
        </w:tc>
      </w:tr>
    </w:tbl>
    <w:p w14:paraId="268C41BB" w14:textId="35EC2EBD" w:rsidR="00EE5DBB" w:rsidRPr="00E14EB4" w:rsidRDefault="00EE5DBB" w:rsidP="001E3F07">
      <w:pPr>
        <w:pStyle w:val="BlockLine"/>
        <w:rPr>
          <w:rStyle w:val="Continued"/>
          <w:rFonts w:ascii="Times New Roman" w:hAnsi="Times New Roman"/>
        </w:rPr>
      </w:pPr>
    </w:p>
    <w:tbl>
      <w:tblPr>
        <w:tblW w:w="0" w:type="auto"/>
        <w:tblLayout w:type="fixed"/>
        <w:tblLook w:val="0000" w:firstRow="0" w:lastRow="0" w:firstColumn="0" w:lastColumn="0" w:noHBand="0" w:noVBand="0"/>
      </w:tblPr>
      <w:tblGrid>
        <w:gridCol w:w="1728"/>
        <w:gridCol w:w="7740"/>
      </w:tblGrid>
      <w:tr w:rsidR="00EE5DBB" w:rsidRPr="00E14EB4" w14:paraId="50594019" w14:textId="77777777" w:rsidTr="001E3F07">
        <w:tc>
          <w:tcPr>
            <w:tcW w:w="1728" w:type="dxa"/>
          </w:tcPr>
          <w:p w14:paraId="6DC25BA7" w14:textId="77777777" w:rsidR="00EE5DBB" w:rsidRPr="00E14EB4" w:rsidRDefault="00EE5DBB" w:rsidP="001E3F07">
            <w:pPr>
              <w:pStyle w:val="Heading5"/>
            </w:pPr>
            <w:r w:rsidRPr="00E14EB4">
              <w:t>a.  General Information on SAH and SHA Grants</w:t>
            </w:r>
          </w:p>
        </w:tc>
        <w:tc>
          <w:tcPr>
            <w:tcW w:w="7740" w:type="dxa"/>
          </w:tcPr>
          <w:p w14:paraId="544302C3" w14:textId="3A085ADA" w:rsidR="00EE5DBB" w:rsidRPr="00E14EB4" w:rsidRDefault="00EE5DBB" w:rsidP="001E3F07">
            <w:pPr>
              <w:pStyle w:val="BlockText"/>
            </w:pPr>
            <w:r w:rsidRPr="00E14EB4">
              <w:t>The Department of Veterans Affairs (VA) administers two types of grants to assist seriously disabled Veterans and service</w:t>
            </w:r>
            <w:r w:rsidR="007E2D05" w:rsidRPr="00E14EB4">
              <w:t xml:space="preserve"> members</w:t>
            </w:r>
            <w:r w:rsidRPr="00E14EB4">
              <w:t xml:space="preserve"> in adapting housing to their special needs</w:t>
            </w:r>
          </w:p>
          <w:p w14:paraId="29CDDEAA" w14:textId="77777777" w:rsidR="00EE5DBB" w:rsidRPr="00E14EB4" w:rsidRDefault="00EE5DBB" w:rsidP="001E3F07">
            <w:pPr>
              <w:pStyle w:val="BlockText"/>
            </w:pPr>
          </w:p>
          <w:p w14:paraId="59E3E1D8" w14:textId="77777777" w:rsidR="00EE5DBB" w:rsidRPr="00E14EB4" w:rsidRDefault="00EE5DBB" w:rsidP="001E3F07">
            <w:pPr>
              <w:pStyle w:val="BulletText1"/>
              <w:numPr>
                <w:ilvl w:val="0"/>
                <w:numId w:val="1"/>
              </w:numPr>
              <w:tabs>
                <w:tab w:val="left" w:pos="187"/>
              </w:tabs>
              <w:ind w:left="187" w:hanging="187"/>
            </w:pPr>
            <w:r w:rsidRPr="00E14EB4">
              <w:t>specially adapted housing (SAH), and</w:t>
            </w:r>
          </w:p>
          <w:p w14:paraId="165BFD41" w14:textId="6D922B91" w:rsidR="00EE5DBB" w:rsidRPr="00E14EB4" w:rsidRDefault="00EE5DBB" w:rsidP="001E3F07">
            <w:pPr>
              <w:pStyle w:val="BulletText1"/>
              <w:numPr>
                <w:ilvl w:val="0"/>
                <w:numId w:val="1"/>
              </w:numPr>
              <w:tabs>
                <w:tab w:val="left" w:pos="187"/>
              </w:tabs>
              <w:ind w:left="187" w:hanging="187"/>
            </w:pPr>
            <w:r w:rsidRPr="00E14EB4">
              <w:t xml:space="preserve">special </w:t>
            </w:r>
            <w:r w:rsidR="001F7B73" w:rsidRPr="00E14EB4">
              <w:t>housing</w:t>
            </w:r>
            <w:r w:rsidR="008062E1" w:rsidRPr="00E14EB4">
              <w:t xml:space="preserve"> </w:t>
            </w:r>
            <w:r w:rsidRPr="00E14EB4">
              <w:t>adaptation (SHA).</w:t>
            </w:r>
          </w:p>
          <w:p w14:paraId="620F5BA9" w14:textId="77777777" w:rsidR="00EE5DBB" w:rsidRPr="00E14EB4" w:rsidRDefault="00EE5DBB" w:rsidP="001E3F07">
            <w:pPr>
              <w:pStyle w:val="BlockText"/>
            </w:pPr>
          </w:p>
          <w:p w14:paraId="023C5351" w14:textId="77777777" w:rsidR="00EE5DBB" w:rsidRPr="00E14EB4" w:rsidRDefault="00EE5DBB" w:rsidP="001E3F07">
            <w:pPr>
              <w:pStyle w:val="BlockText"/>
              <w:rPr>
                <w:b/>
                <w:bCs/>
                <w:i/>
                <w:iCs/>
              </w:rPr>
            </w:pPr>
            <w:r w:rsidRPr="00E14EB4">
              <w:rPr>
                <w:b/>
                <w:bCs/>
                <w:i/>
                <w:iCs/>
              </w:rPr>
              <w:t>SAH grant basic entitlement</w:t>
            </w:r>
          </w:p>
          <w:p w14:paraId="5F54F3A2" w14:textId="77777777" w:rsidR="00EE5DBB" w:rsidRPr="00E14EB4" w:rsidRDefault="00EE5DBB" w:rsidP="001E3F07">
            <w:pPr>
              <w:pStyle w:val="BlockText"/>
            </w:pPr>
            <w:r w:rsidRPr="00E14EB4">
              <w:t xml:space="preserve">An eligible person may receive a grant of not more than 50 percent of the cost of a specially adapted house, up to the total maximum allowable by law.  </w:t>
            </w:r>
          </w:p>
          <w:p w14:paraId="59138A4F" w14:textId="77777777" w:rsidR="00EE5DBB" w:rsidRPr="00E14EB4" w:rsidRDefault="00EE5DBB" w:rsidP="001E3F07">
            <w:pPr>
              <w:pStyle w:val="BlockText"/>
            </w:pPr>
          </w:p>
          <w:p w14:paraId="5DADDE3A" w14:textId="77777777" w:rsidR="00EE5DBB" w:rsidRPr="00E14EB4" w:rsidRDefault="00EE5DBB" w:rsidP="001E3F07">
            <w:pPr>
              <w:pStyle w:val="BlockText"/>
              <w:rPr>
                <w:b/>
                <w:bCs/>
                <w:i/>
                <w:iCs/>
              </w:rPr>
            </w:pPr>
            <w:r w:rsidRPr="00E14EB4">
              <w:rPr>
                <w:b/>
                <w:bCs/>
                <w:i/>
                <w:iCs/>
              </w:rPr>
              <w:t>SHA grant basic entitlement</w:t>
            </w:r>
          </w:p>
          <w:p w14:paraId="723335A1" w14:textId="77777777" w:rsidR="00EE5DBB" w:rsidRPr="00E14EB4" w:rsidRDefault="00EE5DBB" w:rsidP="001E3F07">
            <w:pPr>
              <w:pStyle w:val="BlockText"/>
            </w:pPr>
            <w:r w:rsidRPr="00E14EB4">
              <w:t xml:space="preserve">An eligible person may receive a grant for the actual cost to adapt a house or for the appraised market value of necessary adapted features already in a house when it was purchased, up to the total maximum allowable by law.  </w:t>
            </w:r>
          </w:p>
          <w:p w14:paraId="319D442C" w14:textId="77777777" w:rsidR="00EE5DBB" w:rsidRPr="00E14EB4" w:rsidRDefault="00EE5DBB" w:rsidP="001E3F07">
            <w:pPr>
              <w:pStyle w:val="BlockText"/>
            </w:pPr>
          </w:p>
          <w:p w14:paraId="794D0800" w14:textId="77777777" w:rsidR="00ED69E0" w:rsidRPr="00E14EB4" w:rsidRDefault="00EE5DBB" w:rsidP="00C42489">
            <w:pPr>
              <w:pStyle w:val="BlockText"/>
            </w:pPr>
            <w:r w:rsidRPr="00E14EB4">
              <w:rPr>
                <w:b/>
                <w:i/>
              </w:rPr>
              <w:t>Note</w:t>
            </w:r>
            <w:r w:rsidR="00ED69E0" w:rsidRPr="00E14EB4">
              <w:rPr>
                <w:b/>
                <w:i/>
              </w:rPr>
              <w:t>s</w:t>
            </w:r>
            <w:r w:rsidRPr="00E14EB4">
              <w:t xml:space="preserve">:  </w:t>
            </w:r>
          </w:p>
          <w:p w14:paraId="1B38D4CC" w14:textId="123447C4" w:rsidR="00ED69E0" w:rsidRPr="00E14EB4" w:rsidRDefault="00ED69E0" w:rsidP="00C42489">
            <w:pPr>
              <w:pStyle w:val="BulletText1"/>
            </w:pPr>
            <w:r w:rsidRPr="00E14EB4">
              <w:t xml:space="preserve">Under </w:t>
            </w:r>
            <w:hyperlink r:id="rId13" w:history="1">
              <w:r w:rsidR="00BE744B" w:rsidRPr="00E14EB4">
                <w:rPr>
                  <w:rStyle w:val="Hyperlink"/>
                </w:rPr>
                <w:t>38 U.S.C. 2101A</w:t>
              </w:r>
            </w:hyperlink>
            <w:r w:rsidR="00BE744B" w:rsidRPr="00E14EB4">
              <w:t xml:space="preserve">, </w:t>
            </w:r>
            <w:hyperlink r:id="rId14" w:history="1">
              <w:r w:rsidR="00473DF2" w:rsidRPr="00E14EB4">
                <w:rPr>
                  <w:rStyle w:val="Hyperlink"/>
                </w:rPr>
                <w:t>38 CFR 3.809</w:t>
              </w:r>
            </w:hyperlink>
            <w:r w:rsidRPr="00E14EB4">
              <w:t xml:space="preserve"> and</w:t>
            </w:r>
            <w:r w:rsidR="00BE744B" w:rsidRPr="00E14EB4">
              <w:t xml:space="preserve"> </w:t>
            </w:r>
            <w:hyperlink r:id="rId15" w:history="1">
              <w:r w:rsidR="00473DF2" w:rsidRPr="00E14EB4">
                <w:rPr>
                  <w:rStyle w:val="Hyperlink"/>
                </w:rPr>
                <w:t>3.809a</w:t>
              </w:r>
            </w:hyperlink>
            <w:r w:rsidRPr="00E14EB4">
              <w:t>, grants may be made to active duty members of the Armed Forces</w:t>
            </w:r>
            <w:r w:rsidR="009308CE" w:rsidRPr="00E14EB4">
              <w:t xml:space="preserve"> </w:t>
            </w:r>
            <w:r w:rsidR="004E07F8" w:rsidRPr="00E14EB4">
              <w:t>who</w:t>
            </w:r>
            <w:r w:rsidRPr="00E14EB4">
              <w:t xml:space="preserve"> meet the criteria </w:t>
            </w:r>
            <w:r w:rsidR="009308CE" w:rsidRPr="00E14EB4">
              <w:t xml:space="preserve">for benefits based on disabilities incurred or aggravated in the line of duty.  </w:t>
            </w:r>
          </w:p>
          <w:p w14:paraId="6A802005" w14:textId="47A8025E" w:rsidR="00EE5DBB" w:rsidRPr="00E14EB4" w:rsidRDefault="00EE5DBB" w:rsidP="00237A39">
            <w:pPr>
              <w:pStyle w:val="BulletText1"/>
            </w:pPr>
            <w:r w:rsidRPr="00E14EB4">
              <w:t xml:space="preserve">Under </w:t>
            </w:r>
            <w:hyperlink r:id="rId16" w:history="1">
              <w:r w:rsidRPr="00E14EB4">
                <w:rPr>
                  <w:rStyle w:val="Hyperlink"/>
                </w:rPr>
                <w:t>38 U.S.C. 2102(d)</w:t>
              </w:r>
            </w:hyperlink>
            <w:r w:rsidRPr="00E14EB4">
              <w:t>, a claimant may receive up to three awards of SAH or SHA benefits, as long as the total amount received does not exceed the statutory amount of entitlement.</w:t>
            </w:r>
          </w:p>
        </w:tc>
      </w:tr>
    </w:tbl>
    <w:p w14:paraId="6C5A559D" w14:textId="77777777" w:rsidR="00BE744B" w:rsidRPr="00E14EB4" w:rsidRDefault="00BE744B" w:rsidP="00BE744B">
      <w:pPr>
        <w:pStyle w:val="BlockLine"/>
        <w:rPr>
          <w:rStyle w:val="Continued"/>
          <w:rFonts w:ascii="Times New Roman" w:hAnsi="Times New Roman"/>
        </w:rPr>
      </w:pPr>
    </w:p>
    <w:tbl>
      <w:tblPr>
        <w:tblW w:w="0" w:type="auto"/>
        <w:tblLayout w:type="fixed"/>
        <w:tblLook w:val="0000" w:firstRow="0" w:lastRow="0" w:firstColumn="0" w:lastColumn="0" w:noHBand="0" w:noVBand="0"/>
      </w:tblPr>
      <w:tblGrid>
        <w:gridCol w:w="1728"/>
        <w:gridCol w:w="7740"/>
      </w:tblGrid>
      <w:tr w:rsidR="00EE5DBB" w:rsidRPr="00E14EB4" w14:paraId="2FE3723C" w14:textId="77777777" w:rsidTr="001A1956">
        <w:tc>
          <w:tcPr>
            <w:tcW w:w="1728" w:type="dxa"/>
          </w:tcPr>
          <w:p w14:paraId="22675297" w14:textId="77777777" w:rsidR="00EE5DBB" w:rsidRPr="00E14EB4" w:rsidRDefault="00EE5DBB">
            <w:pPr>
              <w:pStyle w:val="Heading5"/>
            </w:pPr>
            <w:r w:rsidRPr="00E14EB4">
              <w:t>b.  Eligibility for SAH Grants</w:t>
            </w:r>
          </w:p>
        </w:tc>
        <w:tc>
          <w:tcPr>
            <w:tcW w:w="7740" w:type="dxa"/>
          </w:tcPr>
          <w:p w14:paraId="70D82F7D" w14:textId="1B9E59BB" w:rsidR="00A407C3" w:rsidRPr="00E14EB4" w:rsidRDefault="00EE5DBB">
            <w:pPr>
              <w:pStyle w:val="BlockText"/>
            </w:pPr>
            <w:r w:rsidRPr="00E14EB4">
              <w:t xml:space="preserve">Eligibility for assistance in acquiring </w:t>
            </w:r>
            <w:r w:rsidRPr="00E14EB4">
              <w:rPr>
                <w:bCs/>
              </w:rPr>
              <w:t>SAH</w:t>
            </w:r>
            <w:r w:rsidR="00C431B9" w:rsidRPr="00E14EB4">
              <w:t xml:space="preserve"> exists</w:t>
            </w:r>
            <w:r w:rsidRPr="00E14EB4">
              <w:t xml:space="preserve"> when</w:t>
            </w:r>
            <w:r w:rsidR="00A407C3" w:rsidRPr="00E14EB4">
              <w:t xml:space="preserve"> </w:t>
            </w:r>
          </w:p>
          <w:p w14:paraId="30A2B6F0" w14:textId="77777777" w:rsidR="00A407C3" w:rsidRPr="00E14EB4" w:rsidRDefault="00A407C3">
            <w:pPr>
              <w:pStyle w:val="BlockText"/>
            </w:pPr>
          </w:p>
          <w:p w14:paraId="6D50D7A5" w14:textId="7AB1F0B5" w:rsidR="00A407C3" w:rsidRPr="00E14EB4" w:rsidRDefault="00A407C3" w:rsidP="00A407C3">
            <w:pPr>
              <w:pStyle w:val="BulletText1"/>
            </w:pPr>
            <w:r w:rsidRPr="00E14EB4">
              <w:t>a V</w:t>
            </w:r>
            <w:r w:rsidR="00EE5DBB" w:rsidRPr="00E14EB4">
              <w:t xml:space="preserve">eteran is </w:t>
            </w:r>
            <w:r w:rsidRPr="00E14EB4">
              <w:t>entitle</w:t>
            </w:r>
            <w:r w:rsidR="00E43016" w:rsidRPr="00E14EB4">
              <w:t>d</w:t>
            </w:r>
            <w:r w:rsidRPr="00E14EB4">
              <w:t xml:space="preserve"> to compensation under </w:t>
            </w:r>
            <w:hyperlink r:id="rId17" w:history="1">
              <w:r w:rsidRPr="00E14EB4">
                <w:rPr>
                  <w:rStyle w:val="Hyperlink"/>
                </w:rPr>
                <w:t>38 U.S.C. Chapter 11</w:t>
              </w:r>
            </w:hyperlink>
            <w:r w:rsidRPr="00E14EB4">
              <w:t xml:space="preserve"> for a </w:t>
            </w:r>
            <w:r w:rsidR="00D17C3B" w:rsidRPr="00E14EB4">
              <w:lastRenderedPageBreak/>
              <w:t xml:space="preserve">permanently and totally disabling </w:t>
            </w:r>
            <w:r w:rsidRPr="00E14EB4">
              <w:t xml:space="preserve">qualifying condition, </w:t>
            </w:r>
            <w:r w:rsidRPr="00E14EB4">
              <w:rPr>
                <w:i/>
              </w:rPr>
              <w:t>or</w:t>
            </w:r>
          </w:p>
          <w:p w14:paraId="516DD990" w14:textId="176C4D09" w:rsidR="00A407C3" w:rsidRPr="00E14EB4" w:rsidRDefault="00A407C3" w:rsidP="00A407C3">
            <w:pPr>
              <w:pStyle w:val="BulletText1"/>
            </w:pPr>
            <w:r w:rsidRPr="00E14EB4">
              <w:t xml:space="preserve">a service member </w:t>
            </w:r>
            <w:r w:rsidR="00E43016" w:rsidRPr="00E14EB4">
              <w:t xml:space="preserve">on active duty </w:t>
            </w:r>
            <w:r w:rsidRPr="00E14EB4">
              <w:t xml:space="preserve">has a </w:t>
            </w:r>
            <w:r w:rsidR="00D17C3B" w:rsidRPr="00E14EB4">
              <w:t xml:space="preserve">permanently and totally disabling </w:t>
            </w:r>
            <w:r w:rsidRPr="00E14EB4">
              <w:t>qualifying condition incurred or aggravated in the line of duty</w:t>
            </w:r>
          </w:p>
          <w:p w14:paraId="7E40567B" w14:textId="77777777" w:rsidR="00A407C3" w:rsidRPr="00E14EB4" w:rsidRDefault="00A407C3">
            <w:pPr>
              <w:pStyle w:val="BlockText"/>
            </w:pPr>
          </w:p>
          <w:p w14:paraId="05429F7A" w14:textId="77777777" w:rsidR="00EE5DBB" w:rsidRPr="00E14EB4" w:rsidRDefault="00D17C3B">
            <w:pPr>
              <w:pStyle w:val="BlockText"/>
            </w:pPr>
            <w:r w:rsidRPr="00E14EB4">
              <w:t>Qualifying conditions</w:t>
            </w:r>
            <w:r w:rsidR="001C0818" w:rsidRPr="00E14EB4">
              <w:t xml:space="preserve"> are</w:t>
            </w:r>
          </w:p>
          <w:p w14:paraId="67ECC949" w14:textId="77777777" w:rsidR="00E43016" w:rsidRPr="00E14EB4" w:rsidRDefault="00E43016">
            <w:pPr>
              <w:pStyle w:val="BlockText"/>
            </w:pPr>
          </w:p>
          <w:p w14:paraId="01F2D7AE" w14:textId="77777777" w:rsidR="00A55744" w:rsidRPr="00E14EB4" w:rsidRDefault="00A55744">
            <w:pPr>
              <w:pStyle w:val="BulletText1"/>
            </w:pPr>
            <w:r w:rsidRPr="00E14EB4">
              <w:t>amyo</w:t>
            </w:r>
            <w:r w:rsidR="00A51E65" w:rsidRPr="00E14EB4">
              <w:t xml:space="preserve">trophic </w:t>
            </w:r>
            <w:r w:rsidRPr="00E14EB4">
              <w:t>lateral sclerosis (ALS)</w:t>
            </w:r>
          </w:p>
          <w:p w14:paraId="5C48DFBD" w14:textId="77777777" w:rsidR="00EE5DBB" w:rsidRPr="00E14EB4" w:rsidRDefault="0064233E">
            <w:pPr>
              <w:pStyle w:val="BulletText1"/>
            </w:pPr>
            <w:r w:rsidRPr="00E14EB4">
              <w:t xml:space="preserve">loss or </w:t>
            </w:r>
            <w:r w:rsidR="00E43016" w:rsidRPr="00E14EB4">
              <w:t>l</w:t>
            </w:r>
            <w:r w:rsidR="00EE5DBB" w:rsidRPr="00E14EB4">
              <w:t>oss of use of</w:t>
            </w:r>
          </w:p>
          <w:p w14:paraId="72BC31F9" w14:textId="77777777" w:rsidR="00EE5DBB" w:rsidRPr="00E14EB4" w:rsidRDefault="00EE5DBB" w:rsidP="0064233E">
            <w:pPr>
              <w:pStyle w:val="BulletText2"/>
            </w:pPr>
            <w:r w:rsidRPr="00E14EB4">
              <w:t>both lower extremities</w:t>
            </w:r>
          </w:p>
          <w:p w14:paraId="38D605E8" w14:textId="30D420B9" w:rsidR="0064233E" w:rsidRPr="00E14EB4" w:rsidRDefault="00EE5DBB" w:rsidP="0064233E">
            <w:pPr>
              <w:pStyle w:val="BulletText2"/>
            </w:pPr>
            <w:r w:rsidRPr="00E14EB4">
              <w:t>one lower extremity</w:t>
            </w:r>
            <w:r w:rsidR="001C0818" w:rsidRPr="00E14EB4">
              <w:t xml:space="preserve"> and </w:t>
            </w:r>
            <w:r w:rsidRPr="00E14EB4">
              <w:t>one upper extremity affect</w:t>
            </w:r>
            <w:r w:rsidR="001C0818" w:rsidRPr="00E14EB4">
              <w:t xml:space="preserve">ing </w:t>
            </w:r>
            <w:r w:rsidRPr="00E14EB4">
              <w:t>balance or propulsion</w:t>
            </w:r>
            <w:r w:rsidR="0064233E" w:rsidRPr="00E14EB4">
              <w:t xml:space="preserve">, </w:t>
            </w:r>
            <w:r w:rsidR="0064233E" w:rsidRPr="00E14EB4">
              <w:rPr>
                <w:i/>
              </w:rPr>
              <w:t>or</w:t>
            </w:r>
          </w:p>
          <w:p w14:paraId="05AD7711" w14:textId="288F0BF8" w:rsidR="001C0818" w:rsidRPr="00E14EB4" w:rsidRDefault="0064233E" w:rsidP="00F75884">
            <w:pPr>
              <w:pStyle w:val="BulletText2"/>
            </w:pPr>
            <w:r w:rsidRPr="00E14EB4">
              <w:t>one lower extremity plus residuals of organic disease or injury affecting balance or propulsion</w:t>
            </w:r>
            <w:r w:rsidR="00F75884" w:rsidRPr="00E14EB4">
              <w:t xml:space="preserve"> </w:t>
            </w:r>
            <w:r w:rsidR="00E12064" w:rsidRPr="00E14EB4">
              <w:t>such as to preclude</w:t>
            </w:r>
            <w:r w:rsidR="001C0818" w:rsidRPr="00E14EB4">
              <w:t xml:space="preserve"> locomotion without the aid of braces, crutches, canes, </w:t>
            </w:r>
            <w:r w:rsidR="00E12064" w:rsidRPr="00E14EB4">
              <w:t>o</w:t>
            </w:r>
            <w:r w:rsidR="001C0818" w:rsidRPr="00E14EB4">
              <w:t>r a wheelchair</w:t>
            </w:r>
          </w:p>
          <w:p w14:paraId="6ABD7C39" w14:textId="24E51EBF" w:rsidR="00EE5DBB" w:rsidRPr="00E14EB4" w:rsidRDefault="00E43016">
            <w:pPr>
              <w:pStyle w:val="BulletText1"/>
            </w:pPr>
            <w:r w:rsidRPr="00E14EB4">
              <w:t>l</w:t>
            </w:r>
            <w:r w:rsidR="00EE5DBB" w:rsidRPr="00E14EB4">
              <w:t xml:space="preserve">oss or loss or use of both upper extremities </w:t>
            </w:r>
            <w:r w:rsidR="001C0818" w:rsidRPr="00E14EB4">
              <w:t xml:space="preserve">precluding use </w:t>
            </w:r>
            <w:r w:rsidR="00EE5DBB" w:rsidRPr="00E14EB4">
              <w:t>of the arms at or above the elbow</w:t>
            </w:r>
          </w:p>
          <w:p w14:paraId="025387A1" w14:textId="04D947A1" w:rsidR="00EE5DBB" w:rsidRPr="00E14EB4" w:rsidRDefault="00E43016">
            <w:pPr>
              <w:pStyle w:val="BulletText1"/>
            </w:pPr>
            <w:r w:rsidRPr="00E14EB4">
              <w:t>b</w:t>
            </w:r>
            <w:r w:rsidR="00EE5DBB" w:rsidRPr="00E14EB4">
              <w:t xml:space="preserve">lindness in both eyes, </w:t>
            </w:r>
            <w:r w:rsidR="00902FCD" w:rsidRPr="00E14EB4">
              <w:t>having</w:t>
            </w:r>
            <w:r w:rsidR="001C0818" w:rsidRPr="00E14EB4">
              <w:t xml:space="preserve"> light perception only</w:t>
            </w:r>
            <w:r w:rsidR="00902FCD" w:rsidRPr="00E14EB4">
              <w:t>,</w:t>
            </w:r>
            <w:r w:rsidR="001C0818" w:rsidRPr="00E14EB4">
              <w:t xml:space="preserve"> and </w:t>
            </w:r>
            <w:r w:rsidR="00EE5DBB" w:rsidRPr="00E14EB4">
              <w:t>the loss or loss of use of one lower extremity</w:t>
            </w:r>
            <w:r w:rsidR="00F16172" w:rsidRPr="00E14EB4">
              <w:t>,</w:t>
            </w:r>
            <w:r w:rsidRPr="00E14EB4">
              <w:t xml:space="preserve"> </w:t>
            </w:r>
            <w:r w:rsidRPr="00E14EB4">
              <w:rPr>
                <w:b/>
                <w:i/>
              </w:rPr>
              <w:t>or</w:t>
            </w:r>
          </w:p>
          <w:p w14:paraId="249AAD20" w14:textId="1E9D8E7B" w:rsidR="00EE5DBB" w:rsidRPr="00E14EB4" w:rsidRDefault="002E1F6E" w:rsidP="00F16172">
            <w:pPr>
              <w:pStyle w:val="BulletText1"/>
            </w:pPr>
            <w:r w:rsidRPr="00E14EB4">
              <w:t>a severe burn injury</w:t>
            </w:r>
            <w:r w:rsidR="003F1C58" w:rsidRPr="00E14EB4">
              <w:t xml:space="preserve"> with</w:t>
            </w:r>
            <w:r w:rsidR="00F16172" w:rsidRPr="00E14EB4">
              <w:t xml:space="preserve"> </w:t>
            </w:r>
            <w:r w:rsidR="00E43016" w:rsidRPr="00E14EB4">
              <w:t>f</w:t>
            </w:r>
            <w:r w:rsidR="00EE5DBB" w:rsidRPr="00E14EB4">
              <w:t>ull thickness or subd</w:t>
            </w:r>
            <w:r w:rsidR="00E12064" w:rsidRPr="00E14EB4">
              <w:t>erm</w:t>
            </w:r>
            <w:r w:rsidR="00EE5DBB" w:rsidRPr="00E14EB4">
              <w:t>al burns that have resulted in contractures with limitation of motion of</w:t>
            </w:r>
          </w:p>
          <w:p w14:paraId="5CF063CA" w14:textId="77777777" w:rsidR="00902FCD" w:rsidRPr="00E14EB4" w:rsidRDefault="00EE5DBB" w:rsidP="00F16172">
            <w:pPr>
              <w:pStyle w:val="ListParagraph"/>
              <w:numPr>
                <w:ilvl w:val="0"/>
                <w:numId w:val="24"/>
              </w:numPr>
              <w:ind w:left="346" w:hanging="187"/>
            </w:pPr>
            <w:r w:rsidRPr="00E14EB4">
              <w:t>two or more extremities, or</w:t>
            </w:r>
          </w:p>
          <w:p w14:paraId="78346B98" w14:textId="77777777" w:rsidR="002B7BF7" w:rsidRPr="00E14EB4" w:rsidRDefault="00902FCD" w:rsidP="00F16172">
            <w:pPr>
              <w:pStyle w:val="ListParagraph"/>
              <w:numPr>
                <w:ilvl w:val="0"/>
                <w:numId w:val="24"/>
              </w:numPr>
              <w:ind w:left="346" w:hanging="187"/>
            </w:pPr>
            <w:r w:rsidRPr="00E14EB4">
              <w:t>at least one extremity and the trunk.</w:t>
            </w:r>
          </w:p>
          <w:p w14:paraId="0E109C62" w14:textId="77777777" w:rsidR="00565C13" w:rsidRPr="00E14EB4" w:rsidRDefault="00565C13" w:rsidP="00565C13">
            <w:pPr>
              <w:pStyle w:val="BlockText"/>
            </w:pPr>
          </w:p>
          <w:p w14:paraId="2E4C2050" w14:textId="77777777" w:rsidR="00565C13" w:rsidRPr="00E14EB4" w:rsidRDefault="00565C13" w:rsidP="00565C13">
            <w:r w:rsidRPr="00E14EB4">
              <w:rPr>
                <w:b/>
                <w:i/>
              </w:rPr>
              <w:t>Notes</w:t>
            </w:r>
            <w:r w:rsidRPr="00E14EB4">
              <w:t xml:space="preserve">:  </w:t>
            </w:r>
          </w:p>
          <w:p w14:paraId="39806631" w14:textId="54F81380" w:rsidR="00565C13" w:rsidRPr="00E14EB4" w:rsidRDefault="00565C13" w:rsidP="00565C13">
            <w:pPr>
              <w:pStyle w:val="BulletText1"/>
            </w:pPr>
            <w:r w:rsidRPr="00E14EB4">
              <w:t xml:space="preserve">Compensation under </w:t>
            </w:r>
            <w:hyperlink r:id="rId18" w:history="1">
              <w:r w:rsidRPr="00E14EB4">
                <w:rPr>
                  <w:rStyle w:val="Hyperlink"/>
                </w:rPr>
                <w:t>38 U.S.C. Chapter 11</w:t>
              </w:r>
            </w:hyperlink>
            <w:r w:rsidRPr="00E14EB4">
              <w:t xml:space="preserve"> in</w:t>
            </w:r>
            <w:r w:rsidR="006F621D" w:rsidRPr="00E14EB4">
              <w:t>cludes compensation for service-</w:t>
            </w:r>
            <w:r w:rsidRPr="00E14EB4">
              <w:t xml:space="preserve">connected </w:t>
            </w:r>
            <w:r w:rsidR="006F621D" w:rsidRPr="00E14EB4">
              <w:t xml:space="preserve">(SC) </w:t>
            </w:r>
            <w:r w:rsidRPr="00E14EB4">
              <w:t xml:space="preserve">disabilities and disabilities “as if” </w:t>
            </w:r>
            <w:r w:rsidR="006F621D" w:rsidRPr="00E14EB4">
              <w:t>SC</w:t>
            </w:r>
            <w:r w:rsidRPr="00E14EB4">
              <w:t xml:space="preserve"> under </w:t>
            </w:r>
            <w:hyperlink r:id="rId19" w:history="1">
              <w:r w:rsidRPr="00E14EB4">
                <w:rPr>
                  <w:rStyle w:val="Hyperlink"/>
                </w:rPr>
                <w:t>38 U.S.C. 1151</w:t>
              </w:r>
            </w:hyperlink>
            <w:r w:rsidRPr="00E14EB4">
              <w:t xml:space="preserve">. </w:t>
            </w:r>
          </w:p>
          <w:p w14:paraId="0DDD4A6F" w14:textId="77777777" w:rsidR="00565C13" w:rsidRPr="00E14EB4" w:rsidRDefault="00565C13" w:rsidP="00565C13">
            <w:pPr>
              <w:pStyle w:val="BulletText1"/>
            </w:pPr>
            <w:r w:rsidRPr="00E14EB4">
              <w:t xml:space="preserve">“Preclude locomotion” means the necessity for regular, constant use of a wheelchair, braces, crutches </w:t>
            </w:r>
            <w:r w:rsidRPr="00E14EB4">
              <w:rPr>
                <w:i/>
              </w:rPr>
              <w:t>or</w:t>
            </w:r>
            <w:r w:rsidRPr="00E14EB4">
              <w:t xml:space="preserve"> canes as a normal mode of locomotion although occasional locomotion by other methods may be possible.</w:t>
            </w:r>
          </w:p>
          <w:p w14:paraId="7D7D35A0" w14:textId="77777777" w:rsidR="00565C13" w:rsidRPr="00E14EB4" w:rsidRDefault="00565C13" w:rsidP="00565C13">
            <w:pPr>
              <w:pStyle w:val="BulletText1"/>
            </w:pPr>
            <w:r w:rsidRPr="00E14EB4">
              <w:t>The use of a prosthesis is eligible for entitlement to SAH, as a prosthetic device is the equivalent of the use of braces under the regulation.</w:t>
            </w:r>
          </w:p>
          <w:p w14:paraId="477F28E5" w14:textId="428C5954" w:rsidR="00565C13" w:rsidRPr="00E14EB4" w:rsidRDefault="00565C13" w:rsidP="00565C13">
            <w:pPr>
              <w:pStyle w:val="BulletText1"/>
            </w:pPr>
            <w:r w:rsidRPr="00E14EB4">
              <w:t xml:space="preserve">Effective October 1, 2012, </w:t>
            </w:r>
            <w:r w:rsidR="00836BD8" w:rsidRPr="00E14EB4">
              <w:rPr>
                <w:i/>
              </w:rPr>
              <w:t>Public Law</w:t>
            </w:r>
            <w:r w:rsidRPr="00E14EB4">
              <w:t xml:space="preserve"> (</w:t>
            </w:r>
            <w:r w:rsidRPr="00E14EB4">
              <w:rPr>
                <w:i/>
              </w:rPr>
              <w:t>PL) 112-154</w:t>
            </w:r>
            <w:r w:rsidRPr="00E14EB4">
              <w:t>, “Honoring America’s Veterans and Caring for Camp Lejeune Families Act of 2012,’’ added new, temporary criteria for SAH.  These are addressed in M21-1, Part IX, Subpart i, 3.1.f.</w:t>
            </w:r>
          </w:p>
          <w:p w14:paraId="7450B713" w14:textId="4DA5C377" w:rsidR="00565C13" w:rsidRPr="00E14EB4" w:rsidRDefault="00565C13" w:rsidP="00565C13">
            <w:pPr>
              <w:pStyle w:val="BulletText1"/>
            </w:pPr>
            <w:r w:rsidRPr="00E14EB4">
              <w:t xml:space="preserve">Although </w:t>
            </w:r>
            <w:hyperlink r:id="rId20" w:history="1">
              <w:r w:rsidRPr="00E14EB4">
                <w:rPr>
                  <w:rStyle w:val="Hyperlink"/>
                </w:rPr>
                <w:t>38 CFR 3.809</w:t>
              </w:r>
            </w:hyperlink>
            <w:r w:rsidRPr="00E14EB4">
              <w:t xml:space="preserve"> provides that ALS is a qualifying condition for SAH when evaluated 100 percent disabling under </w:t>
            </w:r>
            <w:hyperlink r:id="rId21" w:history="1">
              <w:r w:rsidRPr="00E14EB4">
                <w:rPr>
                  <w:rStyle w:val="Hyperlink"/>
                </w:rPr>
                <w:t>38 CFR 4.124a, diagnostic code (DC) 8017</w:t>
              </w:r>
            </w:hyperlink>
            <w:r w:rsidRPr="00E14EB4">
              <w:t>,</w:t>
            </w:r>
            <w:r w:rsidR="00AC12AC" w:rsidRPr="00E14EB4">
              <w:rPr>
                <w:i/>
              </w:rPr>
              <w:t xml:space="preserve"> </w:t>
            </w:r>
            <w:r w:rsidRPr="00E14EB4">
              <w:t>whenever there is a diagnosis of ALS there is a qualifying condition for SAH purposes.  Any diagnosis of ALS is sufficient to support the assignment of a permanent 100 percent evaluation under DC 8017 or a hyphenated DC (8017-XXXX) for the predominant complication of ALS.  Do not issue a denial when multi-system effects of ALS are separately evaluated with a single 100 percent evaluation assigned for a complication of ALS under a hyphenated DC.</w:t>
            </w:r>
          </w:p>
          <w:p w14:paraId="578C4498" w14:textId="77777777" w:rsidR="00565C13" w:rsidRPr="00E14EB4" w:rsidRDefault="00565C13" w:rsidP="00565C13">
            <w:pPr>
              <w:pStyle w:val="BulletText1"/>
            </w:pPr>
            <w:r w:rsidRPr="00E14EB4">
              <w:t xml:space="preserve">The regulatory change to </w:t>
            </w:r>
            <w:hyperlink r:id="rId22" w:history="1">
              <w:r w:rsidRPr="00E14EB4">
                <w:rPr>
                  <w:rStyle w:val="Hyperlink"/>
                </w:rPr>
                <w:t>38 CFR 3.809</w:t>
              </w:r>
            </w:hyperlink>
            <w:r w:rsidRPr="00E14EB4">
              <w:t xml:space="preserve"> allowing for qualification based on ALS (78 FR 72573) is applicable to all applications for SAH pending before VA on, or received after, December 3, 2013.</w:t>
            </w:r>
          </w:p>
          <w:p w14:paraId="3B305C40" w14:textId="6B4890B5" w:rsidR="00565C13" w:rsidRPr="00E14EB4" w:rsidRDefault="00565C13" w:rsidP="00565C13">
            <w:pPr>
              <w:pStyle w:val="BulletText1"/>
            </w:pPr>
            <w:r w:rsidRPr="00E14EB4">
              <w:lastRenderedPageBreak/>
              <w:t xml:space="preserve">A Veteran’s entitlement to a total rating based on individual unemployability, pursuant to </w:t>
            </w:r>
            <w:hyperlink r:id="rId23" w:history="1">
              <w:r w:rsidRPr="00E14EB4">
                <w:rPr>
                  <w:rStyle w:val="Hyperlink"/>
                </w:rPr>
                <w:t>38 CFR 4.16</w:t>
              </w:r>
            </w:hyperlink>
            <w:r w:rsidRPr="00E14EB4">
              <w:t xml:space="preserve">, satisfies the requirement for a total </w:t>
            </w:r>
            <w:r w:rsidR="006F621D" w:rsidRPr="00E14EB4">
              <w:t>SC</w:t>
            </w:r>
            <w:r w:rsidRPr="00E14EB4">
              <w:t xml:space="preserve"> disability for SAH eligibility purposes.</w:t>
            </w:r>
          </w:p>
          <w:p w14:paraId="532E7C00" w14:textId="77777777" w:rsidR="001A1956" w:rsidRPr="00E14EB4" w:rsidRDefault="001A1956" w:rsidP="001A1956">
            <w:pPr>
              <w:pStyle w:val="BlockText"/>
            </w:pPr>
          </w:p>
          <w:p w14:paraId="1995EC63" w14:textId="77777777" w:rsidR="001A1956" w:rsidRPr="00E14EB4" w:rsidRDefault="001A1956" w:rsidP="001A1956">
            <w:pPr>
              <w:pStyle w:val="BlockText"/>
            </w:pPr>
            <w:r w:rsidRPr="00E14EB4">
              <w:rPr>
                <w:b/>
                <w:i/>
              </w:rPr>
              <w:t>References</w:t>
            </w:r>
            <w:r w:rsidRPr="00E14EB4">
              <w:t xml:space="preserve">:  For more information on </w:t>
            </w:r>
          </w:p>
          <w:p w14:paraId="279A4897" w14:textId="77777777" w:rsidR="001A1956" w:rsidRPr="00E14EB4" w:rsidRDefault="001A1956" w:rsidP="001A1956">
            <w:pPr>
              <w:pStyle w:val="BulletText1"/>
            </w:pPr>
            <w:r w:rsidRPr="00E14EB4">
              <w:t>the criteria for SAH see</w:t>
            </w:r>
          </w:p>
          <w:p w14:paraId="64DF8C4A" w14:textId="77777777" w:rsidR="001A1956" w:rsidRPr="00E14EB4" w:rsidRDefault="00E14EB4" w:rsidP="001A1956">
            <w:pPr>
              <w:pStyle w:val="BulletText2"/>
              <w:rPr>
                <w:b/>
              </w:rPr>
            </w:pPr>
            <w:hyperlink r:id="rId24" w:history="1">
              <w:r w:rsidR="001A1956" w:rsidRPr="00E14EB4">
                <w:rPr>
                  <w:rStyle w:val="Hyperlink"/>
                </w:rPr>
                <w:t>38 CFR 3.809</w:t>
              </w:r>
            </w:hyperlink>
          </w:p>
          <w:p w14:paraId="6F15DF00" w14:textId="77777777" w:rsidR="001A1956" w:rsidRPr="00E14EB4" w:rsidRDefault="00E14EB4" w:rsidP="001A1956">
            <w:pPr>
              <w:pStyle w:val="BulletText2"/>
            </w:pPr>
            <w:hyperlink r:id="rId25" w:history="1">
              <w:r w:rsidR="001A1956" w:rsidRPr="00E14EB4">
                <w:rPr>
                  <w:rStyle w:val="Hyperlink"/>
                </w:rPr>
                <w:t>38 U.S.C. Chapter 21</w:t>
              </w:r>
            </w:hyperlink>
          </w:p>
          <w:p w14:paraId="35190753" w14:textId="77777777" w:rsidR="001A1956" w:rsidRPr="00E14EB4" w:rsidRDefault="00E14EB4" w:rsidP="001A1956">
            <w:pPr>
              <w:pStyle w:val="BulletText2"/>
            </w:pPr>
            <w:hyperlink r:id="rId26" w:anchor="bmk" w:history="1">
              <w:r w:rsidR="001A1956" w:rsidRPr="00E14EB4">
                <w:rPr>
                  <w:rStyle w:val="Hyperlink"/>
                  <w:i/>
                </w:rPr>
                <w:t>Kilpatrick v. Principi</w:t>
              </w:r>
            </w:hyperlink>
            <w:r w:rsidR="001A1956" w:rsidRPr="00E14EB4">
              <w:rPr>
                <w:i/>
              </w:rPr>
              <w:t>,</w:t>
            </w:r>
            <w:r w:rsidR="001A1956" w:rsidRPr="00E14EB4">
              <w:t xml:space="preserve"> 327 F3d. 1375 (Fed. Cir. 2003)</w:t>
            </w:r>
          </w:p>
          <w:p w14:paraId="1C3ACC74" w14:textId="59E45FD8" w:rsidR="001A1956" w:rsidRPr="00E14EB4" w:rsidRDefault="001A1956" w:rsidP="001A1956">
            <w:pPr>
              <w:pStyle w:val="BulletText1"/>
            </w:pPr>
            <w:r w:rsidRPr="00E14EB4">
              <w:t>the criteria for finding blindness with light perception only, see M21-1, Part IV, Subpart ii, 2.H.</w:t>
            </w:r>
            <w:r w:rsidRPr="00E14EB4">
              <w:rPr>
                <w:color w:val="auto"/>
              </w:rPr>
              <w:t>4</w:t>
            </w:r>
            <w:r w:rsidRPr="00E14EB4">
              <w:t>.j</w:t>
            </w:r>
          </w:p>
          <w:p w14:paraId="16C234B1" w14:textId="293DD77C" w:rsidR="001A1956" w:rsidRPr="00E14EB4" w:rsidRDefault="001A1956" w:rsidP="001A1956">
            <w:pPr>
              <w:pStyle w:val="BulletText1"/>
            </w:pPr>
            <w:r w:rsidRPr="00E14EB4">
              <w:t>the criteria for finding loss of use of a hand or foot, see M21-1, Part IV, Subpart ii, 2.H.4.e, f</w:t>
            </w:r>
          </w:p>
          <w:p w14:paraId="336C26C5" w14:textId="77777777" w:rsidR="001A1956" w:rsidRPr="00E14EB4" w:rsidRDefault="001A1956" w:rsidP="001A1956">
            <w:pPr>
              <w:pStyle w:val="BulletText1"/>
            </w:pPr>
            <w:r w:rsidRPr="00E14EB4">
              <w:t xml:space="preserve">the criteria for compensation under </w:t>
            </w:r>
            <w:hyperlink r:id="rId27" w:history="1">
              <w:r w:rsidRPr="00E14EB4">
                <w:rPr>
                  <w:rStyle w:val="Hyperlink"/>
                </w:rPr>
                <w:t>38 U.S.C. 11</w:t>
              </w:r>
            </w:hyperlink>
            <w:r w:rsidRPr="00E14EB4">
              <w:rPr>
                <w:rStyle w:val="Hyperlink"/>
              </w:rPr>
              <w:t>51</w:t>
            </w:r>
            <w:r w:rsidRPr="00E14EB4">
              <w:t>, see M21-1, Part IV, Subpart ii, 2.G, and</w:t>
            </w:r>
          </w:p>
          <w:p w14:paraId="0D311AF2" w14:textId="448066BF" w:rsidR="00565C13" w:rsidRPr="00E14EB4" w:rsidRDefault="001A1956" w:rsidP="00565C13">
            <w:pPr>
              <w:pStyle w:val="BulletText1"/>
            </w:pPr>
            <w:r w:rsidRPr="00E14EB4">
              <w:t>evaluating ALS, see M21-1, Part III, Subpart iv, 4.G.</w:t>
            </w:r>
            <w:r w:rsidRPr="00E14EB4">
              <w:rPr>
                <w:rStyle w:val="Hyperlink"/>
                <w:color w:val="auto"/>
                <w:u w:val="none"/>
              </w:rPr>
              <w:t>6</w:t>
            </w:r>
            <w:r w:rsidRPr="00E14EB4">
              <w:t>.</w:t>
            </w:r>
          </w:p>
        </w:tc>
      </w:tr>
    </w:tbl>
    <w:p w14:paraId="0EDE4BD0" w14:textId="77777777" w:rsidR="001A1956" w:rsidRPr="00E14EB4" w:rsidRDefault="001A1956" w:rsidP="001A1956">
      <w:pPr>
        <w:pStyle w:val="BlockLine"/>
      </w:pPr>
    </w:p>
    <w:tbl>
      <w:tblPr>
        <w:tblW w:w="0" w:type="auto"/>
        <w:tblLayout w:type="fixed"/>
        <w:tblLook w:val="0000" w:firstRow="0" w:lastRow="0" w:firstColumn="0" w:lastColumn="0" w:noHBand="0" w:noVBand="0"/>
      </w:tblPr>
      <w:tblGrid>
        <w:gridCol w:w="1728"/>
        <w:gridCol w:w="7740"/>
      </w:tblGrid>
      <w:tr w:rsidR="00EE5DBB" w:rsidRPr="00E14EB4" w14:paraId="72478B3B" w14:textId="77777777" w:rsidTr="009C230E">
        <w:tc>
          <w:tcPr>
            <w:tcW w:w="1728" w:type="dxa"/>
          </w:tcPr>
          <w:p w14:paraId="126F2924" w14:textId="0BA71AAA" w:rsidR="00EE5DBB" w:rsidRPr="00E14EB4" w:rsidRDefault="00EE5DBB">
            <w:pPr>
              <w:pStyle w:val="Heading5"/>
            </w:pPr>
            <w:r w:rsidRPr="00E14EB4">
              <w:t>c.  Eligibility for SHA Grants</w:t>
            </w:r>
          </w:p>
        </w:tc>
        <w:tc>
          <w:tcPr>
            <w:tcW w:w="7740" w:type="dxa"/>
          </w:tcPr>
          <w:p w14:paraId="4D8A1455" w14:textId="1D6FD7DB" w:rsidR="00EE5DBB" w:rsidRPr="00E14EB4" w:rsidRDefault="00EE5DBB">
            <w:pPr>
              <w:pStyle w:val="BlockText"/>
            </w:pPr>
            <w:r w:rsidRPr="00E14EB4">
              <w:t xml:space="preserve">Eligibility for assistance in acquiring </w:t>
            </w:r>
            <w:r w:rsidRPr="00E14EB4">
              <w:rPr>
                <w:bCs/>
              </w:rPr>
              <w:t>SHA</w:t>
            </w:r>
            <w:r w:rsidR="00E43016" w:rsidRPr="00E14EB4">
              <w:t xml:space="preserve"> exists when</w:t>
            </w:r>
          </w:p>
          <w:p w14:paraId="453ADAF1" w14:textId="77777777" w:rsidR="00E0789E" w:rsidRPr="00E14EB4" w:rsidRDefault="00E0789E">
            <w:pPr>
              <w:pStyle w:val="BlockText"/>
            </w:pPr>
          </w:p>
          <w:p w14:paraId="7DEE3620" w14:textId="77777777" w:rsidR="00E43016" w:rsidRPr="00E14EB4" w:rsidRDefault="00E43016" w:rsidP="004D4979">
            <w:pPr>
              <w:pStyle w:val="BulletText1"/>
            </w:pPr>
            <w:r w:rsidRPr="00E14EB4">
              <w:t xml:space="preserve">a Veteran is entitled to compensation under </w:t>
            </w:r>
            <w:hyperlink r:id="rId28" w:history="1">
              <w:r w:rsidRPr="00E14EB4">
                <w:rPr>
                  <w:rStyle w:val="Hyperlink"/>
                </w:rPr>
                <w:t>38 U.S.C. Chapter 11</w:t>
              </w:r>
            </w:hyperlink>
            <w:r w:rsidRPr="00E14EB4">
              <w:t xml:space="preserve"> for a qualifying condition, or</w:t>
            </w:r>
          </w:p>
          <w:p w14:paraId="369F5D04" w14:textId="5C46D2C0" w:rsidR="00E43016" w:rsidRPr="00E14EB4" w:rsidRDefault="00E43016" w:rsidP="004D4979">
            <w:pPr>
              <w:pStyle w:val="BulletText1"/>
            </w:pPr>
            <w:r w:rsidRPr="00E14EB4">
              <w:t>a service member on active duty has a qualifying condition incurred or aggravated in the line of duty.</w:t>
            </w:r>
          </w:p>
          <w:p w14:paraId="1AC031CE" w14:textId="77777777" w:rsidR="00E43016" w:rsidRPr="00E14EB4" w:rsidRDefault="00E43016">
            <w:pPr>
              <w:pStyle w:val="BlockText"/>
            </w:pPr>
          </w:p>
          <w:p w14:paraId="5A436D06" w14:textId="77777777" w:rsidR="00E43016" w:rsidRPr="00E14EB4" w:rsidRDefault="00E43016" w:rsidP="00E43016">
            <w:pPr>
              <w:pStyle w:val="BlockText"/>
            </w:pPr>
            <w:r w:rsidRPr="00E14EB4">
              <w:t>Qualifying conditions are</w:t>
            </w:r>
          </w:p>
          <w:p w14:paraId="67BA5A11" w14:textId="77777777" w:rsidR="00E43016" w:rsidRPr="00E14EB4" w:rsidRDefault="00E43016">
            <w:pPr>
              <w:pStyle w:val="BlockText"/>
            </w:pPr>
          </w:p>
          <w:p w14:paraId="731E24AD" w14:textId="4B5092C9" w:rsidR="00BB6780" w:rsidRPr="00E14EB4" w:rsidRDefault="00BB6780" w:rsidP="00BB6780">
            <w:pPr>
              <w:pStyle w:val="BulletText1"/>
            </w:pPr>
            <w:r w:rsidRPr="00E14EB4">
              <w:t>blindness with visual acuity of 20/200 or less in each eye</w:t>
            </w:r>
          </w:p>
          <w:p w14:paraId="6671ED44" w14:textId="77777777" w:rsidR="00EE5DBB" w:rsidRPr="00E14EB4" w:rsidRDefault="0042624C" w:rsidP="004D4979">
            <w:pPr>
              <w:pStyle w:val="BulletText1"/>
            </w:pPr>
            <w:r w:rsidRPr="00E14EB4">
              <w:t xml:space="preserve">permanent and total disability </w:t>
            </w:r>
            <w:r w:rsidR="00BB6780" w:rsidRPr="00E14EB4">
              <w:t xml:space="preserve">from </w:t>
            </w:r>
            <w:r w:rsidR="00EE5DBB" w:rsidRPr="00E14EB4">
              <w:t xml:space="preserve">loss </w:t>
            </w:r>
            <w:r w:rsidR="004D4979" w:rsidRPr="00E14EB4">
              <w:t>or loss of use of both hands</w:t>
            </w:r>
            <w:r w:rsidR="00BB6780" w:rsidRPr="00E14EB4">
              <w:t>, or</w:t>
            </w:r>
          </w:p>
          <w:p w14:paraId="3BA8439D" w14:textId="77777777" w:rsidR="00EE5DBB" w:rsidRPr="00E14EB4" w:rsidRDefault="00BB6780" w:rsidP="004D4979">
            <w:pPr>
              <w:pStyle w:val="BulletText1"/>
            </w:pPr>
            <w:r w:rsidRPr="00E14EB4">
              <w:t xml:space="preserve">permanent and total disability from </w:t>
            </w:r>
            <w:r w:rsidR="004D4979" w:rsidRPr="00E14EB4">
              <w:t>a severe burn injury</w:t>
            </w:r>
          </w:p>
          <w:p w14:paraId="4136A5D1" w14:textId="77777777" w:rsidR="00EE5DBB" w:rsidRPr="00E14EB4" w:rsidRDefault="00EE5DBB" w:rsidP="004D4979">
            <w:pPr>
              <w:pStyle w:val="BulletText2"/>
            </w:pPr>
            <w:r w:rsidRPr="00E14EB4">
              <w:t xml:space="preserve">deep partial thickness burns that have resulted in contractures with limitation of motion of </w:t>
            </w:r>
          </w:p>
          <w:p w14:paraId="68841D36" w14:textId="77777777" w:rsidR="00EE5DBB" w:rsidRPr="00E14EB4" w:rsidRDefault="00EE5DBB" w:rsidP="004D4979">
            <w:pPr>
              <w:pStyle w:val="BulletText3"/>
            </w:pPr>
            <w:r w:rsidRPr="00E14EB4">
              <w:t>two or more extremities, or</w:t>
            </w:r>
          </w:p>
          <w:p w14:paraId="2F619C1A" w14:textId="77777777" w:rsidR="00EE5DBB" w:rsidRPr="00E14EB4" w:rsidRDefault="00EE5DBB" w:rsidP="004D4979">
            <w:pPr>
              <w:pStyle w:val="BulletText3"/>
            </w:pPr>
            <w:r w:rsidRPr="00E14EB4">
              <w:t xml:space="preserve">at least one extremity </w:t>
            </w:r>
            <w:r w:rsidRPr="00E14EB4">
              <w:rPr>
                <w:i/>
              </w:rPr>
              <w:t xml:space="preserve">and </w:t>
            </w:r>
            <w:r w:rsidRPr="00E14EB4">
              <w:t>the trunk</w:t>
            </w:r>
          </w:p>
          <w:p w14:paraId="4EAE521C" w14:textId="77777777" w:rsidR="004D4979" w:rsidRPr="00E14EB4" w:rsidRDefault="00EE5DBB" w:rsidP="004D4979">
            <w:pPr>
              <w:pStyle w:val="BulletText2"/>
            </w:pPr>
            <w:r w:rsidRPr="00E14EB4">
              <w:t xml:space="preserve">full thickness or subdermal burns that have resulted in contracture(s) with limitation of motion of </w:t>
            </w:r>
          </w:p>
          <w:p w14:paraId="1090CCA6" w14:textId="77777777" w:rsidR="004D4979" w:rsidRPr="00E14EB4" w:rsidRDefault="00EE5DBB" w:rsidP="004D4979">
            <w:pPr>
              <w:pStyle w:val="BulletText3"/>
            </w:pPr>
            <w:r w:rsidRPr="00E14EB4">
              <w:t>one or more extremities</w:t>
            </w:r>
            <w:r w:rsidR="004D4979" w:rsidRPr="00E14EB4">
              <w:t>,</w:t>
            </w:r>
            <w:r w:rsidRPr="00E14EB4">
              <w:t xml:space="preserve"> or </w:t>
            </w:r>
          </w:p>
          <w:p w14:paraId="1E07B2EE" w14:textId="76E1C1FE" w:rsidR="00EE5DBB" w:rsidRPr="00E14EB4" w:rsidRDefault="00EE5DBB" w:rsidP="004D4979">
            <w:pPr>
              <w:pStyle w:val="BulletText3"/>
            </w:pPr>
            <w:r w:rsidRPr="00E14EB4">
              <w:t>the trunk</w:t>
            </w:r>
            <w:r w:rsidR="00F16172" w:rsidRPr="00E14EB4">
              <w:t>, or</w:t>
            </w:r>
          </w:p>
          <w:p w14:paraId="286817E6" w14:textId="77777777" w:rsidR="00EE5DBB" w:rsidRPr="00E14EB4" w:rsidRDefault="00EE5DBB" w:rsidP="004D4979">
            <w:pPr>
              <w:pStyle w:val="BulletText2"/>
            </w:pPr>
            <w:r w:rsidRPr="00E14EB4">
              <w:t>residuals of an inhalation injury, including, but not limited to</w:t>
            </w:r>
          </w:p>
          <w:p w14:paraId="3C699850" w14:textId="77777777" w:rsidR="00EE5DBB" w:rsidRPr="00E14EB4" w:rsidRDefault="00EE5DBB" w:rsidP="004D4979">
            <w:pPr>
              <w:pStyle w:val="BulletText3"/>
            </w:pPr>
            <w:r w:rsidRPr="00E14EB4">
              <w:t>pulmonary fibrosis</w:t>
            </w:r>
          </w:p>
          <w:p w14:paraId="3A051306" w14:textId="77777777" w:rsidR="00EE5DBB" w:rsidRPr="00E14EB4" w:rsidRDefault="004D4979" w:rsidP="004D4979">
            <w:pPr>
              <w:pStyle w:val="BulletText3"/>
            </w:pPr>
            <w:r w:rsidRPr="00E14EB4">
              <w:t xml:space="preserve">asthma, </w:t>
            </w:r>
            <w:r w:rsidR="004308EB" w:rsidRPr="00E14EB4">
              <w:t>or</w:t>
            </w:r>
          </w:p>
          <w:p w14:paraId="0FA22936" w14:textId="77777777" w:rsidR="0064233E" w:rsidRPr="00E14EB4" w:rsidRDefault="00EE5DBB" w:rsidP="000D410C">
            <w:pPr>
              <w:pStyle w:val="BulletText3"/>
            </w:pPr>
            <w:r w:rsidRPr="00E14EB4">
              <w:t>chronic obstructive pulmonary disease</w:t>
            </w:r>
            <w:r w:rsidR="00CB161D" w:rsidRPr="00E14EB4">
              <w:t xml:space="preserve"> (COPD)</w:t>
            </w:r>
            <w:r w:rsidRPr="00E14EB4">
              <w:t xml:space="preserve">. </w:t>
            </w:r>
          </w:p>
          <w:p w14:paraId="1EBAED49" w14:textId="77777777" w:rsidR="00836BD8" w:rsidRPr="00E14EB4" w:rsidRDefault="00836BD8" w:rsidP="00836BD8"/>
          <w:p w14:paraId="0734A2C5" w14:textId="042DC7F0" w:rsidR="00836BD8" w:rsidRPr="00E14EB4" w:rsidRDefault="00836BD8" w:rsidP="00836BD8">
            <w:r w:rsidRPr="00E14EB4">
              <w:rPr>
                <w:b/>
                <w:i/>
              </w:rPr>
              <w:t>Notes</w:t>
            </w:r>
            <w:r w:rsidRPr="00E14EB4">
              <w:t xml:space="preserve">: </w:t>
            </w:r>
          </w:p>
          <w:p w14:paraId="09550CAD" w14:textId="77777777" w:rsidR="00836BD8" w:rsidRPr="00E14EB4" w:rsidRDefault="00836BD8" w:rsidP="00836BD8">
            <w:pPr>
              <w:pStyle w:val="BulletText1"/>
            </w:pPr>
            <w:r w:rsidRPr="00E14EB4">
              <w:t xml:space="preserve">Eligibility only exists for SHA if the claimant is not entitled to, and has not previously received, SAH. </w:t>
            </w:r>
          </w:p>
          <w:p w14:paraId="1ED409AA" w14:textId="57B355EF" w:rsidR="00836BD8" w:rsidRPr="00E14EB4" w:rsidRDefault="00836BD8" w:rsidP="00836BD8">
            <w:pPr>
              <w:pStyle w:val="BulletText1"/>
            </w:pPr>
            <w:r w:rsidRPr="00E14EB4">
              <w:t xml:space="preserve">Compensation under </w:t>
            </w:r>
            <w:hyperlink r:id="rId29" w:history="1">
              <w:r w:rsidRPr="00E14EB4">
                <w:rPr>
                  <w:rStyle w:val="Hyperlink"/>
                </w:rPr>
                <w:t>38 U.S.C. Chapter 11</w:t>
              </w:r>
            </w:hyperlink>
            <w:r w:rsidRPr="00E14EB4">
              <w:t xml:space="preserve"> includes compensation for </w:t>
            </w:r>
            <w:r w:rsidR="006F621D" w:rsidRPr="00E14EB4">
              <w:t>SC</w:t>
            </w:r>
            <w:r w:rsidRPr="00E14EB4">
              <w:t xml:space="preserve"> disability as well as for disabilities “as if” </w:t>
            </w:r>
            <w:r w:rsidR="006F621D" w:rsidRPr="00E14EB4">
              <w:t>SC</w:t>
            </w:r>
            <w:r w:rsidRPr="00E14EB4">
              <w:t xml:space="preserve"> under </w:t>
            </w:r>
            <w:hyperlink r:id="rId30" w:history="1">
              <w:r w:rsidRPr="00E14EB4">
                <w:rPr>
                  <w:rStyle w:val="Hyperlink"/>
                </w:rPr>
                <w:t>38 U.S.C. 1151</w:t>
              </w:r>
            </w:hyperlink>
            <w:r w:rsidRPr="00E14EB4">
              <w:t xml:space="preserve">. </w:t>
            </w:r>
          </w:p>
          <w:p w14:paraId="478376CE" w14:textId="77777777" w:rsidR="00836BD8" w:rsidRPr="00E14EB4" w:rsidRDefault="00836BD8" w:rsidP="00836BD8">
            <w:pPr>
              <w:pStyle w:val="BulletText1"/>
            </w:pPr>
            <w:r w:rsidRPr="00E14EB4">
              <w:lastRenderedPageBreak/>
              <w:t>Blindness is assessed based on central distance visual acuity with the use of a standard correcting lens.</w:t>
            </w:r>
          </w:p>
          <w:p w14:paraId="19719195" w14:textId="77777777" w:rsidR="00836BD8" w:rsidRPr="00E14EB4" w:rsidRDefault="00836BD8" w:rsidP="00836BD8">
            <w:pPr>
              <w:pStyle w:val="BulletText1"/>
            </w:pPr>
            <w:r w:rsidRPr="00E14EB4">
              <w:t xml:space="preserve">For SHA purposes a visual field that subtends an angle no greater than 20 degrees is considered the equivalent of 20/200 visual acuity.  This is synonymous with average contraction of the visual field to no more than 20 degrees. </w:t>
            </w:r>
          </w:p>
          <w:p w14:paraId="34EAC551" w14:textId="658FBD09" w:rsidR="00836BD8" w:rsidRPr="00E14EB4" w:rsidRDefault="00836BD8" w:rsidP="00836BD8">
            <w:pPr>
              <w:pStyle w:val="BulletText1"/>
            </w:pPr>
            <w:r w:rsidRPr="00E14EB4">
              <w:t xml:space="preserve">Effective October 1, 2012, </w:t>
            </w:r>
            <w:r w:rsidRPr="00E14EB4">
              <w:rPr>
                <w:i/>
              </w:rPr>
              <w:t>PL 112-154</w:t>
            </w:r>
            <w:r w:rsidRPr="00E14EB4">
              <w:rPr>
                <w:szCs w:val="24"/>
              </w:rPr>
              <w:t xml:space="preserve"> changed the visual acuity standard for SHA from 5/200 to 20/200, added the </w:t>
            </w:r>
            <w:r w:rsidRPr="00E14EB4">
              <w:t xml:space="preserve">visual field equivalent and removed the requirement that visual impairment be permanently and totally disabling.  </w:t>
            </w:r>
          </w:p>
          <w:p w14:paraId="2DA07324" w14:textId="5653E6F9" w:rsidR="00836BD8" w:rsidRPr="00E14EB4" w:rsidRDefault="00836BD8" w:rsidP="00836BD8">
            <w:pPr>
              <w:pStyle w:val="BulletText1"/>
            </w:pPr>
            <w:r w:rsidRPr="00E14EB4">
              <w:t>Qualification for SH</w:t>
            </w:r>
            <w:r w:rsidR="00E17FE1" w:rsidRPr="00E14EB4">
              <w:t>A</w:t>
            </w:r>
            <w:r w:rsidRPr="00E14EB4">
              <w:t xml:space="preserve"> based on a respiratory disorder requires more than a showing of permanent and total disability from a respiratory diagnosis such as pulmonary fibrosis, asthma or COPD.   The diagnosis must have resulted from an inhalational injury caused by breathing steam or toxic fumes, gases and mists present in a fire environment (including, but not limited to, acrolein, chlorine, phosgene, and nitrogen dioxide).   </w:t>
            </w:r>
          </w:p>
          <w:p w14:paraId="7F6E0730" w14:textId="77777777" w:rsidR="00836BD8" w:rsidRPr="00E14EB4" w:rsidRDefault="00836BD8" w:rsidP="00836BD8"/>
          <w:p w14:paraId="3B16B7D8" w14:textId="77777777" w:rsidR="00836BD8" w:rsidRPr="00E14EB4" w:rsidRDefault="00836BD8" w:rsidP="00836BD8">
            <w:pPr>
              <w:pStyle w:val="BlockText"/>
            </w:pPr>
            <w:r w:rsidRPr="00E14EB4">
              <w:rPr>
                <w:b/>
                <w:i/>
              </w:rPr>
              <w:t>References</w:t>
            </w:r>
            <w:r w:rsidRPr="00E14EB4">
              <w:t>:  For more information on</w:t>
            </w:r>
          </w:p>
          <w:p w14:paraId="7197B999" w14:textId="77777777" w:rsidR="00836BD8" w:rsidRPr="00E14EB4" w:rsidRDefault="00836BD8" w:rsidP="00836BD8">
            <w:pPr>
              <w:pStyle w:val="BulletText1"/>
            </w:pPr>
            <w:r w:rsidRPr="00E14EB4">
              <w:t>eligibility for SHA, see</w:t>
            </w:r>
          </w:p>
          <w:p w14:paraId="64B82481" w14:textId="77777777" w:rsidR="00836BD8" w:rsidRPr="00E14EB4" w:rsidRDefault="00E14EB4" w:rsidP="00836BD8">
            <w:pPr>
              <w:pStyle w:val="BulletText2"/>
            </w:pPr>
            <w:hyperlink r:id="rId31" w:history="1">
              <w:r w:rsidR="00836BD8" w:rsidRPr="00E14EB4">
                <w:rPr>
                  <w:rStyle w:val="Hyperlink"/>
                </w:rPr>
                <w:t>38 U.S.C. 2101</w:t>
              </w:r>
            </w:hyperlink>
            <w:r w:rsidR="00836BD8" w:rsidRPr="00E14EB4">
              <w:t>, and</w:t>
            </w:r>
          </w:p>
          <w:p w14:paraId="075D67B8" w14:textId="77777777" w:rsidR="00836BD8" w:rsidRPr="00E14EB4" w:rsidRDefault="00E14EB4" w:rsidP="00836BD8">
            <w:pPr>
              <w:pStyle w:val="BulletText2"/>
            </w:pPr>
            <w:hyperlink r:id="rId32" w:history="1">
              <w:r w:rsidR="00836BD8" w:rsidRPr="00E14EB4">
                <w:rPr>
                  <w:rStyle w:val="Hyperlink"/>
                </w:rPr>
                <w:t>38 CFR 3.809a</w:t>
              </w:r>
            </w:hyperlink>
          </w:p>
          <w:p w14:paraId="2560C52D" w14:textId="6BD0BD17" w:rsidR="00836BD8" w:rsidRPr="00E14EB4" w:rsidRDefault="00836BD8" w:rsidP="00836BD8">
            <w:pPr>
              <w:pStyle w:val="BulletText1"/>
            </w:pPr>
            <w:r w:rsidRPr="00E14EB4">
              <w:t>the criteria for finding loss of use of a hand, see M21-1, Part IV, Subpart ii, 2.H.4.e, and</w:t>
            </w:r>
          </w:p>
          <w:p w14:paraId="6FB79E79" w14:textId="41F30501" w:rsidR="00836BD8" w:rsidRPr="00E14EB4" w:rsidRDefault="00836BD8" w:rsidP="00424580">
            <w:pPr>
              <w:pStyle w:val="BulletText1"/>
            </w:pPr>
            <w:r w:rsidRPr="00E14EB4">
              <w:t xml:space="preserve">the criteria for compensation under </w:t>
            </w:r>
            <w:hyperlink r:id="rId33" w:history="1">
              <w:r w:rsidRPr="00E14EB4">
                <w:rPr>
                  <w:rStyle w:val="Hyperlink"/>
                </w:rPr>
                <w:t>38 U.S.C. 1151</w:t>
              </w:r>
            </w:hyperlink>
            <w:r w:rsidRPr="00E14EB4">
              <w:t>, see M21-1, Part IV, Subpart ii, 2.G</w:t>
            </w:r>
            <w:r w:rsidR="006F621D" w:rsidRPr="00E14EB4">
              <w:t>.</w:t>
            </w:r>
          </w:p>
        </w:tc>
      </w:tr>
    </w:tbl>
    <w:p w14:paraId="0DA88C00" w14:textId="24C25FC2" w:rsidR="00EE5DBB" w:rsidRPr="00E14EB4" w:rsidRDefault="00EE5DBB" w:rsidP="00821866">
      <w:pPr>
        <w:pStyle w:val="BlockLine"/>
      </w:pPr>
    </w:p>
    <w:tbl>
      <w:tblPr>
        <w:tblW w:w="0" w:type="auto"/>
        <w:tblLayout w:type="fixed"/>
        <w:tblLook w:val="0000" w:firstRow="0" w:lastRow="0" w:firstColumn="0" w:lastColumn="0" w:noHBand="0" w:noVBand="0"/>
      </w:tblPr>
      <w:tblGrid>
        <w:gridCol w:w="1728"/>
        <w:gridCol w:w="7740"/>
      </w:tblGrid>
      <w:tr w:rsidR="00EE5DBB" w:rsidRPr="00E14EB4" w14:paraId="37C6E409" w14:textId="77777777" w:rsidTr="009237F9">
        <w:tc>
          <w:tcPr>
            <w:tcW w:w="1728" w:type="dxa"/>
          </w:tcPr>
          <w:p w14:paraId="160F819E" w14:textId="56882392" w:rsidR="00EE5DBB" w:rsidRPr="00E14EB4" w:rsidRDefault="00EE5DBB" w:rsidP="00144DF7">
            <w:pPr>
              <w:pStyle w:val="Heading5"/>
            </w:pPr>
            <w:r w:rsidRPr="00E14EB4">
              <w:t xml:space="preserve">d. </w:t>
            </w:r>
            <w:r w:rsidR="00BB6780" w:rsidRPr="00E14EB4">
              <w:t xml:space="preserve">SAH or SHA </w:t>
            </w:r>
            <w:r w:rsidR="00144DF7" w:rsidRPr="00E14EB4">
              <w:t>Claims B</w:t>
            </w:r>
            <w:r w:rsidR="00BB6780" w:rsidRPr="00E14EB4">
              <w:t xml:space="preserve">ased on </w:t>
            </w:r>
            <w:r w:rsidR="00144DF7" w:rsidRPr="00E14EB4">
              <w:t>P</w:t>
            </w:r>
            <w:r w:rsidR="00BB6780" w:rsidRPr="00E14EB4">
              <w:t xml:space="preserve">aired </w:t>
            </w:r>
            <w:r w:rsidR="00144DF7" w:rsidRPr="00E14EB4">
              <w:t>O</w:t>
            </w:r>
            <w:r w:rsidR="00BB6780" w:rsidRPr="00E14EB4">
              <w:t xml:space="preserve">rgans or </w:t>
            </w:r>
            <w:r w:rsidR="00144DF7" w:rsidRPr="00E14EB4">
              <w:t>E</w:t>
            </w:r>
            <w:r w:rsidR="00BB6780" w:rsidRPr="00E14EB4">
              <w:t>xtremities</w:t>
            </w:r>
          </w:p>
        </w:tc>
        <w:tc>
          <w:tcPr>
            <w:tcW w:w="7740" w:type="dxa"/>
          </w:tcPr>
          <w:p w14:paraId="6BEC44EA" w14:textId="701D3763" w:rsidR="00EE5DBB" w:rsidRPr="00E14EB4" w:rsidRDefault="00EE5DBB" w:rsidP="009237F9">
            <w:pPr>
              <w:pStyle w:val="BlockText"/>
            </w:pPr>
            <w:r w:rsidRPr="00E14EB4">
              <w:t>Even though compensation may be payable under</w:t>
            </w:r>
            <w:r w:rsidR="00357AC9" w:rsidRPr="00E14EB4">
              <w:t xml:space="preserve"> </w:t>
            </w:r>
            <w:hyperlink r:id="rId34" w:history="1">
              <w:r w:rsidR="00357AC9" w:rsidRPr="00E14EB4">
                <w:rPr>
                  <w:rStyle w:val="Hyperlink"/>
                </w:rPr>
                <w:t>38 CFR 3.383</w:t>
              </w:r>
            </w:hyperlink>
            <w:r w:rsidRPr="00E14EB4">
              <w:t>, claimants do not qualify for SAH or SHA grants if they suffered a loss of paired SC and non</w:t>
            </w:r>
            <w:r w:rsidR="003A16AC" w:rsidRPr="00E14EB4">
              <w:t>-</w:t>
            </w:r>
            <w:r w:rsidRPr="00E14EB4">
              <w:t>service-connected (NSC) organs or extremities.</w:t>
            </w:r>
          </w:p>
          <w:p w14:paraId="621CBFE3" w14:textId="77777777" w:rsidR="00EE5DBB" w:rsidRPr="00E14EB4" w:rsidRDefault="00EE5DBB" w:rsidP="009237F9">
            <w:pPr>
              <w:pStyle w:val="BlockText"/>
            </w:pPr>
          </w:p>
          <w:p w14:paraId="03FA637A" w14:textId="77777777" w:rsidR="00EE5DBB" w:rsidRPr="00E14EB4" w:rsidRDefault="00EE5DBB" w:rsidP="009237F9">
            <w:pPr>
              <w:pStyle w:val="BlockText"/>
            </w:pPr>
            <w:r w:rsidRPr="00E14EB4">
              <w:rPr>
                <w:b/>
                <w:i/>
              </w:rPr>
              <w:t>Reference</w:t>
            </w:r>
            <w:r w:rsidRPr="00E14EB4">
              <w:t xml:space="preserve">:  For more information on entitlement to compensation for loss of SC and NSC organs and extremities, see </w:t>
            </w:r>
            <w:hyperlink r:id="rId35" w:history="1">
              <w:r w:rsidRPr="00E14EB4">
                <w:rPr>
                  <w:rStyle w:val="Hyperlink"/>
                </w:rPr>
                <w:t>38 U.S.C. 1160</w:t>
              </w:r>
            </w:hyperlink>
            <w:r w:rsidRPr="00E14EB4">
              <w:t>.</w:t>
            </w:r>
          </w:p>
        </w:tc>
      </w:tr>
    </w:tbl>
    <w:p w14:paraId="64270742" w14:textId="0333EB23" w:rsidR="00EE5DBB" w:rsidRPr="00E14EB4" w:rsidRDefault="00EE5DBB" w:rsidP="009237F9">
      <w:pPr>
        <w:pStyle w:val="BlockLine"/>
      </w:pPr>
    </w:p>
    <w:tbl>
      <w:tblPr>
        <w:tblW w:w="0" w:type="auto"/>
        <w:tblLayout w:type="fixed"/>
        <w:tblLook w:val="0000" w:firstRow="0" w:lastRow="0" w:firstColumn="0" w:lastColumn="0" w:noHBand="0" w:noVBand="0"/>
      </w:tblPr>
      <w:tblGrid>
        <w:gridCol w:w="1728"/>
        <w:gridCol w:w="7740"/>
      </w:tblGrid>
      <w:tr w:rsidR="00EE5DBB" w:rsidRPr="00E14EB4" w14:paraId="75C68382" w14:textId="77777777" w:rsidTr="00805961">
        <w:tc>
          <w:tcPr>
            <w:tcW w:w="1728" w:type="dxa"/>
          </w:tcPr>
          <w:p w14:paraId="484E4E96" w14:textId="2FFFC0F1" w:rsidR="00EE5DBB" w:rsidRPr="00E14EB4" w:rsidRDefault="00EE5DBB">
            <w:pPr>
              <w:pStyle w:val="Heading5"/>
            </w:pPr>
            <w:r w:rsidRPr="00E14EB4">
              <w:t>e.  Reduction of Benefits Due to Tort Judgment or Settlement</w:t>
            </w:r>
          </w:p>
        </w:tc>
        <w:tc>
          <w:tcPr>
            <w:tcW w:w="7740" w:type="dxa"/>
          </w:tcPr>
          <w:p w14:paraId="7F29A1A3" w14:textId="77777777" w:rsidR="00EE5DBB" w:rsidRPr="00E14EB4" w:rsidRDefault="00EE5DBB">
            <w:pPr>
              <w:pStyle w:val="BlockText"/>
            </w:pPr>
            <w:r w:rsidRPr="00E14EB4">
              <w:t xml:space="preserve">SAH or SHA benefits must be reduced by an “offset amount” in cases where a judgment or settlement of a tort claim against the United States is granted for disability established under </w:t>
            </w:r>
            <w:hyperlink r:id="rId36" w:history="1">
              <w:r w:rsidRPr="00E14EB4">
                <w:rPr>
                  <w:rStyle w:val="Hyperlink"/>
                </w:rPr>
                <w:t>38 U.S.C. 1151</w:t>
              </w:r>
            </w:hyperlink>
            <w:r w:rsidRPr="00E14EB4">
              <w:t>, if the tort judgment or settlement</w:t>
            </w:r>
          </w:p>
          <w:p w14:paraId="7B2ADF8D" w14:textId="77777777" w:rsidR="00EE5DBB" w:rsidRPr="00E14EB4" w:rsidRDefault="00EE5DBB">
            <w:pPr>
              <w:pStyle w:val="BlockText"/>
            </w:pPr>
          </w:p>
          <w:p w14:paraId="36CF0F4C" w14:textId="77777777" w:rsidR="00EE5DBB" w:rsidRPr="00E14EB4" w:rsidRDefault="00EE5DBB">
            <w:pPr>
              <w:pStyle w:val="BulletText1"/>
            </w:pPr>
            <w:r w:rsidRPr="00E14EB4">
              <w:t>becomes final</w:t>
            </w:r>
          </w:p>
          <w:p w14:paraId="408A9FD1" w14:textId="77777777" w:rsidR="00EE5DBB" w:rsidRPr="00E14EB4" w:rsidRDefault="00EE5DBB">
            <w:pPr>
              <w:pStyle w:val="BulletText2"/>
            </w:pPr>
            <w:r w:rsidRPr="00E14EB4">
              <w:t>on or after December 10, 2004, but</w:t>
            </w:r>
          </w:p>
          <w:p w14:paraId="2121DA29" w14:textId="77777777" w:rsidR="00EE5DBB" w:rsidRPr="00E14EB4" w:rsidRDefault="00EE5DBB">
            <w:pPr>
              <w:pStyle w:val="BulletText2"/>
            </w:pPr>
            <w:r w:rsidRPr="00E14EB4">
              <w:t>before the date VA awards SAH benefits, and</w:t>
            </w:r>
          </w:p>
          <w:p w14:paraId="2ABB2A71" w14:textId="77777777" w:rsidR="00EE5DBB" w:rsidRPr="00E14EB4" w:rsidRDefault="00EE5DBB">
            <w:pPr>
              <w:pStyle w:val="BulletText1"/>
            </w:pPr>
            <w:r w:rsidRPr="00E14EB4">
              <w:t>includes an amount specifically designated for housing.</w:t>
            </w:r>
          </w:p>
          <w:p w14:paraId="6957F8D4" w14:textId="77777777" w:rsidR="00EE5DBB" w:rsidRPr="00E14EB4" w:rsidRDefault="00EE5DBB" w:rsidP="00BC6C07">
            <w:pPr>
              <w:pStyle w:val="BlockText"/>
            </w:pPr>
          </w:p>
          <w:p w14:paraId="6EF1DDAA" w14:textId="77777777" w:rsidR="00EE5DBB" w:rsidRPr="00E14EB4" w:rsidRDefault="00EE5DBB" w:rsidP="00BC6C07">
            <w:pPr>
              <w:pStyle w:val="BlockText"/>
            </w:pPr>
            <w:r w:rsidRPr="00E14EB4">
              <w:rPr>
                <w:b/>
                <w:i/>
              </w:rPr>
              <w:t>Notes</w:t>
            </w:r>
            <w:r w:rsidRPr="00E14EB4">
              <w:t>:</w:t>
            </w:r>
          </w:p>
          <w:p w14:paraId="4FD1BE3D" w14:textId="4A59D8DC" w:rsidR="00EE5DBB" w:rsidRPr="00E14EB4" w:rsidRDefault="00EE5DBB" w:rsidP="00BC6C07">
            <w:pPr>
              <w:pStyle w:val="BulletText1"/>
            </w:pPr>
            <w:r w:rsidRPr="00E14EB4">
              <w:t>Contact local Regional Counsel to determine whether a judgment or settlement qualifies for offset under</w:t>
            </w:r>
            <w:r w:rsidR="00FF6B5D" w:rsidRPr="00E14EB4">
              <w:rPr>
                <w:rStyle w:val="Hyperlink"/>
              </w:rPr>
              <w:t xml:space="preserve"> </w:t>
            </w:r>
            <w:hyperlink r:id="rId37" w:history="1">
              <w:r w:rsidR="00357AC9" w:rsidRPr="00E14EB4">
                <w:rPr>
                  <w:rStyle w:val="Hyperlink"/>
                </w:rPr>
                <w:t>38 CFR 3.363</w:t>
              </w:r>
            </w:hyperlink>
            <w:r w:rsidRPr="00E14EB4">
              <w:t xml:space="preserve">. </w:t>
            </w:r>
          </w:p>
          <w:p w14:paraId="3C7C1130" w14:textId="77777777" w:rsidR="00EE5DBB" w:rsidRPr="00E14EB4" w:rsidRDefault="00EE5DBB" w:rsidP="00BC6C07">
            <w:pPr>
              <w:pStyle w:val="BulletText1"/>
            </w:pPr>
            <w:r w:rsidRPr="00E14EB4">
              <w:t xml:space="preserve">If the offset amount exceeds the amount of the SAH benefits awarded, the </w:t>
            </w:r>
            <w:r w:rsidRPr="00E14EB4">
              <w:lastRenderedPageBreak/>
              <w:t xml:space="preserve">excess amount is offset against VA compensation. </w:t>
            </w:r>
          </w:p>
          <w:p w14:paraId="7EAC2EE8" w14:textId="77777777" w:rsidR="00EE5DBB" w:rsidRPr="00E14EB4" w:rsidRDefault="00EE5DBB" w:rsidP="00BC6C07">
            <w:pPr>
              <w:pStyle w:val="BlockText"/>
            </w:pPr>
          </w:p>
          <w:p w14:paraId="2E907DA2" w14:textId="77777777" w:rsidR="00EE5DBB" w:rsidRPr="00E14EB4" w:rsidRDefault="00EE5DBB" w:rsidP="00BC6C07">
            <w:pPr>
              <w:pStyle w:val="BlockText"/>
            </w:pPr>
            <w:r w:rsidRPr="00E14EB4">
              <w:rPr>
                <w:b/>
                <w:bCs/>
                <w:i/>
                <w:iCs/>
              </w:rPr>
              <w:t>Reference</w:t>
            </w:r>
            <w:r w:rsidRPr="00E14EB4">
              <w:t xml:space="preserve">:  For more information on the offset of benefits, see </w:t>
            </w:r>
          </w:p>
          <w:p w14:paraId="7830735C" w14:textId="66B8B7DC" w:rsidR="00EE5DBB" w:rsidRPr="00E14EB4" w:rsidRDefault="00EE5DBB" w:rsidP="002F17A6">
            <w:pPr>
              <w:pStyle w:val="BlockText"/>
            </w:pPr>
            <w:r w:rsidRPr="00E14EB4">
              <w:t>M21-1, Part IV, Subpart ii, 3.</w:t>
            </w:r>
            <w:r w:rsidR="00AC48B3" w:rsidRPr="00E14EB4">
              <w:t>D</w:t>
            </w:r>
            <w:r w:rsidRPr="00E14EB4">
              <w:t>.</w:t>
            </w:r>
          </w:p>
        </w:tc>
      </w:tr>
    </w:tbl>
    <w:p w14:paraId="24C6504A" w14:textId="77777777" w:rsidR="00424580" w:rsidRPr="00E14EB4" w:rsidRDefault="00424580" w:rsidP="00424580">
      <w:pPr>
        <w:pStyle w:val="BlockLine"/>
      </w:pPr>
    </w:p>
    <w:tbl>
      <w:tblPr>
        <w:tblW w:w="0" w:type="auto"/>
        <w:tblLayout w:type="fixed"/>
        <w:tblLook w:val="0000" w:firstRow="0" w:lastRow="0" w:firstColumn="0" w:lastColumn="0" w:noHBand="0" w:noVBand="0"/>
      </w:tblPr>
      <w:tblGrid>
        <w:gridCol w:w="1728"/>
        <w:gridCol w:w="7740"/>
      </w:tblGrid>
      <w:tr w:rsidR="006B0B7C" w:rsidRPr="00E14EB4" w14:paraId="2DC59DB5" w14:textId="77777777" w:rsidTr="006B0B7C">
        <w:tc>
          <w:tcPr>
            <w:tcW w:w="1728" w:type="dxa"/>
            <w:shd w:val="clear" w:color="auto" w:fill="auto"/>
          </w:tcPr>
          <w:p w14:paraId="2A89ECB5" w14:textId="5A1F622B" w:rsidR="006B0B7C" w:rsidRPr="00E14EB4" w:rsidRDefault="006B0B7C" w:rsidP="00566B10">
            <w:pPr>
              <w:pStyle w:val="Heading5"/>
            </w:pPr>
            <w:r w:rsidRPr="00E14EB4">
              <w:t xml:space="preserve">f. </w:t>
            </w:r>
            <w:r w:rsidR="002F4B74" w:rsidRPr="00E14EB4">
              <w:t xml:space="preserve"> </w:t>
            </w:r>
            <w:r w:rsidRPr="00E14EB4">
              <w:t xml:space="preserve">Temporary SAH </w:t>
            </w:r>
            <w:r w:rsidR="00566B10" w:rsidRPr="00E14EB4">
              <w:t xml:space="preserve">Criteria </w:t>
            </w:r>
            <w:r w:rsidRPr="00E14EB4">
              <w:t>Under P</w:t>
            </w:r>
            <w:r w:rsidR="004D626D" w:rsidRPr="00E14EB4">
              <w:t>L</w:t>
            </w:r>
            <w:r w:rsidRPr="00E14EB4">
              <w:t xml:space="preserve"> 112-154</w:t>
            </w:r>
          </w:p>
        </w:tc>
        <w:tc>
          <w:tcPr>
            <w:tcW w:w="7740" w:type="dxa"/>
            <w:shd w:val="clear" w:color="auto" w:fill="auto"/>
          </w:tcPr>
          <w:p w14:paraId="084AA437" w14:textId="24BFBDC9" w:rsidR="00261081" w:rsidRPr="00E14EB4" w:rsidRDefault="006B0B7C" w:rsidP="006B0B7C">
            <w:pPr>
              <w:pStyle w:val="BlockText"/>
            </w:pPr>
            <w:r w:rsidRPr="00E14EB4">
              <w:t xml:space="preserve">Section 202 of </w:t>
            </w:r>
            <w:r w:rsidR="004D626D" w:rsidRPr="00E14EB4">
              <w:rPr>
                <w:i/>
              </w:rPr>
              <w:t>PL</w:t>
            </w:r>
            <w:r w:rsidRPr="00E14EB4">
              <w:rPr>
                <w:i/>
              </w:rPr>
              <w:t xml:space="preserve"> 112-154</w:t>
            </w:r>
            <w:r w:rsidRPr="00E14EB4">
              <w:t xml:space="preserve"> amend</w:t>
            </w:r>
            <w:r w:rsidR="00261081" w:rsidRPr="00E14EB4">
              <w:t>ed</w:t>
            </w:r>
            <w:r w:rsidRPr="00E14EB4">
              <w:t xml:space="preserve"> </w:t>
            </w:r>
            <w:hyperlink r:id="rId38" w:history="1">
              <w:r w:rsidRPr="00E14EB4">
                <w:rPr>
                  <w:rStyle w:val="Hyperlink"/>
                </w:rPr>
                <w:t>38 U.S.C. § 2101(a)(2)</w:t>
              </w:r>
            </w:hyperlink>
            <w:r w:rsidRPr="00E14EB4">
              <w:t xml:space="preserve"> to temporarily expand eligibility for SAH for Veterans who served and became permanently disabled o</w:t>
            </w:r>
            <w:r w:rsidR="00261081" w:rsidRPr="00E14EB4">
              <w:t xml:space="preserve">n or after September 11, 2001. </w:t>
            </w:r>
            <w:r w:rsidR="002F17A6" w:rsidRPr="00E14EB4">
              <w:t xml:space="preserve"> </w:t>
            </w:r>
            <w:r w:rsidR="00261081" w:rsidRPr="00E14EB4">
              <w:t xml:space="preserve">The statutory change went into effect October 1, 2012. </w:t>
            </w:r>
          </w:p>
          <w:p w14:paraId="328A77E5" w14:textId="77777777" w:rsidR="00261081" w:rsidRPr="00E14EB4" w:rsidRDefault="00261081" w:rsidP="006B0B7C">
            <w:pPr>
              <w:pStyle w:val="BlockText"/>
            </w:pPr>
          </w:p>
          <w:p w14:paraId="05266296" w14:textId="77777777" w:rsidR="006B0B7C" w:rsidRPr="00E14EB4" w:rsidRDefault="00261081" w:rsidP="006B0B7C">
            <w:pPr>
              <w:pStyle w:val="BlockText"/>
            </w:pPr>
            <w:r w:rsidRPr="00E14EB4">
              <w:t xml:space="preserve">The amendment </w:t>
            </w:r>
            <w:r w:rsidR="006B0B7C" w:rsidRPr="00E14EB4">
              <w:t>adds a basis for qualification</w:t>
            </w:r>
            <w:r w:rsidRPr="00E14EB4">
              <w:t xml:space="preserve"> for SAH</w:t>
            </w:r>
            <w:r w:rsidR="006B0B7C" w:rsidRPr="00E14EB4">
              <w:t xml:space="preserve">: permanent loss or loss of use of one or more lower extremities, severely affecting the functions of balance or propulsion as to preclude locomotion without the use of braces, crutches, canes, or a wheelchair.  </w:t>
            </w:r>
          </w:p>
          <w:p w14:paraId="2CA0D887" w14:textId="77777777" w:rsidR="00261081" w:rsidRPr="00E14EB4" w:rsidRDefault="00261081" w:rsidP="006B0B7C">
            <w:pPr>
              <w:pStyle w:val="BlockText"/>
            </w:pPr>
          </w:p>
          <w:p w14:paraId="319F8A30" w14:textId="5EDE1C62" w:rsidR="006B0B7C" w:rsidRPr="00E14EB4" w:rsidRDefault="00261081" w:rsidP="006B0B7C">
            <w:pPr>
              <w:pStyle w:val="BlockText"/>
            </w:pPr>
            <w:r w:rsidRPr="00E14EB4">
              <w:t>The law, as extended by</w:t>
            </w:r>
            <w:r w:rsidR="00BB474E" w:rsidRPr="00E14EB4">
              <w:t xml:space="preserve"> </w:t>
            </w:r>
            <w:r w:rsidR="00BB474E" w:rsidRPr="00E14EB4">
              <w:rPr>
                <w:i/>
              </w:rPr>
              <w:t>PL</w:t>
            </w:r>
            <w:r w:rsidR="004C345A" w:rsidRPr="00E14EB4">
              <w:rPr>
                <w:i/>
              </w:rPr>
              <w:t>114-58</w:t>
            </w:r>
            <w:r w:rsidRPr="00E14EB4">
              <w:t xml:space="preserve">, </w:t>
            </w:r>
            <w:r w:rsidR="006B0B7C" w:rsidRPr="00E14EB4">
              <w:t>authorizes SAH assistance only for applications approved by September 30, 201</w:t>
            </w:r>
            <w:r w:rsidR="004C345A" w:rsidRPr="00E14EB4">
              <w:t>6</w:t>
            </w:r>
            <w:r w:rsidR="006B0B7C" w:rsidRPr="00E14EB4">
              <w:t>.</w:t>
            </w:r>
          </w:p>
          <w:p w14:paraId="5085106E" w14:textId="77777777" w:rsidR="006B0B7C" w:rsidRPr="00E14EB4" w:rsidRDefault="006B0B7C" w:rsidP="006B0B7C">
            <w:pPr>
              <w:pStyle w:val="BlockText"/>
            </w:pPr>
          </w:p>
          <w:p w14:paraId="1BD42042" w14:textId="77777777" w:rsidR="006B0B7C" w:rsidRPr="00E14EB4" w:rsidRDefault="006B0B7C" w:rsidP="006B0B7C">
            <w:pPr>
              <w:pStyle w:val="BlockText"/>
            </w:pPr>
            <w:r w:rsidRPr="00E14EB4">
              <w:rPr>
                <w:b/>
                <w:i/>
              </w:rPr>
              <w:t>Notes</w:t>
            </w:r>
            <w:r w:rsidRPr="00E14EB4">
              <w:t xml:space="preserve">: </w:t>
            </w:r>
          </w:p>
          <w:p w14:paraId="33E644B7" w14:textId="4D1F8CC7" w:rsidR="006B0B7C" w:rsidRPr="00E14EB4" w:rsidRDefault="006B0B7C" w:rsidP="006B0B7C">
            <w:pPr>
              <w:pStyle w:val="BulletText1"/>
            </w:pPr>
            <w:r w:rsidRPr="00E14EB4">
              <w:t xml:space="preserve">Although the Section 202 amendment refers to </w:t>
            </w:r>
            <w:r w:rsidR="00D0790A" w:rsidRPr="00E14EB4">
              <w:t>“</w:t>
            </w:r>
            <w:r w:rsidRPr="00E14EB4">
              <w:t>Veterans</w:t>
            </w:r>
            <w:r w:rsidR="00D0790A" w:rsidRPr="00E14EB4">
              <w:t>”</w:t>
            </w:r>
            <w:r w:rsidRPr="00E14EB4">
              <w:t xml:space="preserve">, under </w:t>
            </w:r>
            <w:hyperlink r:id="rId39" w:history="1">
              <w:r w:rsidRPr="00E14EB4">
                <w:rPr>
                  <w:rStyle w:val="Hyperlink"/>
                </w:rPr>
                <w:t>38 U</w:t>
              </w:r>
              <w:r w:rsidR="001F7B73" w:rsidRPr="00E14EB4">
                <w:rPr>
                  <w:rStyle w:val="Hyperlink"/>
                </w:rPr>
                <w:t>.</w:t>
              </w:r>
              <w:r w:rsidRPr="00E14EB4">
                <w:rPr>
                  <w:rStyle w:val="Hyperlink"/>
                </w:rPr>
                <w:t>S</w:t>
              </w:r>
              <w:r w:rsidR="001F7B73" w:rsidRPr="00E14EB4">
                <w:rPr>
                  <w:rStyle w:val="Hyperlink"/>
                </w:rPr>
                <w:t>.</w:t>
              </w:r>
              <w:r w:rsidRPr="00E14EB4">
                <w:rPr>
                  <w:rStyle w:val="Hyperlink"/>
                </w:rPr>
                <w:t>C</w:t>
              </w:r>
              <w:r w:rsidR="001F7B73" w:rsidRPr="00E14EB4">
                <w:rPr>
                  <w:rStyle w:val="Hyperlink"/>
                </w:rPr>
                <w:t>.</w:t>
              </w:r>
              <w:r w:rsidRPr="00E14EB4">
                <w:rPr>
                  <w:rStyle w:val="Hyperlink"/>
                </w:rPr>
                <w:t xml:space="preserve"> 2101A</w:t>
              </w:r>
            </w:hyperlink>
            <w:r w:rsidRPr="00E14EB4">
              <w:t xml:space="preserve"> any reference to </w:t>
            </w:r>
            <w:r w:rsidR="00D0790A" w:rsidRPr="00E14EB4">
              <w:t>“</w:t>
            </w:r>
            <w:r w:rsidRPr="00E14EB4">
              <w:t>Veteran</w:t>
            </w:r>
            <w:r w:rsidR="00D0790A" w:rsidRPr="00E14EB4">
              <w:t>s”</w:t>
            </w:r>
            <w:r w:rsidRPr="00E14EB4">
              <w:t xml:space="preserve"> in the chapter include</w:t>
            </w:r>
            <w:r w:rsidR="00D0790A" w:rsidRPr="00E14EB4">
              <w:t>s</w:t>
            </w:r>
            <w:r w:rsidRPr="00E14EB4">
              <w:t xml:space="preserve"> active duty service members with a qualifying disability incurred or aggravated in the line of duty.  </w:t>
            </w:r>
          </w:p>
          <w:p w14:paraId="23E6F7EC" w14:textId="77777777" w:rsidR="006B0B7C" w:rsidRPr="00E14EB4" w:rsidRDefault="006B0B7C" w:rsidP="003D4B6D">
            <w:pPr>
              <w:pStyle w:val="BulletText1"/>
            </w:pPr>
            <w:r w:rsidRPr="00E14EB4">
              <w:t>Loss or loss of use under the temporary eligibility provisions does not have to be totally disabling.</w:t>
            </w:r>
          </w:p>
          <w:p w14:paraId="3D4C28CA" w14:textId="5A86C0F0" w:rsidR="005E47C3" w:rsidRPr="00E14EB4" w:rsidRDefault="00261081" w:rsidP="001847D7">
            <w:pPr>
              <w:pStyle w:val="BulletText1"/>
            </w:pPr>
            <w:r w:rsidRPr="00E14EB4">
              <w:rPr>
                <w:i/>
              </w:rPr>
              <w:t>P</w:t>
            </w:r>
            <w:r w:rsidR="004D626D" w:rsidRPr="00E14EB4">
              <w:rPr>
                <w:i/>
              </w:rPr>
              <w:t>L</w:t>
            </w:r>
            <w:r w:rsidRPr="00E14EB4">
              <w:rPr>
                <w:i/>
              </w:rPr>
              <w:t xml:space="preserve"> </w:t>
            </w:r>
            <w:r w:rsidR="004C345A" w:rsidRPr="00E14EB4">
              <w:rPr>
                <w:i/>
              </w:rPr>
              <w:t>114-58</w:t>
            </w:r>
            <w:r w:rsidRPr="00E14EB4">
              <w:t xml:space="preserve"> provides that the Secretary may not approve </w:t>
            </w:r>
            <w:r w:rsidR="005E47C3" w:rsidRPr="00E14EB4">
              <w:t xml:space="preserve">payment of </w:t>
            </w:r>
            <w:r w:rsidRPr="00E14EB4">
              <w:t>more than 30 applications for assistance under the temporary provisions</w:t>
            </w:r>
            <w:r w:rsidR="001847D7" w:rsidRPr="00E14EB4">
              <w:t>, per Fiscal Year (FY),</w:t>
            </w:r>
            <w:r w:rsidRPr="00E14EB4">
              <w:t xml:space="preserve"> during FY</w:t>
            </w:r>
            <w:r w:rsidR="004C345A" w:rsidRPr="00E14EB4">
              <w:t>s</w:t>
            </w:r>
            <w:r w:rsidRPr="00E14EB4">
              <w:t xml:space="preserve"> </w:t>
            </w:r>
            <w:r w:rsidR="004C345A" w:rsidRPr="00E14EB4">
              <w:t>2014 thru 2016</w:t>
            </w:r>
            <w:r w:rsidRPr="00E14EB4">
              <w:t xml:space="preserve">.  This does not affect </w:t>
            </w:r>
            <w:r w:rsidR="004D0D09" w:rsidRPr="00E14EB4">
              <w:t>r</w:t>
            </w:r>
            <w:r w:rsidR="005E47C3" w:rsidRPr="00E14EB4">
              <w:t xml:space="preserve">egional </w:t>
            </w:r>
            <w:r w:rsidR="004D0D09" w:rsidRPr="00E14EB4">
              <w:t>o</w:t>
            </w:r>
            <w:r w:rsidR="005E47C3" w:rsidRPr="00E14EB4">
              <w:t>ffice</w:t>
            </w:r>
            <w:r w:rsidR="00F71E87" w:rsidRPr="00E14EB4">
              <w:t xml:space="preserve"> (RO)</w:t>
            </w:r>
            <w:r w:rsidR="005E47C3" w:rsidRPr="00E14EB4">
              <w:t xml:space="preserve"> </w:t>
            </w:r>
            <w:r w:rsidRPr="00E14EB4">
              <w:t>processing of SAH issue</w:t>
            </w:r>
            <w:r w:rsidR="005E47C3" w:rsidRPr="00E14EB4">
              <w:t xml:space="preserve">s. </w:t>
            </w:r>
          </w:p>
        </w:tc>
      </w:tr>
    </w:tbl>
    <w:p w14:paraId="5E126583" w14:textId="2F92FCB5" w:rsidR="003904DC" w:rsidRPr="00E14EB4" w:rsidRDefault="003904DC">
      <w:r w:rsidRPr="00E14EB4">
        <w:br w:type="page"/>
      </w:r>
    </w:p>
    <w:p w14:paraId="02CD3DF7" w14:textId="571BEBD9" w:rsidR="00EE5DBB" w:rsidRPr="00E14EB4" w:rsidRDefault="00EE5DBB">
      <w:pPr>
        <w:pStyle w:val="Heading4"/>
      </w:pPr>
      <w:r w:rsidRPr="00E14EB4">
        <w:lastRenderedPageBreak/>
        <w:t xml:space="preserve">2.  </w:t>
      </w:r>
      <w:r w:rsidR="00DC5081" w:rsidRPr="00E14EB4">
        <w:t>Responsibility</w:t>
      </w:r>
      <w:r w:rsidRPr="00E14EB4">
        <w:t xml:space="preserve"> for </w:t>
      </w:r>
      <w:r w:rsidR="00DC5081" w:rsidRPr="00E14EB4">
        <w:t xml:space="preserve">Determinations in </w:t>
      </w:r>
      <w:r w:rsidRPr="00E14EB4">
        <w:t>SAH or SHA Claims</w:t>
      </w:r>
    </w:p>
    <w:p w14:paraId="16CEEB60" w14:textId="185C6F7B" w:rsidR="007E2D05" w:rsidRPr="00E14EB4" w:rsidRDefault="007E2D05" w:rsidP="007E2D05">
      <w:pPr>
        <w:pStyle w:val="BlockLine"/>
      </w:pPr>
    </w:p>
    <w:tbl>
      <w:tblPr>
        <w:tblW w:w="0" w:type="auto"/>
        <w:tblLayout w:type="fixed"/>
        <w:tblLook w:val="0000" w:firstRow="0" w:lastRow="0" w:firstColumn="0" w:lastColumn="0" w:noHBand="0" w:noVBand="0"/>
      </w:tblPr>
      <w:tblGrid>
        <w:gridCol w:w="1728"/>
        <w:gridCol w:w="7740"/>
      </w:tblGrid>
      <w:tr w:rsidR="00EE5DBB" w:rsidRPr="00E14EB4" w14:paraId="2002A8C9" w14:textId="77777777">
        <w:trPr>
          <w:cantSplit/>
        </w:trPr>
        <w:tc>
          <w:tcPr>
            <w:tcW w:w="1728" w:type="dxa"/>
          </w:tcPr>
          <w:p w14:paraId="1B286FA9" w14:textId="77777777" w:rsidR="00EE5DBB" w:rsidRPr="00E14EB4" w:rsidRDefault="00EE5DBB">
            <w:pPr>
              <w:pStyle w:val="Heading5"/>
            </w:pPr>
            <w:r w:rsidRPr="00E14EB4">
              <w:t>Introduction</w:t>
            </w:r>
          </w:p>
        </w:tc>
        <w:tc>
          <w:tcPr>
            <w:tcW w:w="7740" w:type="dxa"/>
          </w:tcPr>
          <w:p w14:paraId="79507032" w14:textId="7EA48F3A" w:rsidR="00EE5DBB" w:rsidRPr="00E14EB4" w:rsidRDefault="00EE5DBB">
            <w:pPr>
              <w:pStyle w:val="BlockText"/>
            </w:pPr>
            <w:r w:rsidRPr="00E14EB4">
              <w:t xml:space="preserve">This topic contains information on  </w:t>
            </w:r>
            <w:r w:rsidR="00DC5081" w:rsidRPr="00E14EB4">
              <w:t xml:space="preserve">the responsibility of different VA divisions for making determinations in </w:t>
            </w:r>
            <w:r w:rsidRPr="00E14EB4">
              <w:t xml:space="preserve">SAH or SHA claims, including </w:t>
            </w:r>
          </w:p>
          <w:p w14:paraId="1DED2B26" w14:textId="77777777" w:rsidR="00EE5DBB" w:rsidRPr="00E14EB4" w:rsidRDefault="00EE5DBB">
            <w:pPr>
              <w:pStyle w:val="BlockText"/>
            </w:pPr>
          </w:p>
          <w:p w14:paraId="3E1B30A4" w14:textId="0A178E52" w:rsidR="00566B10" w:rsidRPr="00E14EB4" w:rsidRDefault="00EE5DBB">
            <w:pPr>
              <w:pStyle w:val="BulletText1"/>
            </w:pPr>
            <w:r w:rsidRPr="00E14EB4">
              <w:t>responsibility for determining SAH/SHA eligibility</w:t>
            </w:r>
            <w:r w:rsidR="00DC5081" w:rsidRPr="00E14EB4">
              <w:t xml:space="preserve"> and entitlement</w:t>
            </w:r>
            <w:r w:rsidR="00584ECD" w:rsidRPr="00E14EB4">
              <w:t>, and</w:t>
            </w:r>
          </w:p>
          <w:p w14:paraId="78B3AD0C" w14:textId="44BBA8FE" w:rsidR="00EE5DBB" w:rsidRPr="00E14EB4" w:rsidRDefault="008B43C7" w:rsidP="00566B10">
            <w:pPr>
              <w:pStyle w:val="BulletText1"/>
            </w:pPr>
            <w:r w:rsidRPr="00E14EB4">
              <w:t xml:space="preserve">responsibility for </w:t>
            </w:r>
            <w:r w:rsidR="00EE5DBB" w:rsidRPr="00E14EB4">
              <w:t xml:space="preserve">medical </w:t>
            </w:r>
            <w:r w:rsidR="00C07ADD" w:rsidRPr="00E14EB4">
              <w:t>feasibility</w:t>
            </w:r>
            <w:r w:rsidR="00EE5DBB" w:rsidRPr="00E14EB4">
              <w:t xml:space="preserve"> </w:t>
            </w:r>
            <w:r w:rsidRPr="00E14EB4">
              <w:t xml:space="preserve">determinations </w:t>
            </w:r>
            <w:r w:rsidR="00EE5DBB" w:rsidRPr="00E14EB4">
              <w:t>in SAH/SHA claims</w:t>
            </w:r>
            <w:r w:rsidR="00584ECD" w:rsidRPr="00E14EB4">
              <w:t>.</w:t>
            </w:r>
          </w:p>
        </w:tc>
      </w:tr>
    </w:tbl>
    <w:p w14:paraId="2111F16D" w14:textId="77777777" w:rsidR="00EE5DBB" w:rsidRPr="00E14EB4"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E14EB4" w14:paraId="6A1E9620" w14:textId="77777777">
        <w:trPr>
          <w:cantSplit/>
        </w:trPr>
        <w:tc>
          <w:tcPr>
            <w:tcW w:w="1728" w:type="dxa"/>
          </w:tcPr>
          <w:p w14:paraId="4867A43C" w14:textId="77777777" w:rsidR="00EE5DBB" w:rsidRPr="00E14EB4" w:rsidRDefault="00EE5DBB">
            <w:pPr>
              <w:pStyle w:val="Heading5"/>
            </w:pPr>
            <w:r w:rsidRPr="00E14EB4">
              <w:t>Change Date</w:t>
            </w:r>
          </w:p>
        </w:tc>
        <w:tc>
          <w:tcPr>
            <w:tcW w:w="7740" w:type="dxa"/>
          </w:tcPr>
          <w:p w14:paraId="4B147022" w14:textId="254637B8" w:rsidR="00EE5DBB" w:rsidRPr="00E14EB4" w:rsidRDefault="00CF575E" w:rsidP="00011E4A">
            <w:pPr>
              <w:pStyle w:val="BlockText"/>
            </w:pPr>
            <w:r w:rsidRPr="00E14EB4">
              <w:t>July 15, 2015</w:t>
            </w:r>
          </w:p>
        </w:tc>
      </w:tr>
    </w:tbl>
    <w:p w14:paraId="138657A3" w14:textId="77777777" w:rsidR="008D7AB7" w:rsidRPr="00E14EB4" w:rsidRDefault="008D7AB7" w:rsidP="008D7AB7">
      <w:pPr>
        <w:pStyle w:val="BlockLine"/>
      </w:pPr>
    </w:p>
    <w:tbl>
      <w:tblPr>
        <w:tblW w:w="0" w:type="auto"/>
        <w:tblLayout w:type="fixed"/>
        <w:tblLook w:val="0000" w:firstRow="0" w:lastRow="0" w:firstColumn="0" w:lastColumn="0" w:noHBand="0" w:noVBand="0"/>
      </w:tblPr>
      <w:tblGrid>
        <w:gridCol w:w="1728"/>
        <w:gridCol w:w="7740"/>
      </w:tblGrid>
      <w:tr w:rsidR="00EE5DBB" w:rsidRPr="00E14EB4" w14:paraId="03C497CB" w14:textId="77777777">
        <w:trPr>
          <w:cantSplit/>
        </w:trPr>
        <w:tc>
          <w:tcPr>
            <w:tcW w:w="1728" w:type="dxa"/>
          </w:tcPr>
          <w:p w14:paraId="62E679F3" w14:textId="2D59D847" w:rsidR="00EE5DBB" w:rsidRPr="00E14EB4" w:rsidRDefault="00EE5DBB" w:rsidP="00490C2A">
            <w:pPr>
              <w:pStyle w:val="Heading5"/>
            </w:pPr>
            <w:r w:rsidRPr="00E14EB4">
              <w:t>a</w:t>
            </w:r>
            <w:r w:rsidR="00490C2A" w:rsidRPr="00E14EB4">
              <w:t>.</w:t>
            </w:r>
            <w:r w:rsidRPr="00E14EB4">
              <w:t xml:space="preserve">  Responsibility for Determining SAH/SHA Eligibility</w:t>
            </w:r>
            <w:r w:rsidR="00DC5081" w:rsidRPr="00E14EB4">
              <w:t xml:space="preserve"> and Entitlement</w:t>
            </w:r>
          </w:p>
        </w:tc>
        <w:tc>
          <w:tcPr>
            <w:tcW w:w="7740" w:type="dxa"/>
          </w:tcPr>
          <w:p w14:paraId="5AA9C15D" w14:textId="11C7E838" w:rsidR="0054088D" w:rsidRPr="00E14EB4" w:rsidRDefault="00B068B6" w:rsidP="00B068B6">
            <w:pPr>
              <w:pStyle w:val="BlockText"/>
            </w:pPr>
            <w:r w:rsidRPr="00E14EB4">
              <w:t xml:space="preserve">The table below lists the relative responsibilities of </w:t>
            </w:r>
            <w:r w:rsidR="006A13F4" w:rsidRPr="00E14EB4">
              <w:t xml:space="preserve">the </w:t>
            </w:r>
            <w:r w:rsidRPr="00E14EB4">
              <w:t>Loan Guaranty Division</w:t>
            </w:r>
            <w:r w:rsidR="006A13F4" w:rsidRPr="00E14EB4">
              <w:t>’s Regional Loan Center (RLC)</w:t>
            </w:r>
            <w:r w:rsidRPr="00E14EB4">
              <w:t xml:space="preserve"> and the </w:t>
            </w:r>
            <w:r w:rsidR="00C37F94" w:rsidRPr="00E14EB4">
              <w:t>Veterans Service Center (</w:t>
            </w:r>
            <w:r w:rsidRPr="00E14EB4">
              <w:t>VSC</w:t>
            </w:r>
            <w:r w:rsidR="00C37F94" w:rsidRPr="00E14EB4">
              <w:t>)</w:t>
            </w:r>
            <w:r w:rsidRPr="00E14EB4">
              <w:t xml:space="preserve"> in determining SAH/SHA eligibility and entitlement. </w:t>
            </w:r>
          </w:p>
          <w:p w14:paraId="3D6C0126" w14:textId="77777777" w:rsidR="00B068B6" w:rsidRPr="00E14EB4" w:rsidRDefault="00B068B6" w:rsidP="00B068B6">
            <w:pPr>
              <w:pStyle w:val="BlockText"/>
            </w:pPr>
          </w:p>
          <w:p w14:paraId="3F24D9CE" w14:textId="7DB1EEB7" w:rsidR="00B068B6" w:rsidRPr="00E14EB4" w:rsidRDefault="00B068B6" w:rsidP="00B33673">
            <w:pPr>
              <w:pStyle w:val="BulletText1"/>
              <w:numPr>
                <w:ilvl w:val="0"/>
                <w:numId w:val="0"/>
              </w:numPr>
              <w:ind w:left="173" w:hanging="173"/>
            </w:pPr>
          </w:p>
        </w:tc>
      </w:tr>
    </w:tbl>
    <w:p w14:paraId="28000610" w14:textId="7276D17C" w:rsidR="00EE5DBB" w:rsidRPr="00E14EB4" w:rsidRDefault="00EE5DBB" w:rsidP="00584ECD"/>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584ECD" w:rsidRPr="00E14EB4" w14:paraId="7866D88C" w14:textId="77777777" w:rsidTr="00B068B6">
        <w:tc>
          <w:tcPr>
            <w:tcW w:w="4660" w:type="dxa"/>
            <w:shd w:val="clear" w:color="auto" w:fill="auto"/>
          </w:tcPr>
          <w:p w14:paraId="1D890FF8" w14:textId="599D1C01" w:rsidR="00584ECD" w:rsidRPr="00E14EB4" w:rsidRDefault="00584ECD" w:rsidP="00E0317D">
            <w:pPr>
              <w:pStyle w:val="TableHeaderText"/>
              <w:jc w:val="left"/>
            </w:pPr>
            <w:r w:rsidRPr="00E14EB4">
              <w:t xml:space="preserve">The </w:t>
            </w:r>
            <w:r w:rsidR="006A13F4" w:rsidRPr="00E14EB4">
              <w:t>RLC</w:t>
            </w:r>
            <w:r w:rsidRPr="00E14EB4">
              <w:t xml:space="preserve"> is Responsible for …</w:t>
            </w:r>
          </w:p>
        </w:tc>
        <w:tc>
          <w:tcPr>
            <w:tcW w:w="4660" w:type="dxa"/>
            <w:shd w:val="clear" w:color="auto" w:fill="auto"/>
          </w:tcPr>
          <w:p w14:paraId="2E3668FF" w14:textId="77D7A267" w:rsidR="00584ECD" w:rsidRPr="00E14EB4" w:rsidRDefault="00584ECD" w:rsidP="00E0317D">
            <w:pPr>
              <w:pStyle w:val="TableHeaderText"/>
              <w:jc w:val="left"/>
            </w:pPr>
            <w:r w:rsidRPr="00E14EB4">
              <w:t>The VSC is Responsible for …</w:t>
            </w:r>
          </w:p>
        </w:tc>
      </w:tr>
      <w:tr w:rsidR="00584ECD" w:rsidRPr="00E14EB4" w14:paraId="312BF60F" w14:textId="77777777" w:rsidTr="00B068B6">
        <w:tc>
          <w:tcPr>
            <w:tcW w:w="4660" w:type="dxa"/>
            <w:shd w:val="clear" w:color="auto" w:fill="auto"/>
          </w:tcPr>
          <w:p w14:paraId="3F8947AE" w14:textId="70CB8C5A" w:rsidR="00584ECD" w:rsidRPr="00E14EB4" w:rsidRDefault="00584ECD" w:rsidP="00584ECD">
            <w:pPr>
              <w:pStyle w:val="BlockText"/>
            </w:pPr>
            <w:r w:rsidRPr="00E14EB4">
              <w:t>determinin</w:t>
            </w:r>
            <w:r w:rsidR="00B068B6" w:rsidRPr="00E14EB4">
              <w:t>g entitlement to</w:t>
            </w:r>
            <w:r w:rsidRPr="00E14EB4">
              <w:t>, and payment of</w:t>
            </w:r>
            <w:r w:rsidR="00B068B6" w:rsidRPr="00E14EB4">
              <w:t>,</w:t>
            </w:r>
            <w:r w:rsidRPr="00E14EB4">
              <w:t xml:space="preserve"> SAH and SHA.  </w:t>
            </w:r>
          </w:p>
          <w:p w14:paraId="742D210C" w14:textId="77777777" w:rsidR="00584ECD" w:rsidRPr="00E14EB4" w:rsidRDefault="00584ECD" w:rsidP="00584ECD">
            <w:pPr>
              <w:pStyle w:val="BlockText"/>
            </w:pPr>
          </w:p>
          <w:p w14:paraId="0259C405" w14:textId="7F70EFE1" w:rsidR="00584ECD" w:rsidRPr="00E14EB4" w:rsidRDefault="00B068B6" w:rsidP="00584ECD">
            <w:pPr>
              <w:pStyle w:val="BlockText"/>
            </w:pPr>
            <w:r w:rsidRPr="00E14EB4">
              <w:t>C</w:t>
            </w:r>
            <w:r w:rsidR="00584ECD" w:rsidRPr="00E14EB4">
              <w:t>onditional approval include</w:t>
            </w:r>
            <w:r w:rsidRPr="00E14EB4">
              <w:t>s</w:t>
            </w:r>
            <w:r w:rsidR="00584ECD" w:rsidRPr="00E14EB4">
              <w:t xml:space="preserve"> </w:t>
            </w:r>
            <w:r w:rsidRPr="00E14EB4">
              <w:t>consideration of</w:t>
            </w:r>
            <w:r w:rsidR="00584ECD" w:rsidRPr="00E14EB4">
              <w:t xml:space="preserve"> </w:t>
            </w:r>
          </w:p>
          <w:p w14:paraId="4A3B62E6" w14:textId="2ED3E8E3" w:rsidR="00584ECD" w:rsidRPr="00E14EB4" w:rsidRDefault="00584ECD" w:rsidP="00584ECD">
            <w:pPr>
              <w:pStyle w:val="BulletText1"/>
            </w:pPr>
            <w:r w:rsidRPr="00E14EB4">
              <w:t>dis</w:t>
            </w:r>
            <w:r w:rsidR="00B068B6" w:rsidRPr="00E14EB4">
              <w:t>a</w:t>
            </w:r>
            <w:r w:rsidRPr="00E14EB4">
              <w:t>bility requirements</w:t>
            </w:r>
          </w:p>
          <w:p w14:paraId="53F03058" w14:textId="657A3D23" w:rsidR="00584ECD" w:rsidRPr="00E14EB4" w:rsidRDefault="00B068B6" w:rsidP="00584ECD">
            <w:pPr>
              <w:pStyle w:val="BulletText1"/>
            </w:pPr>
            <w:r w:rsidRPr="00E14EB4">
              <w:t>feasibility and suitability, and</w:t>
            </w:r>
          </w:p>
          <w:p w14:paraId="5D897A06" w14:textId="77777777" w:rsidR="00584ECD" w:rsidRPr="00E14EB4" w:rsidRDefault="00584ECD" w:rsidP="00584ECD">
            <w:pPr>
              <w:pStyle w:val="BulletText1"/>
            </w:pPr>
            <w:r w:rsidRPr="00E14EB4">
              <w:t xml:space="preserve">usage or dollar amounts of assistance available vs. any amounts previously paid.  </w:t>
            </w:r>
          </w:p>
          <w:p w14:paraId="7080909F" w14:textId="77777777" w:rsidR="00584ECD" w:rsidRPr="00E14EB4" w:rsidRDefault="00584ECD" w:rsidP="00584ECD">
            <w:pPr>
              <w:pStyle w:val="BlockText"/>
            </w:pPr>
          </w:p>
          <w:p w14:paraId="0F39229E" w14:textId="77777777" w:rsidR="00584ECD" w:rsidRPr="00E14EB4" w:rsidRDefault="00584ECD" w:rsidP="00B068B6">
            <w:pPr>
              <w:pStyle w:val="TableText"/>
            </w:pPr>
            <w:r w:rsidRPr="00E14EB4">
              <w:t xml:space="preserve">Final approval requires consideration of property requirements including </w:t>
            </w:r>
          </w:p>
          <w:p w14:paraId="609792A5" w14:textId="1F422743" w:rsidR="00584ECD" w:rsidRPr="00E14EB4" w:rsidRDefault="00584ECD" w:rsidP="00584ECD">
            <w:pPr>
              <w:pStyle w:val="BulletText1"/>
            </w:pPr>
            <w:r w:rsidRPr="00E14EB4">
              <w:t>details</w:t>
            </w:r>
            <w:r w:rsidR="00B068B6" w:rsidRPr="00E14EB4">
              <w:t xml:space="preserve"> of proposed adaptations</w:t>
            </w:r>
          </w:p>
          <w:p w14:paraId="39D037E9" w14:textId="6C6ECFCB" w:rsidR="00584ECD" w:rsidRPr="00E14EB4" w:rsidRDefault="00584ECD" w:rsidP="00584ECD">
            <w:pPr>
              <w:pStyle w:val="BulletText1"/>
            </w:pPr>
            <w:r w:rsidRPr="00E14EB4">
              <w:t>ownership</w:t>
            </w:r>
          </w:p>
          <w:p w14:paraId="7A33F134" w14:textId="4B2EAA2B" w:rsidR="00584ECD" w:rsidRPr="00E14EB4" w:rsidRDefault="00584ECD" w:rsidP="00584ECD">
            <w:pPr>
              <w:pStyle w:val="BulletText1"/>
            </w:pPr>
            <w:r w:rsidRPr="00E14EB4">
              <w:t>certifications</w:t>
            </w:r>
          </w:p>
          <w:p w14:paraId="261E0A83" w14:textId="5C909E37" w:rsidR="00584ECD" w:rsidRPr="00E14EB4" w:rsidRDefault="00B068B6" w:rsidP="00584ECD">
            <w:pPr>
              <w:pStyle w:val="BulletText1"/>
            </w:pPr>
            <w:r w:rsidRPr="00E14EB4">
              <w:t>insurance, and</w:t>
            </w:r>
          </w:p>
          <w:p w14:paraId="1C8E71DE" w14:textId="6E5BE64A" w:rsidR="00584ECD" w:rsidRPr="00E14EB4" w:rsidRDefault="00584ECD" w:rsidP="00584ECD">
            <w:pPr>
              <w:pStyle w:val="BulletText1"/>
            </w:pPr>
            <w:r w:rsidRPr="00E14EB4">
              <w:t>geographical limitations.</w:t>
            </w:r>
            <w:r w:rsidR="00A41C78" w:rsidRPr="00E14EB4">
              <w:t xml:space="preserve">  </w:t>
            </w:r>
          </w:p>
        </w:tc>
        <w:tc>
          <w:tcPr>
            <w:tcW w:w="4660" w:type="dxa"/>
            <w:shd w:val="clear" w:color="auto" w:fill="auto"/>
          </w:tcPr>
          <w:p w14:paraId="1FB300A1" w14:textId="5EE6A6A5" w:rsidR="00584ECD" w:rsidRPr="00E14EB4" w:rsidRDefault="00584ECD" w:rsidP="00DB04BE">
            <w:pPr>
              <w:pStyle w:val="TableText"/>
            </w:pPr>
            <w:r w:rsidRPr="00E14EB4">
              <w:t xml:space="preserve">making </w:t>
            </w:r>
            <w:r w:rsidR="00B068B6" w:rsidRPr="00E14EB4">
              <w:t>determination</w:t>
            </w:r>
            <w:r w:rsidR="00BB121C" w:rsidRPr="00E14EB4">
              <w:t>s</w:t>
            </w:r>
            <w:r w:rsidR="00B068B6" w:rsidRPr="00E14EB4">
              <w:t xml:space="preserve"> on </w:t>
            </w:r>
            <w:r w:rsidRPr="00E14EB4">
              <w:t>basic eligibility disability requirements</w:t>
            </w:r>
            <w:r w:rsidR="00BB121C" w:rsidRPr="00E14EB4">
              <w:t xml:space="preserve"> listed in M21-1, Part IX, Subpart i, 3.1.b and c</w:t>
            </w:r>
            <w:r w:rsidR="00A41C78" w:rsidRPr="00E14EB4">
              <w:t xml:space="preserve">, under the circumstances listed in M21-1, Part IX, Subpart i, 3.3.a. </w:t>
            </w:r>
            <w:r w:rsidR="00BB121C" w:rsidRPr="00E14EB4">
              <w:t xml:space="preserve"> </w:t>
            </w:r>
          </w:p>
        </w:tc>
      </w:tr>
    </w:tbl>
    <w:p w14:paraId="7FB1581B" w14:textId="06B9AC10" w:rsidR="00584ECD" w:rsidRPr="00E14EB4" w:rsidRDefault="00584ECD" w:rsidP="00B068B6"/>
    <w:tbl>
      <w:tblPr>
        <w:tblW w:w="7732" w:type="dxa"/>
        <w:tblInd w:w="1728" w:type="dxa"/>
        <w:tblLayout w:type="fixed"/>
        <w:tblLook w:val="0000" w:firstRow="0" w:lastRow="0" w:firstColumn="0" w:lastColumn="0" w:noHBand="0" w:noVBand="0"/>
      </w:tblPr>
      <w:tblGrid>
        <w:gridCol w:w="7732"/>
      </w:tblGrid>
      <w:tr w:rsidR="00B068B6" w:rsidRPr="00E14EB4" w14:paraId="2E2CDF0E" w14:textId="77777777" w:rsidTr="00DB04BE">
        <w:trPr>
          <w:trHeight w:val="2880"/>
        </w:trPr>
        <w:tc>
          <w:tcPr>
            <w:tcW w:w="5000" w:type="pct"/>
            <w:shd w:val="clear" w:color="auto" w:fill="auto"/>
          </w:tcPr>
          <w:p w14:paraId="22EFB243" w14:textId="77777777" w:rsidR="00B068B6" w:rsidRPr="00E14EB4" w:rsidRDefault="00B068B6" w:rsidP="00B068B6">
            <w:pPr>
              <w:pStyle w:val="BlockText"/>
            </w:pPr>
            <w:r w:rsidRPr="00E14EB4">
              <w:rPr>
                <w:b/>
                <w:i/>
              </w:rPr>
              <w:lastRenderedPageBreak/>
              <w:t>Note</w:t>
            </w:r>
            <w:r w:rsidRPr="00E14EB4">
              <w:t>:  Each VSC must designate a point of contact for SAH/SHA claims who will</w:t>
            </w:r>
          </w:p>
          <w:p w14:paraId="60966EEF" w14:textId="77777777" w:rsidR="00B068B6" w:rsidRPr="00E14EB4" w:rsidRDefault="00B068B6" w:rsidP="00B068B6">
            <w:pPr>
              <w:pStyle w:val="BulletText1"/>
            </w:pPr>
            <w:r w:rsidRPr="00E14EB4">
              <w:t xml:space="preserve"> maintain the SAH/SHA mailbox, and</w:t>
            </w:r>
          </w:p>
          <w:p w14:paraId="062AA251" w14:textId="636164CB" w:rsidR="00B068B6" w:rsidRPr="00E14EB4" w:rsidRDefault="00B068B6" w:rsidP="00B068B6">
            <w:pPr>
              <w:pStyle w:val="BulletText1"/>
            </w:pPr>
            <w:r w:rsidRPr="00E14EB4">
              <w:t xml:space="preserve">correspond with the RLC of jurisdiction when necessary. </w:t>
            </w:r>
          </w:p>
          <w:p w14:paraId="2CA1A896" w14:textId="77777777" w:rsidR="00B068B6" w:rsidRPr="00E14EB4" w:rsidRDefault="00B068B6" w:rsidP="00B068B6">
            <w:pPr>
              <w:pStyle w:val="BlockText"/>
            </w:pPr>
          </w:p>
          <w:p w14:paraId="2461AB7E" w14:textId="4759745E" w:rsidR="00DB04BE" w:rsidRPr="00E14EB4" w:rsidRDefault="00B068B6" w:rsidP="00DB04BE">
            <w:pPr>
              <w:pStyle w:val="BlockText"/>
            </w:pPr>
            <w:r w:rsidRPr="00E14EB4">
              <w:rPr>
                <w:b/>
                <w:i/>
              </w:rPr>
              <w:t>Reference</w:t>
            </w:r>
            <w:r w:rsidR="00DB04BE" w:rsidRPr="00E14EB4">
              <w:rPr>
                <w:b/>
                <w:i/>
              </w:rPr>
              <w:t>s</w:t>
            </w:r>
            <w:r w:rsidRPr="00E14EB4">
              <w:t xml:space="preserve">:  For more information on </w:t>
            </w:r>
          </w:p>
          <w:p w14:paraId="6F4DB8D2" w14:textId="77777777" w:rsidR="00B068B6" w:rsidRPr="00E14EB4" w:rsidRDefault="00DB04BE" w:rsidP="00DB04BE">
            <w:pPr>
              <w:pStyle w:val="BulletText1"/>
            </w:pPr>
            <w:r w:rsidRPr="00E14EB4">
              <w:t>L</w:t>
            </w:r>
            <w:r w:rsidR="00B068B6" w:rsidRPr="00E14EB4">
              <w:t xml:space="preserve">oan Guaranty assistance to eligible individuals in acquiring adapted housing see </w:t>
            </w:r>
            <w:hyperlink r:id="rId40" w:history="1">
              <w:r w:rsidR="00B068B6" w:rsidRPr="00E14EB4">
                <w:rPr>
                  <w:rStyle w:val="Hyperlink"/>
                </w:rPr>
                <w:t>38 CFR 36.4400 – 36.4411</w:t>
              </w:r>
            </w:hyperlink>
            <w:r w:rsidRPr="00E14EB4">
              <w:t>, and</w:t>
            </w:r>
          </w:p>
          <w:p w14:paraId="67F7F2DC" w14:textId="537EA9AE" w:rsidR="00DB04BE" w:rsidRPr="00E14EB4" w:rsidRDefault="00DB04BE" w:rsidP="00DB04BE">
            <w:pPr>
              <w:pStyle w:val="BulletText1"/>
            </w:pPr>
            <w:r w:rsidRPr="00E14EB4">
              <w:t>SAH/SHA mailbox addresses at RLCs to use for correspondence, see</w:t>
            </w:r>
            <w:r w:rsidR="001847D7" w:rsidRPr="00E14EB4">
              <w:t xml:space="preserve"> </w:t>
            </w:r>
            <w:r w:rsidRPr="00E14EB4">
              <w:t>M21-1, Part IX, Subpart i, 3.3.</w:t>
            </w:r>
            <w:r w:rsidR="00724758" w:rsidRPr="00E14EB4">
              <w:t>i.</w:t>
            </w:r>
          </w:p>
        </w:tc>
      </w:tr>
    </w:tbl>
    <w:p w14:paraId="7D18141F" w14:textId="2B28F13F" w:rsidR="00EE5DBB" w:rsidRPr="00E14EB4" w:rsidRDefault="00EE5DBB" w:rsidP="005E723A">
      <w:pPr>
        <w:pStyle w:val="BlockLine"/>
      </w:pPr>
    </w:p>
    <w:tbl>
      <w:tblPr>
        <w:tblW w:w="0" w:type="auto"/>
        <w:tblLayout w:type="fixed"/>
        <w:tblLook w:val="0000" w:firstRow="0" w:lastRow="0" w:firstColumn="0" w:lastColumn="0" w:noHBand="0" w:noVBand="0"/>
      </w:tblPr>
      <w:tblGrid>
        <w:gridCol w:w="1728"/>
        <w:gridCol w:w="7740"/>
      </w:tblGrid>
      <w:tr w:rsidR="00EE5DBB" w:rsidRPr="00E14EB4" w14:paraId="016A407F" w14:textId="77777777" w:rsidTr="008E2B3B">
        <w:tc>
          <w:tcPr>
            <w:tcW w:w="1728" w:type="dxa"/>
          </w:tcPr>
          <w:p w14:paraId="1FC8F0A9" w14:textId="79284E4E" w:rsidR="00EE5DBB" w:rsidRPr="00E14EB4" w:rsidRDefault="006E3B45" w:rsidP="006E3B45">
            <w:pPr>
              <w:pStyle w:val="Heading5"/>
            </w:pPr>
            <w:r w:rsidRPr="00E14EB4">
              <w:t>b</w:t>
            </w:r>
            <w:r w:rsidR="00EE5DBB" w:rsidRPr="00E14EB4">
              <w:t xml:space="preserve">.  </w:t>
            </w:r>
            <w:r w:rsidR="008B43C7" w:rsidRPr="00E14EB4">
              <w:t xml:space="preserve">Responsibility for </w:t>
            </w:r>
            <w:r w:rsidR="00EE5DBB" w:rsidRPr="00E14EB4">
              <w:t xml:space="preserve">Medical </w:t>
            </w:r>
            <w:r w:rsidR="000469DC" w:rsidRPr="00E14EB4">
              <w:t>Feasibility</w:t>
            </w:r>
            <w:r w:rsidR="00EE5DBB" w:rsidRPr="00E14EB4">
              <w:t xml:space="preserve"> </w:t>
            </w:r>
            <w:r w:rsidR="008B43C7" w:rsidRPr="00E14EB4">
              <w:t xml:space="preserve">Determinations </w:t>
            </w:r>
            <w:r w:rsidR="00EE5DBB" w:rsidRPr="00E14EB4">
              <w:t>in SAH/SHA Claims</w:t>
            </w:r>
          </w:p>
        </w:tc>
        <w:tc>
          <w:tcPr>
            <w:tcW w:w="7740" w:type="dxa"/>
          </w:tcPr>
          <w:p w14:paraId="341FA68F" w14:textId="11734BDA" w:rsidR="0035305A" w:rsidRPr="00E14EB4" w:rsidRDefault="008E2B3B" w:rsidP="00630156">
            <w:pPr>
              <w:pStyle w:val="BulletText1"/>
              <w:numPr>
                <w:ilvl w:val="0"/>
                <w:numId w:val="0"/>
              </w:numPr>
            </w:pPr>
            <w:r w:rsidRPr="00E14EB4">
              <w:t xml:space="preserve">A </w:t>
            </w:r>
            <w:r w:rsidRPr="00E14EB4">
              <w:rPr>
                <w:b/>
                <w:i/>
              </w:rPr>
              <w:t>determination of medical feasibility</w:t>
            </w:r>
            <w:r w:rsidRPr="00E14EB4">
              <w:t xml:space="preserve"> is needed when a Veteran is hospitalized or undergoing long-term care in a nursing home or other type care facility.</w:t>
            </w:r>
            <w:r w:rsidR="0035305A" w:rsidRPr="00E14EB4">
              <w:t xml:space="preserve">  </w:t>
            </w:r>
          </w:p>
          <w:p w14:paraId="2FD86BD8" w14:textId="77777777" w:rsidR="0035305A" w:rsidRPr="00E14EB4" w:rsidRDefault="0035305A" w:rsidP="00630156">
            <w:pPr>
              <w:pStyle w:val="BulletText1"/>
              <w:numPr>
                <w:ilvl w:val="0"/>
                <w:numId w:val="0"/>
              </w:numPr>
              <w:ind w:left="173"/>
            </w:pPr>
          </w:p>
          <w:p w14:paraId="68AE4A6E" w14:textId="106F56A0" w:rsidR="00EE5DBB" w:rsidRPr="00E14EB4" w:rsidRDefault="001D7938" w:rsidP="00630156">
            <w:pPr>
              <w:pStyle w:val="BulletText1"/>
              <w:numPr>
                <w:ilvl w:val="0"/>
                <w:numId w:val="0"/>
              </w:numPr>
            </w:pPr>
            <w:r w:rsidRPr="00E14EB4">
              <w:t>This determination is</w:t>
            </w:r>
            <w:r w:rsidR="00EE5DBB" w:rsidRPr="00E14EB4">
              <w:t xml:space="preserve"> made by a Veterans Health Administration (VHA) physician at the request of Loan Guaranty</w:t>
            </w:r>
            <w:r w:rsidR="0035305A" w:rsidRPr="00E14EB4">
              <w:t>, with no involvement from VSC.</w:t>
            </w:r>
          </w:p>
        </w:tc>
      </w:tr>
    </w:tbl>
    <w:p w14:paraId="6438F624" w14:textId="1F184420" w:rsidR="00502E89" w:rsidRPr="00E14EB4" w:rsidRDefault="00502E89">
      <w:pPr>
        <w:pStyle w:val="BlockLine"/>
      </w:pPr>
    </w:p>
    <w:p w14:paraId="19C7BFDD" w14:textId="19A9BC91" w:rsidR="00EE5DBB" w:rsidRPr="00E14EB4" w:rsidRDefault="00502E89" w:rsidP="00502E89">
      <w:pPr>
        <w:rPr>
          <w:szCs w:val="20"/>
        </w:rPr>
      </w:pPr>
      <w:r w:rsidRPr="00E14EB4">
        <w:br w:type="page"/>
      </w:r>
    </w:p>
    <w:p w14:paraId="6C2BA79F" w14:textId="1A5AF259" w:rsidR="00EE5DBB" w:rsidRPr="00E14EB4" w:rsidRDefault="00EE5DBB">
      <w:pPr>
        <w:pStyle w:val="Heading4"/>
      </w:pPr>
      <w:r w:rsidRPr="00E14EB4">
        <w:lastRenderedPageBreak/>
        <w:t xml:space="preserve">3.  Processing Claims for SAH or SHA </w:t>
      </w:r>
    </w:p>
    <w:p w14:paraId="61CA6CFB" w14:textId="6C921007" w:rsidR="00EE5DBB" w:rsidRPr="00E14EB4"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E14EB4" w14:paraId="2677F85D" w14:textId="77777777">
        <w:trPr>
          <w:cantSplit/>
        </w:trPr>
        <w:tc>
          <w:tcPr>
            <w:tcW w:w="1728" w:type="dxa"/>
          </w:tcPr>
          <w:p w14:paraId="2DC3BA84" w14:textId="77777777" w:rsidR="00EE5DBB" w:rsidRPr="00E14EB4" w:rsidRDefault="00EE5DBB">
            <w:pPr>
              <w:pStyle w:val="Heading5"/>
            </w:pPr>
            <w:r w:rsidRPr="00E14EB4">
              <w:t>Introduction</w:t>
            </w:r>
          </w:p>
        </w:tc>
        <w:tc>
          <w:tcPr>
            <w:tcW w:w="7740" w:type="dxa"/>
          </w:tcPr>
          <w:p w14:paraId="48D731EB" w14:textId="6E4F03DE" w:rsidR="00EE5DBB" w:rsidRPr="00E14EB4" w:rsidRDefault="00EE5DBB">
            <w:pPr>
              <w:pStyle w:val="BlockText"/>
            </w:pPr>
            <w:r w:rsidRPr="00E14EB4">
              <w:t>This topic contains information on processing claims for SAH or SHA, including</w:t>
            </w:r>
          </w:p>
          <w:p w14:paraId="40DF9F9D" w14:textId="77777777" w:rsidR="00880D9F" w:rsidRPr="00E14EB4" w:rsidRDefault="00880D9F">
            <w:pPr>
              <w:pStyle w:val="BlockText"/>
            </w:pPr>
          </w:p>
          <w:p w14:paraId="02A2E7A8" w14:textId="18B1F7A3" w:rsidR="00EE5DBB" w:rsidRPr="00E14EB4" w:rsidRDefault="0079551E" w:rsidP="0079551E">
            <w:pPr>
              <w:pStyle w:val="BulletText1"/>
            </w:pPr>
            <w:r w:rsidRPr="00E14EB4">
              <w:t>when the VSC will make a SAH/SHA basic eligibility determination</w:t>
            </w:r>
          </w:p>
          <w:p w14:paraId="5E366E09" w14:textId="6854558E" w:rsidR="0079551E" w:rsidRPr="00E14EB4" w:rsidRDefault="0079551E" w:rsidP="0079551E">
            <w:pPr>
              <w:pStyle w:val="BulletText1"/>
            </w:pPr>
            <w:r w:rsidRPr="00E14EB4">
              <w:t>VA form requirement for SAH/SHA</w:t>
            </w:r>
          </w:p>
          <w:p w14:paraId="77898E51" w14:textId="066316CF" w:rsidR="0079551E" w:rsidRPr="00E14EB4" w:rsidRDefault="0079551E" w:rsidP="0079551E">
            <w:pPr>
              <w:pStyle w:val="BulletText1"/>
            </w:pPr>
            <w:r w:rsidRPr="00E14EB4">
              <w:t>claim</w:t>
            </w:r>
            <w:r w:rsidR="001158FF" w:rsidRPr="00E14EB4">
              <w:t>s</w:t>
            </w:r>
            <w:r w:rsidRPr="00E14EB4">
              <w:t xml:space="preserve"> </w:t>
            </w:r>
            <w:r w:rsidR="001158FF" w:rsidRPr="00E14EB4">
              <w:t>filed with RLC on</w:t>
            </w:r>
            <w:r w:rsidRPr="00E14EB4">
              <w:t xml:space="preserve"> </w:t>
            </w:r>
            <w:r w:rsidRPr="00E14EB4">
              <w:rPr>
                <w:i/>
              </w:rPr>
              <w:t>VA Form 26-4555</w:t>
            </w:r>
          </w:p>
          <w:p w14:paraId="35CD5125" w14:textId="226EBE18" w:rsidR="001158FF" w:rsidRPr="00E14EB4" w:rsidRDefault="0079551E" w:rsidP="0079551E">
            <w:pPr>
              <w:pStyle w:val="BulletText1"/>
            </w:pPr>
            <w:r w:rsidRPr="00E14EB4">
              <w:t>claim</w:t>
            </w:r>
            <w:r w:rsidR="001158FF" w:rsidRPr="00E14EB4">
              <w:t>s</w:t>
            </w:r>
            <w:r w:rsidRPr="00E14EB4">
              <w:t xml:space="preserve"> </w:t>
            </w:r>
            <w:r w:rsidR="001158FF" w:rsidRPr="00E14EB4">
              <w:t xml:space="preserve">filed with VSC </w:t>
            </w:r>
            <w:r w:rsidRPr="00E14EB4">
              <w:t xml:space="preserve">on </w:t>
            </w:r>
          </w:p>
          <w:p w14:paraId="0E4EB6EE" w14:textId="44BAC384" w:rsidR="0079551E" w:rsidRPr="00E14EB4" w:rsidRDefault="0079551E" w:rsidP="001847D7">
            <w:pPr>
              <w:pStyle w:val="ListParagraph"/>
              <w:numPr>
                <w:ilvl w:val="0"/>
                <w:numId w:val="25"/>
              </w:numPr>
              <w:ind w:left="346" w:hanging="187"/>
            </w:pPr>
            <w:r w:rsidRPr="00E14EB4">
              <w:rPr>
                <w:i/>
              </w:rPr>
              <w:t>VA Form 26-4555</w:t>
            </w:r>
            <w:r w:rsidR="001158FF" w:rsidRPr="00E14EB4">
              <w:t>, or</w:t>
            </w:r>
          </w:p>
          <w:p w14:paraId="715D0755" w14:textId="1A74BC79" w:rsidR="0079551E" w:rsidRPr="00E14EB4" w:rsidRDefault="001158FF" w:rsidP="001847D7">
            <w:pPr>
              <w:pStyle w:val="ListParagraph"/>
              <w:numPr>
                <w:ilvl w:val="0"/>
                <w:numId w:val="25"/>
              </w:numPr>
              <w:ind w:left="346" w:hanging="187"/>
            </w:pPr>
            <w:r w:rsidRPr="00E14EB4">
              <w:t>any other valid form</w:t>
            </w:r>
          </w:p>
          <w:p w14:paraId="75E29DC7" w14:textId="6185B005" w:rsidR="0079551E" w:rsidRPr="00E14EB4" w:rsidRDefault="001158FF" w:rsidP="0079551E">
            <w:pPr>
              <w:pStyle w:val="BulletText1"/>
            </w:pPr>
            <w:r w:rsidRPr="00E14EB4">
              <w:t xml:space="preserve">a </w:t>
            </w:r>
            <w:r w:rsidR="0079551E" w:rsidRPr="00E14EB4">
              <w:t>subordinate issue of basic eligibility to SAH/SHA raised by the record</w:t>
            </w:r>
          </w:p>
          <w:p w14:paraId="683E1F90" w14:textId="6CEDA6E1" w:rsidR="00724758" w:rsidRPr="00E14EB4" w:rsidRDefault="00724758" w:rsidP="0079551E">
            <w:pPr>
              <w:pStyle w:val="BulletText1"/>
            </w:pPr>
            <w:r w:rsidRPr="00E14EB4">
              <w:t>VSC SAH/SHA basic eligibility determination</w:t>
            </w:r>
            <w:r w:rsidR="00E0317D" w:rsidRPr="00E14EB4">
              <w:t xml:space="preserve"> process</w:t>
            </w:r>
          </w:p>
          <w:p w14:paraId="6F83BB49" w14:textId="70897FBF" w:rsidR="00724758" w:rsidRPr="00E14EB4" w:rsidRDefault="00724758" w:rsidP="0079551E">
            <w:pPr>
              <w:pStyle w:val="BulletText1"/>
            </w:pPr>
            <w:r w:rsidRPr="00E14EB4">
              <w:t>further processing by the RLC after a VSC basic eligibility determination, and</w:t>
            </w:r>
          </w:p>
          <w:p w14:paraId="1D176B31" w14:textId="3431E63D" w:rsidR="00EE5DBB" w:rsidRPr="00E14EB4" w:rsidRDefault="00724758">
            <w:pPr>
              <w:pStyle w:val="BulletText1"/>
            </w:pPr>
            <w:r w:rsidRPr="00E14EB4">
              <w:t>SAH/SHA mailbox addresses at RLCs</w:t>
            </w:r>
            <w:r w:rsidR="00647DFA" w:rsidRPr="00E14EB4">
              <w:t>.</w:t>
            </w:r>
          </w:p>
        </w:tc>
      </w:tr>
    </w:tbl>
    <w:p w14:paraId="637FDF26" w14:textId="46BC2ACB" w:rsidR="00EE5DBB" w:rsidRPr="00E14EB4" w:rsidRDefault="00EE5DBB" w:rsidP="00D65D0D">
      <w:pPr>
        <w:pStyle w:val="BlockLine"/>
      </w:pPr>
    </w:p>
    <w:tbl>
      <w:tblPr>
        <w:tblW w:w="0" w:type="auto"/>
        <w:tblLayout w:type="fixed"/>
        <w:tblLook w:val="0000" w:firstRow="0" w:lastRow="0" w:firstColumn="0" w:lastColumn="0" w:noHBand="0" w:noVBand="0"/>
      </w:tblPr>
      <w:tblGrid>
        <w:gridCol w:w="1728"/>
        <w:gridCol w:w="7740"/>
      </w:tblGrid>
      <w:tr w:rsidR="00EE5DBB" w:rsidRPr="00E14EB4" w14:paraId="39FB4D09" w14:textId="77777777" w:rsidTr="00D65D0D">
        <w:tc>
          <w:tcPr>
            <w:tcW w:w="1728" w:type="dxa"/>
          </w:tcPr>
          <w:p w14:paraId="3BA0AD11" w14:textId="77777777" w:rsidR="00EE5DBB" w:rsidRPr="00E14EB4" w:rsidRDefault="00EE5DBB" w:rsidP="00D65D0D">
            <w:pPr>
              <w:pStyle w:val="Heading5"/>
            </w:pPr>
            <w:r w:rsidRPr="00E14EB4">
              <w:t>Change Date</w:t>
            </w:r>
          </w:p>
        </w:tc>
        <w:tc>
          <w:tcPr>
            <w:tcW w:w="7740" w:type="dxa"/>
          </w:tcPr>
          <w:p w14:paraId="1E1C2D1C" w14:textId="60322C31" w:rsidR="00EE5DBB" w:rsidRPr="00E14EB4" w:rsidRDefault="00CF575E" w:rsidP="00D65D0D">
            <w:pPr>
              <w:pStyle w:val="BlockText"/>
            </w:pPr>
            <w:r w:rsidRPr="00E14EB4">
              <w:t>July 15, 2015</w:t>
            </w:r>
          </w:p>
        </w:tc>
      </w:tr>
    </w:tbl>
    <w:p w14:paraId="1FC5F08B" w14:textId="595C5CC8" w:rsidR="00F3343A" w:rsidRPr="00E14EB4" w:rsidRDefault="00F3343A" w:rsidP="00F3343A">
      <w:pPr>
        <w:pStyle w:val="BlockLine"/>
      </w:pPr>
    </w:p>
    <w:tbl>
      <w:tblPr>
        <w:tblW w:w="0" w:type="auto"/>
        <w:tblLayout w:type="fixed"/>
        <w:tblLook w:val="0000" w:firstRow="0" w:lastRow="0" w:firstColumn="0" w:lastColumn="0" w:noHBand="0" w:noVBand="0"/>
      </w:tblPr>
      <w:tblGrid>
        <w:gridCol w:w="1728"/>
        <w:gridCol w:w="7740"/>
      </w:tblGrid>
      <w:tr w:rsidR="00F3343A" w:rsidRPr="00E14EB4" w14:paraId="577D11BB" w14:textId="77777777" w:rsidTr="00F3343A">
        <w:tc>
          <w:tcPr>
            <w:tcW w:w="1728" w:type="dxa"/>
            <w:shd w:val="clear" w:color="auto" w:fill="auto"/>
          </w:tcPr>
          <w:p w14:paraId="16B3776B" w14:textId="3EECF652" w:rsidR="00F3343A" w:rsidRPr="00E14EB4" w:rsidRDefault="00AC7B66" w:rsidP="00212679">
            <w:pPr>
              <w:pStyle w:val="Heading5"/>
            </w:pPr>
            <w:r w:rsidRPr="00E14EB4">
              <w:t xml:space="preserve">a.  </w:t>
            </w:r>
            <w:r w:rsidR="00212679" w:rsidRPr="00E14EB4">
              <w:t xml:space="preserve">When the VSC will make a </w:t>
            </w:r>
            <w:r w:rsidR="00F3343A" w:rsidRPr="00E14EB4">
              <w:t xml:space="preserve">SAH/SHA Basic Eligibility Determination </w:t>
            </w:r>
          </w:p>
        </w:tc>
        <w:tc>
          <w:tcPr>
            <w:tcW w:w="7740" w:type="dxa"/>
            <w:shd w:val="clear" w:color="auto" w:fill="auto"/>
          </w:tcPr>
          <w:p w14:paraId="281A7BD2" w14:textId="4E19DCDB" w:rsidR="00F3343A" w:rsidRPr="00E14EB4" w:rsidRDefault="00F3343A" w:rsidP="00F3343A">
            <w:r w:rsidRPr="00E14EB4">
              <w:t xml:space="preserve">The VSC will make a SAH/SHA basic eligibility determination </w:t>
            </w:r>
            <w:r w:rsidR="00212679" w:rsidRPr="00E14EB4">
              <w:t>when</w:t>
            </w:r>
          </w:p>
          <w:p w14:paraId="57649EE1" w14:textId="5EAE574C" w:rsidR="002927A1" w:rsidRPr="00E14EB4" w:rsidRDefault="002927A1" w:rsidP="002927A1">
            <w:pPr>
              <w:pStyle w:val="BulletText1"/>
            </w:pPr>
            <w:r w:rsidRPr="00E14EB4">
              <w:t xml:space="preserve">a </w:t>
            </w:r>
            <w:r w:rsidRPr="00E14EB4">
              <w:rPr>
                <w:i/>
              </w:rPr>
              <w:t>VA Form 26-4555</w:t>
            </w:r>
            <w:r w:rsidR="007C13C4" w:rsidRPr="00E14EB4">
              <w:rPr>
                <w:i/>
              </w:rPr>
              <w:t>, Veteran’s Application in Acquiring Specially Adapted Housing or Special Home Adaptation Grant</w:t>
            </w:r>
            <w:r w:rsidRPr="00E14EB4">
              <w:t xml:space="preserve"> </w:t>
            </w:r>
            <w:r w:rsidR="008E6D3B" w:rsidRPr="00E14EB4">
              <w:t xml:space="preserve">is </w:t>
            </w:r>
            <w:r w:rsidRPr="00E14EB4">
              <w:t>filed with a RLC</w:t>
            </w:r>
            <w:r w:rsidR="007C13C4" w:rsidRPr="00E14EB4">
              <w:t xml:space="preserve"> </w:t>
            </w:r>
            <w:r w:rsidR="007C13C4" w:rsidRPr="00E14EB4">
              <w:rPr>
                <w:i/>
              </w:rPr>
              <w:t>and</w:t>
            </w:r>
            <w:r w:rsidR="007C13C4" w:rsidRPr="00E14EB4">
              <w:t xml:space="preserve"> </w:t>
            </w:r>
            <w:r w:rsidRPr="00E14EB4">
              <w:t>the RLC requests a determination</w:t>
            </w:r>
            <w:r w:rsidR="00DA1DCE" w:rsidRPr="00E14EB4">
              <w:t xml:space="preserve">, </w:t>
            </w:r>
            <w:r w:rsidR="00DA1DCE" w:rsidRPr="00E14EB4">
              <w:rPr>
                <w:b/>
                <w:i/>
              </w:rPr>
              <w:t>or</w:t>
            </w:r>
          </w:p>
          <w:p w14:paraId="09EEC0A7" w14:textId="77777777" w:rsidR="00D57035" w:rsidRPr="00E14EB4" w:rsidRDefault="002927A1" w:rsidP="00F3343A">
            <w:pPr>
              <w:pStyle w:val="BulletText1"/>
            </w:pPr>
            <w:r w:rsidRPr="00E14EB4">
              <w:t xml:space="preserve">a claim is </w:t>
            </w:r>
            <w:r w:rsidR="00F3343A" w:rsidRPr="00E14EB4">
              <w:t xml:space="preserve">filed with the VSC </w:t>
            </w:r>
            <w:r w:rsidR="000731F0" w:rsidRPr="00E14EB4">
              <w:t>on</w:t>
            </w:r>
            <w:r w:rsidR="00425441" w:rsidRPr="00E14EB4">
              <w:t xml:space="preserve"> </w:t>
            </w:r>
          </w:p>
          <w:p w14:paraId="295899F1" w14:textId="63DB9778" w:rsidR="00D57035" w:rsidRPr="00E14EB4" w:rsidRDefault="007C13C4" w:rsidP="00D57035">
            <w:pPr>
              <w:pStyle w:val="BulletText2"/>
            </w:pPr>
            <w:r w:rsidRPr="00E14EB4">
              <w:rPr>
                <w:i/>
              </w:rPr>
              <w:t>VA Form 26-4555</w:t>
            </w:r>
            <w:r w:rsidR="000731F0" w:rsidRPr="00E14EB4">
              <w:t>, or</w:t>
            </w:r>
          </w:p>
          <w:p w14:paraId="1B0CE089" w14:textId="6E4BCDBC" w:rsidR="00F3343A" w:rsidRPr="00E14EB4" w:rsidRDefault="000731F0" w:rsidP="00D57035">
            <w:pPr>
              <w:pStyle w:val="BulletText2"/>
            </w:pPr>
            <w:r w:rsidRPr="00E14EB4">
              <w:t xml:space="preserve">another </w:t>
            </w:r>
            <w:r w:rsidR="005304F5" w:rsidRPr="00E14EB4">
              <w:t xml:space="preserve">valid </w:t>
            </w:r>
            <w:r w:rsidR="002927A1" w:rsidRPr="00E14EB4">
              <w:t>VA</w:t>
            </w:r>
            <w:r w:rsidRPr="00E14EB4">
              <w:t xml:space="preserve"> form</w:t>
            </w:r>
            <w:r w:rsidR="00DA1DCE" w:rsidRPr="00E14EB4">
              <w:t xml:space="preserve">, </w:t>
            </w:r>
            <w:r w:rsidR="00DA1DCE" w:rsidRPr="00E14EB4">
              <w:rPr>
                <w:b/>
              </w:rPr>
              <w:t>or</w:t>
            </w:r>
          </w:p>
          <w:p w14:paraId="47D8DE58" w14:textId="14B902C9" w:rsidR="00F3343A" w:rsidRPr="00E14EB4" w:rsidRDefault="00F3343A" w:rsidP="00F3343A">
            <w:pPr>
              <w:pStyle w:val="BulletText1"/>
            </w:pPr>
            <w:r w:rsidRPr="00E14EB4">
              <w:t>t</w:t>
            </w:r>
            <w:r w:rsidR="00212679" w:rsidRPr="00E14EB4">
              <w:t>he</w:t>
            </w:r>
            <w:r w:rsidRPr="00E14EB4">
              <w:t xml:space="preserve"> VSC </w:t>
            </w:r>
            <w:r w:rsidR="00212679" w:rsidRPr="00E14EB4">
              <w:t xml:space="preserve">grants a benefit </w:t>
            </w:r>
            <w:r w:rsidRPr="00E14EB4">
              <w:t>that results in a subordinate issue of eligibility to</w:t>
            </w:r>
            <w:r w:rsidR="00AE3586" w:rsidRPr="00E14EB4">
              <w:t xml:space="preserve"> the ancillary benefit of</w:t>
            </w:r>
            <w:r w:rsidRPr="00E14EB4">
              <w:t xml:space="preserve"> SAH or SHA. </w:t>
            </w:r>
          </w:p>
          <w:p w14:paraId="08E293CD" w14:textId="77777777" w:rsidR="00F3343A" w:rsidRPr="00E14EB4" w:rsidRDefault="00F3343A" w:rsidP="00F3343A">
            <w:pPr>
              <w:pStyle w:val="BlockText"/>
            </w:pPr>
          </w:p>
          <w:p w14:paraId="62E8BFB1" w14:textId="153A5EAB" w:rsidR="00F3343A" w:rsidRPr="00E14EB4" w:rsidRDefault="00F3343A" w:rsidP="00F3343A">
            <w:pPr>
              <w:pStyle w:val="BlockText"/>
            </w:pPr>
            <w:r w:rsidRPr="00E14EB4">
              <w:rPr>
                <w:b/>
                <w:i/>
              </w:rPr>
              <w:t>Exception</w:t>
            </w:r>
            <w:r w:rsidRPr="00E14EB4">
              <w:t xml:space="preserve">: </w:t>
            </w:r>
            <w:r w:rsidR="009D5A3B" w:rsidRPr="00E14EB4">
              <w:t>T</w:t>
            </w:r>
            <w:r w:rsidRPr="00E14EB4">
              <w:t>he VSC will not make a basic eligibility determination whe</w:t>
            </w:r>
            <w:r w:rsidR="008E6D3B" w:rsidRPr="00E14EB4">
              <w:t>n</w:t>
            </w:r>
            <w:r w:rsidRPr="00E14EB4">
              <w:t xml:space="preserve"> basic eligibility has already been established. </w:t>
            </w:r>
          </w:p>
          <w:p w14:paraId="31E15341" w14:textId="77777777" w:rsidR="008B53EF" w:rsidRPr="00E14EB4" w:rsidRDefault="008B53EF" w:rsidP="007C13C4"/>
          <w:p w14:paraId="418DBE85" w14:textId="4908267C" w:rsidR="009E58AE" w:rsidRPr="00E14EB4" w:rsidRDefault="009E58AE" w:rsidP="00F3343A">
            <w:pPr>
              <w:pStyle w:val="BlockText"/>
            </w:pPr>
            <w:r w:rsidRPr="00E14EB4">
              <w:rPr>
                <w:b/>
                <w:i/>
              </w:rPr>
              <w:t>References</w:t>
            </w:r>
            <w:r w:rsidRPr="00E14EB4">
              <w:t>: For more information on</w:t>
            </w:r>
          </w:p>
          <w:p w14:paraId="7E9732D9" w14:textId="77777777" w:rsidR="00B54CAA" w:rsidRPr="00E14EB4" w:rsidRDefault="00B54CAA" w:rsidP="00B54CAA">
            <w:pPr>
              <w:pStyle w:val="BulletText1"/>
            </w:pPr>
            <w:r w:rsidRPr="00E14EB4">
              <w:t>claims for SAH/SHA filed with a</w:t>
            </w:r>
          </w:p>
          <w:p w14:paraId="0986BC86" w14:textId="77777777" w:rsidR="00B54CAA" w:rsidRPr="00E14EB4" w:rsidRDefault="00B54CAA" w:rsidP="00B54CAA">
            <w:pPr>
              <w:pStyle w:val="BulletText2"/>
            </w:pPr>
            <w:r w:rsidRPr="00E14EB4">
              <w:t>RLC on VA From 21-4555, see M21-1, Part IX, Subpart i, 3.3.c</w:t>
            </w:r>
          </w:p>
          <w:p w14:paraId="10FB26BE" w14:textId="77777777" w:rsidR="00B54CAA" w:rsidRPr="00E14EB4" w:rsidRDefault="00B54CAA" w:rsidP="00B54CAA">
            <w:pPr>
              <w:pStyle w:val="BulletText2"/>
            </w:pPr>
            <w:r w:rsidRPr="00E14EB4">
              <w:t>VSC on VA From 21-4555, see M21-1, Part IX, Subpart i, 3.3.d, and</w:t>
            </w:r>
          </w:p>
          <w:p w14:paraId="0E09F422" w14:textId="2421070D" w:rsidR="00B54CAA" w:rsidRPr="00E14EB4" w:rsidRDefault="00B54CAA" w:rsidP="00B54CAA">
            <w:pPr>
              <w:pStyle w:val="BulletText2"/>
            </w:pPr>
            <w:r w:rsidRPr="00E14EB4">
              <w:t>VSC on another VA Form, see M21-1, Part IX, Subpart i, 3.3.e</w:t>
            </w:r>
          </w:p>
          <w:p w14:paraId="01EDCABD" w14:textId="77777777" w:rsidR="00B54CAA" w:rsidRPr="00E14EB4" w:rsidRDefault="00B54CAA" w:rsidP="00B54CAA">
            <w:pPr>
              <w:pStyle w:val="BulletText1"/>
            </w:pPr>
            <w:r w:rsidRPr="00E14EB4">
              <w:t xml:space="preserve">the subordinate issue of  basic eligibility to the ancillary benefit SAH/SAH raised by the outcome of another claimed issue without a claim for SAH/SAH, see </w:t>
            </w:r>
          </w:p>
          <w:p w14:paraId="27D417DC" w14:textId="4BDD553F" w:rsidR="00B54CAA" w:rsidRPr="00E14EB4" w:rsidRDefault="00B54CAA" w:rsidP="00B54CAA">
            <w:pPr>
              <w:pStyle w:val="BulletText2"/>
            </w:pPr>
            <w:r w:rsidRPr="00E14EB4">
              <w:t>M21-1, Part IX, Subpart i, 3.3.f., and</w:t>
            </w:r>
          </w:p>
          <w:p w14:paraId="54745E26" w14:textId="3C8A568B" w:rsidR="00B54CAA" w:rsidRPr="00E14EB4" w:rsidRDefault="00B54CAA" w:rsidP="00B54CAA">
            <w:pPr>
              <w:pStyle w:val="BulletText2"/>
            </w:pPr>
            <w:r w:rsidRPr="00E14EB4">
              <w:t xml:space="preserve">M21-1, Part III, Subpart iv, 6.B.2.a-b </w:t>
            </w:r>
          </w:p>
          <w:p w14:paraId="10069EE0" w14:textId="275ABDB1" w:rsidR="00DA1DCE" w:rsidRPr="00E14EB4" w:rsidRDefault="00DA1DCE" w:rsidP="002927A1">
            <w:pPr>
              <w:pStyle w:val="BulletText1"/>
            </w:pPr>
            <w:r w:rsidRPr="00E14EB4">
              <w:t xml:space="preserve">claims for disability benefits see </w:t>
            </w:r>
            <w:hyperlink r:id="rId41" w:history="1">
              <w:r w:rsidRPr="00E14EB4">
                <w:rPr>
                  <w:rStyle w:val="Hyperlink"/>
                </w:rPr>
                <w:t>38 CFR 3.151</w:t>
              </w:r>
            </w:hyperlink>
            <w:r w:rsidR="00B54CAA" w:rsidRPr="00E14EB4">
              <w:t>, and</w:t>
            </w:r>
            <w:r w:rsidRPr="00E14EB4">
              <w:t xml:space="preserve"> </w:t>
            </w:r>
          </w:p>
          <w:p w14:paraId="7DF913E4" w14:textId="3F7FF8EE" w:rsidR="002927A1" w:rsidRPr="00E14EB4" w:rsidRDefault="00DA1DCE" w:rsidP="00B54CAA">
            <w:pPr>
              <w:pStyle w:val="BulletText1"/>
            </w:pPr>
            <w:r w:rsidRPr="00E14EB4">
              <w:t xml:space="preserve">how to file a claim, see </w:t>
            </w:r>
            <w:hyperlink r:id="rId42" w:history="1">
              <w:r w:rsidRPr="00E14EB4">
                <w:rPr>
                  <w:rStyle w:val="Hyperlink"/>
                </w:rPr>
                <w:t>38 CFR 3.155</w:t>
              </w:r>
            </w:hyperlink>
            <w:r w:rsidR="00B54CAA" w:rsidRPr="00E14EB4">
              <w:t>.</w:t>
            </w:r>
          </w:p>
        </w:tc>
      </w:tr>
    </w:tbl>
    <w:p w14:paraId="47603CC6" w14:textId="4FED2CF0" w:rsidR="00F3343A" w:rsidRPr="00E14EB4" w:rsidRDefault="00F3343A" w:rsidP="00F3343A">
      <w:pPr>
        <w:pStyle w:val="BlockLine"/>
      </w:pPr>
    </w:p>
    <w:tbl>
      <w:tblPr>
        <w:tblW w:w="0" w:type="auto"/>
        <w:tblLayout w:type="fixed"/>
        <w:tblLook w:val="0000" w:firstRow="0" w:lastRow="0" w:firstColumn="0" w:lastColumn="0" w:noHBand="0" w:noVBand="0"/>
      </w:tblPr>
      <w:tblGrid>
        <w:gridCol w:w="1728"/>
        <w:gridCol w:w="7740"/>
      </w:tblGrid>
      <w:tr w:rsidR="006A13F4" w:rsidRPr="00E14EB4" w14:paraId="6B2A3FAC" w14:textId="77777777" w:rsidTr="006A13F4">
        <w:tc>
          <w:tcPr>
            <w:tcW w:w="1728" w:type="dxa"/>
            <w:shd w:val="clear" w:color="auto" w:fill="auto"/>
          </w:tcPr>
          <w:p w14:paraId="24705296" w14:textId="23B26F0C" w:rsidR="006A13F4" w:rsidRPr="00E14EB4" w:rsidRDefault="00AC7B66" w:rsidP="006A13F4">
            <w:pPr>
              <w:pStyle w:val="Heading5"/>
            </w:pPr>
            <w:r w:rsidRPr="00E14EB4">
              <w:t xml:space="preserve">b.  </w:t>
            </w:r>
            <w:r w:rsidR="006A13F4" w:rsidRPr="00E14EB4">
              <w:t>VA Form Requirement for SAH/SHA</w:t>
            </w:r>
          </w:p>
        </w:tc>
        <w:tc>
          <w:tcPr>
            <w:tcW w:w="7740" w:type="dxa"/>
            <w:shd w:val="clear" w:color="auto" w:fill="auto"/>
          </w:tcPr>
          <w:p w14:paraId="71590773" w14:textId="5FFC3168" w:rsidR="00F3343A" w:rsidRPr="00E14EB4" w:rsidRDefault="006A13F4" w:rsidP="006A13F4">
            <w:r w:rsidRPr="00E14EB4">
              <w:t xml:space="preserve">A Veteran </w:t>
            </w:r>
            <w:r w:rsidR="00B42F14" w:rsidRPr="00E14EB4">
              <w:t>or service m</w:t>
            </w:r>
            <w:r w:rsidR="00F112C8" w:rsidRPr="00E14EB4">
              <w:t xml:space="preserve">ember </w:t>
            </w:r>
            <w:r w:rsidRPr="00E14EB4">
              <w:t xml:space="preserve">seeking SAH or SHA must complete a </w:t>
            </w:r>
            <w:r w:rsidRPr="00E14EB4">
              <w:rPr>
                <w:i/>
              </w:rPr>
              <w:t>VA Form 26-4555.</w:t>
            </w:r>
            <w:r w:rsidRPr="00E14EB4">
              <w:t xml:space="preserve">  </w:t>
            </w:r>
          </w:p>
          <w:p w14:paraId="64DBD31A" w14:textId="77777777" w:rsidR="00F3343A" w:rsidRPr="00E14EB4" w:rsidRDefault="00F3343A" w:rsidP="006A13F4"/>
          <w:p w14:paraId="2D754186" w14:textId="77777777" w:rsidR="006A13F4" w:rsidRPr="00E14EB4" w:rsidRDefault="00F3343A" w:rsidP="00551F5E">
            <w:r w:rsidRPr="00E14EB4">
              <w:rPr>
                <w:b/>
                <w:i/>
              </w:rPr>
              <w:t>Important</w:t>
            </w:r>
            <w:r w:rsidRPr="00E14EB4">
              <w:t xml:space="preserve">:  </w:t>
            </w:r>
            <w:r w:rsidRPr="00E14EB4">
              <w:rPr>
                <w:i/>
              </w:rPr>
              <w:t>VA Form 26-4555</w:t>
            </w:r>
            <w:r w:rsidRPr="00E14EB4">
              <w:t xml:space="preserve"> is a prerequisite to the allowance of SAH/SHA by the RLC but is not a prerequisite to VSC action on the determination of basic entitlement. </w:t>
            </w:r>
          </w:p>
          <w:p w14:paraId="065F71E6" w14:textId="77777777" w:rsidR="00A11C0F" w:rsidRPr="00E14EB4" w:rsidRDefault="00A11C0F" w:rsidP="00551F5E"/>
          <w:p w14:paraId="041D17E4" w14:textId="4E689FA9" w:rsidR="00A11C0F" w:rsidRPr="00E14EB4" w:rsidRDefault="00A11C0F" w:rsidP="00A11C0F">
            <w:r w:rsidRPr="00E14EB4">
              <w:rPr>
                <w:b/>
                <w:i/>
              </w:rPr>
              <w:t>Reference</w:t>
            </w:r>
            <w:r w:rsidRPr="00E14EB4">
              <w:t xml:space="preserve">: For more information on </w:t>
            </w:r>
            <w:r w:rsidRPr="00E14EB4">
              <w:rPr>
                <w:i/>
              </w:rPr>
              <w:t>VA Form 26-4555</w:t>
            </w:r>
            <w:r w:rsidRPr="00E14EB4">
              <w:t xml:space="preserve"> see the </w:t>
            </w:r>
            <w:hyperlink r:id="rId43" w:history="1">
              <w:r w:rsidRPr="00E14EB4">
                <w:rPr>
                  <w:rStyle w:val="Hyperlink"/>
                </w:rPr>
                <w:t>VA Forms web</w:t>
              </w:r>
              <w:r w:rsidR="001F7B73" w:rsidRPr="00E14EB4">
                <w:rPr>
                  <w:rStyle w:val="Hyperlink"/>
                </w:rPr>
                <w:t xml:space="preserve"> </w:t>
              </w:r>
              <w:r w:rsidRPr="00E14EB4">
                <w:rPr>
                  <w:rStyle w:val="Hyperlink"/>
                </w:rPr>
                <w:t>site</w:t>
              </w:r>
            </w:hyperlink>
            <w:r w:rsidRPr="00E14EB4">
              <w:t>.</w:t>
            </w:r>
          </w:p>
        </w:tc>
      </w:tr>
    </w:tbl>
    <w:p w14:paraId="1E41511F" w14:textId="482CFD88" w:rsidR="006A13F4" w:rsidRPr="00E14EB4" w:rsidRDefault="006A13F4" w:rsidP="009E3348">
      <w:pPr>
        <w:pStyle w:val="BlockLine"/>
      </w:pPr>
    </w:p>
    <w:tbl>
      <w:tblPr>
        <w:tblW w:w="0" w:type="auto"/>
        <w:tblLayout w:type="fixed"/>
        <w:tblLook w:val="0000" w:firstRow="0" w:lastRow="0" w:firstColumn="0" w:lastColumn="0" w:noHBand="0" w:noVBand="0"/>
      </w:tblPr>
      <w:tblGrid>
        <w:gridCol w:w="1728"/>
        <w:gridCol w:w="7740"/>
      </w:tblGrid>
      <w:tr w:rsidR="009E3348" w:rsidRPr="00E14EB4" w14:paraId="6EAA48A9" w14:textId="77777777" w:rsidTr="009E3348">
        <w:tc>
          <w:tcPr>
            <w:tcW w:w="1728" w:type="dxa"/>
            <w:shd w:val="clear" w:color="auto" w:fill="auto"/>
          </w:tcPr>
          <w:p w14:paraId="6D2ED726" w14:textId="58E250D7" w:rsidR="009E3348" w:rsidRPr="00E14EB4" w:rsidRDefault="00AC7B66" w:rsidP="00D57035">
            <w:pPr>
              <w:pStyle w:val="Heading5"/>
            </w:pPr>
            <w:r w:rsidRPr="00E14EB4">
              <w:t xml:space="preserve">c.  </w:t>
            </w:r>
            <w:r w:rsidR="009E3348" w:rsidRPr="00E14EB4">
              <w:t>Claim</w:t>
            </w:r>
            <w:r w:rsidR="001847D7" w:rsidRPr="00E14EB4">
              <w:t>s</w:t>
            </w:r>
            <w:r w:rsidR="009E3348" w:rsidRPr="00E14EB4">
              <w:t xml:space="preserve"> </w:t>
            </w:r>
            <w:r w:rsidR="00D57035" w:rsidRPr="00E14EB4">
              <w:t>Filed with RLC on VA Form 26-4555</w:t>
            </w:r>
          </w:p>
        </w:tc>
        <w:tc>
          <w:tcPr>
            <w:tcW w:w="7740" w:type="dxa"/>
            <w:shd w:val="clear" w:color="auto" w:fill="auto"/>
          </w:tcPr>
          <w:p w14:paraId="6F004631" w14:textId="23D4549A" w:rsidR="009E3348" w:rsidRPr="00E14EB4" w:rsidRDefault="009E3348" w:rsidP="009E3348">
            <w:pPr>
              <w:pStyle w:val="BlockText"/>
            </w:pPr>
            <w:r w:rsidRPr="00E14EB4">
              <w:t>When a claimant seeks to initiate a claim</w:t>
            </w:r>
            <w:r w:rsidR="00A11C0F" w:rsidRPr="00E14EB4">
              <w:t xml:space="preserve"> for SAH/SHA</w:t>
            </w:r>
            <w:r w:rsidRPr="00E14EB4">
              <w:t xml:space="preserve"> by</w:t>
            </w:r>
            <w:r w:rsidR="00A11C0F" w:rsidRPr="00E14EB4">
              <w:t xml:space="preserve"> submitting a</w:t>
            </w:r>
            <w:r w:rsidRPr="00E14EB4">
              <w:t xml:space="preserve"> </w:t>
            </w:r>
            <w:r w:rsidRPr="00E14EB4">
              <w:rPr>
                <w:i/>
              </w:rPr>
              <w:t>VA Form 26-4555</w:t>
            </w:r>
            <w:r w:rsidRPr="00E14EB4">
              <w:t xml:space="preserve"> </w:t>
            </w:r>
            <w:r w:rsidR="00A11C0F" w:rsidRPr="00E14EB4">
              <w:t xml:space="preserve">to </w:t>
            </w:r>
            <w:r w:rsidRPr="00E14EB4">
              <w:t>a RLC</w:t>
            </w:r>
            <w:r w:rsidR="00F112C8" w:rsidRPr="00E14EB4">
              <w:t>, the following activities occur:</w:t>
            </w:r>
          </w:p>
          <w:p w14:paraId="19C965EE" w14:textId="77777777" w:rsidR="00E0317D" w:rsidRPr="00E14EB4" w:rsidRDefault="00E0317D" w:rsidP="009E3348">
            <w:pPr>
              <w:pStyle w:val="BlockText"/>
            </w:pPr>
          </w:p>
          <w:p w14:paraId="1B184711" w14:textId="5EC41AB4" w:rsidR="00A11C0F" w:rsidRPr="00E14EB4" w:rsidRDefault="00F112C8" w:rsidP="009E3348">
            <w:pPr>
              <w:pStyle w:val="BulletText1"/>
            </w:pPr>
            <w:r w:rsidRPr="00E14EB4">
              <w:t xml:space="preserve">for </w:t>
            </w:r>
            <w:r w:rsidR="00A11C0F" w:rsidRPr="00E14EB4">
              <w:t>e</w:t>
            </w:r>
            <w:r w:rsidR="009E3348" w:rsidRPr="00E14EB4">
              <w:t>lectronic submission</w:t>
            </w:r>
            <w:r w:rsidRPr="00E14EB4">
              <w:t>s, the information from</w:t>
            </w:r>
            <w:r w:rsidR="009E3348" w:rsidRPr="00E14EB4">
              <w:t xml:space="preserve"> the </w:t>
            </w:r>
            <w:r w:rsidR="009E3348" w:rsidRPr="00E14EB4">
              <w:rPr>
                <w:i/>
              </w:rPr>
              <w:t>VA Form 26-4555</w:t>
            </w:r>
            <w:r w:rsidR="009E3348" w:rsidRPr="00E14EB4">
              <w:t xml:space="preserve"> </w:t>
            </w:r>
            <w:r w:rsidRPr="00E14EB4">
              <w:t xml:space="preserve">is </w:t>
            </w:r>
            <w:r w:rsidR="009E3348" w:rsidRPr="00E14EB4">
              <w:t>transfer</w:t>
            </w:r>
            <w:r w:rsidRPr="00E14EB4">
              <w:t>red</w:t>
            </w:r>
            <w:r w:rsidR="009E3348" w:rsidRPr="00E14EB4">
              <w:t xml:space="preserve"> into the SAHSHA system automatically</w:t>
            </w:r>
          </w:p>
          <w:p w14:paraId="1D78CE91" w14:textId="24415C16" w:rsidR="009E3348" w:rsidRPr="00E14EB4" w:rsidRDefault="00F112C8" w:rsidP="009E3348">
            <w:pPr>
              <w:pStyle w:val="BulletText1"/>
            </w:pPr>
            <w:r w:rsidRPr="00E14EB4">
              <w:t xml:space="preserve">for paper submissions, </w:t>
            </w:r>
            <w:r w:rsidR="00A11C0F" w:rsidRPr="00E14EB4">
              <w:t>t</w:t>
            </w:r>
            <w:r w:rsidR="009E3348" w:rsidRPr="00E14EB4">
              <w:t xml:space="preserve">he RLC will manually enter </w:t>
            </w:r>
            <w:r w:rsidRPr="00E14EB4">
              <w:t xml:space="preserve">the information from the </w:t>
            </w:r>
            <w:r w:rsidR="009E3348" w:rsidRPr="00E14EB4">
              <w:t xml:space="preserve">application into SAHSHA  </w:t>
            </w:r>
          </w:p>
          <w:p w14:paraId="3E994DBE" w14:textId="0235F035" w:rsidR="009E3348" w:rsidRPr="00E14EB4" w:rsidRDefault="009E3348" w:rsidP="009E3348">
            <w:pPr>
              <w:pStyle w:val="BulletText1"/>
            </w:pPr>
            <w:r w:rsidRPr="00E14EB4">
              <w:t xml:space="preserve">SAHSHA automatically creates an 890 </w:t>
            </w:r>
            <w:r w:rsidR="00C37F94" w:rsidRPr="00E14EB4">
              <w:t>work item (</w:t>
            </w:r>
            <w:r w:rsidRPr="00E14EB4">
              <w:t>WI</w:t>
            </w:r>
            <w:r w:rsidR="00C37F94" w:rsidRPr="00E14EB4">
              <w:t>)</w:t>
            </w:r>
            <w:r w:rsidRPr="00E14EB4">
              <w:t xml:space="preserve"> when </w:t>
            </w:r>
            <w:r w:rsidR="00343640" w:rsidRPr="00E14EB4">
              <w:t xml:space="preserve">the electronic </w:t>
            </w:r>
            <w:r w:rsidRPr="00E14EB4">
              <w:rPr>
                <w:i/>
              </w:rPr>
              <w:t>VA Form 26-4555</w:t>
            </w:r>
            <w:r w:rsidRPr="00E14EB4">
              <w:t xml:space="preserve"> is </w:t>
            </w:r>
            <w:r w:rsidR="00343640" w:rsidRPr="00E14EB4">
              <w:t xml:space="preserve">received or the information from the application is </w:t>
            </w:r>
            <w:r w:rsidRPr="00E14EB4">
              <w:t>entered</w:t>
            </w:r>
            <w:r w:rsidR="00E0317D" w:rsidRPr="00E14EB4">
              <w:t>, and</w:t>
            </w:r>
          </w:p>
          <w:p w14:paraId="1A484D4A" w14:textId="77777777" w:rsidR="009E3348" w:rsidRPr="00E14EB4" w:rsidRDefault="009E3348" w:rsidP="009E3348">
            <w:pPr>
              <w:pStyle w:val="BulletText1"/>
            </w:pPr>
            <w:r w:rsidRPr="00E14EB4">
              <w:t xml:space="preserve">RLC staff will determine if a rating from the VSC has previously established basic eligibility.  </w:t>
            </w:r>
          </w:p>
          <w:p w14:paraId="62C9CC7F" w14:textId="7A7672A8" w:rsidR="009E3348" w:rsidRPr="00E14EB4" w:rsidRDefault="009E3348" w:rsidP="009E3348">
            <w:pPr>
              <w:pStyle w:val="BulletText2"/>
            </w:pPr>
            <w:r w:rsidRPr="00E14EB4">
              <w:rPr>
                <w:b/>
                <w:i/>
              </w:rPr>
              <w:t>If so</w:t>
            </w:r>
            <w:r w:rsidRPr="00E14EB4">
              <w:t xml:space="preserve">, the RLC will proceed with a determination on entitlement following its policies and procedures. </w:t>
            </w:r>
            <w:r w:rsidR="00343640" w:rsidRPr="00E14EB4">
              <w:t xml:space="preserve"> </w:t>
            </w:r>
            <w:r w:rsidR="00B42F14" w:rsidRPr="00E14EB4">
              <w:t xml:space="preserve">Since </w:t>
            </w:r>
            <w:r w:rsidR="00343640" w:rsidRPr="00E14EB4">
              <w:t>890WI</w:t>
            </w:r>
            <w:r w:rsidR="00B42F14" w:rsidRPr="00E14EB4">
              <w:t xml:space="preserve">s are automatically generated, the VSC in these cases will subsequently review and </w:t>
            </w:r>
            <w:r w:rsidR="00343640" w:rsidRPr="00E14EB4">
              <w:t>clear</w:t>
            </w:r>
            <w:r w:rsidR="00B42F14" w:rsidRPr="00E14EB4">
              <w:t xml:space="preserve"> the 890WI once it is </w:t>
            </w:r>
            <w:r w:rsidR="00343640" w:rsidRPr="00E14EB4">
              <w:t xml:space="preserve">determined that eligibility </w:t>
            </w:r>
            <w:r w:rsidR="00B42F14" w:rsidRPr="00E14EB4">
              <w:t xml:space="preserve">has already been </w:t>
            </w:r>
            <w:r w:rsidR="00343640" w:rsidRPr="00E14EB4">
              <w:t>established</w:t>
            </w:r>
            <w:r w:rsidR="001E48ED" w:rsidRPr="00E14EB4">
              <w:t>.</w:t>
            </w:r>
          </w:p>
          <w:p w14:paraId="72B72250" w14:textId="4BB793B0" w:rsidR="009E3348" w:rsidRPr="00E14EB4" w:rsidRDefault="009E3348" w:rsidP="009E3348">
            <w:pPr>
              <w:pStyle w:val="BulletText2"/>
            </w:pPr>
            <w:r w:rsidRPr="00E14EB4">
              <w:rPr>
                <w:b/>
                <w:i/>
              </w:rPr>
              <w:t>If not</w:t>
            </w:r>
            <w:r w:rsidR="00343640" w:rsidRPr="00E14EB4">
              <w:rPr>
                <w:b/>
                <w:i/>
              </w:rPr>
              <w:t>,</w:t>
            </w:r>
            <w:r w:rsidRPr="00E14EB4">
              <w:t xml:space="preserve"> the 890 WI will prompt a</w:t>
            </w:r>
            <w:r w:rsidR="00B42F14" w:rsidRPr="00E14EB4">
              <w:t>n</w:t>
            </w:r>
            <w:r w:rsidRPr="00E14EB4">
              <w:t xml:space="preserve"> </w:t>
            </w:r>
            <w:r w:rsidR="00B42F14" w:rsidRPr="00E14EB4">
              <w:t xml:space="preserve">eligibility </w:t>
            </w:r>
            <w:r w:rsidRPr="00E14EB4">
              <w:t>determination by the VSC</w:t>
            </w:r>
            <w:r w:rsidR="000731F0" w:rsidRPr="00E14EB4">
              <w:t xml:space="preserve"> as provided in M21-1, Part IX, Subpart i, 3.3.</w:t>
            </w:r>
            <w:r w:rsidR="001158FF" w:rsidRPr="00E14EB4">
              <w:t>g</w:t>
            </w:r>
            <w:r w:rsidR="00D57035" w:rsidRPr="00E14EB4">
              <w:t>.</w:t>
            </w:r>
          </w:p>
          <w:p w14:paraId="76AC52C4" w14:textId="77777777" w:rsidR="009E3348" w:rsidRPr="00E14EB4" w:rsidRDefault="009E3348" w:rsidP="009E3348">
            <w:pPr>
              <w:pStyle w:val="TableText"/>
            </w:pPr>
          </w:p>
          <w:p w14:paraId="3900CC4C" w14:textId="720A22C5" w:rsidR="009E3348" w:rsidRPr="00E14EB4" w:rsidRDefault="009E3348" w:rsidP="000731F0">
            <w:pPr>
              <w:pStyle w:val="TableText"/>
            </w:pPr>
            <w:r w:rsidRPr="00E14EB4">
              <w:rPr>
                <w:b/>
                <w:i/>
              </w:rPr>
              <w:t>Note</w:t>
            </w:r>
            <w:r w:rsidRPr="00E14EB4">
              <w:t>:</w:t>
            </w:r>
            <w:r w:rsidR="000731F0" w:rsidRPr="00E14EB4">
              <w:t xml:space="preserve"> </w:t>
            </w:r>
            <w:r w:rsidRPr="00E14EB4">
              <w:t xml:space="preserve">Loan Guaranty uses the SAHSHA system to process and track </w:t>
            </w:r>
            <w:r w:rsidRPr="00E14EB4">
              <w:rPr>
                <w:i/>
              </w:rPr>
              <w:t xml:space="preserve">VA Forms 26-4555 </w:t>
            </w:r>
            <w:r w:rsidRPr="00E14EB4">
              <w:t>electronically.</w:t>
            </w:r>
          </w:p>
        </w:tc>
      </w:tr>
    </w:tbl>
    <w:p w14:paraId="01071F61" w14:textId="7891BEF5" w:rsidR="009E3348" w:rsidRPr="00E14EB4" w:rsidRDefault="009E3348" w:rsidP="009E3348">
      <w:pPr>
        <w:pStyle w:val="BlockLine"/>
      </w:pPr>
    </w:p>
    <w:tbl>
      <w:tblPr>
        <w:tblW w:w="0" w:type="auto"/>
        <w:tblLayout w:type="fixed"/>
        <w:tblLook w:val="0000" w:firstRow="0" w:lastRow="0" w:firstColumn="0" w:lastColumn="0" w:noHBand="0" w:noVBand="0"/>
      </w:tblPr>
      <w:tblGrid>
        <w:gridCol w:w="1728"/>
        <w:gridCol w:w="7740"/>
      </w:tblGrid>
      <w:tr w:rsidR="00802852" w:rsidRPr="00E14EB4" w14:paraId="6B397BEA" w14:textId="77777777" w:rsidTr="00802852">
        <w:tc>
          <w:tcPr>
            <w:tcW w:w="1728" w:type="dxa"/>
            <w:shd w:val="clear" w:color="auto" w:fill="auto"/>
          </w:tcPr>
          <w:p w14:paraId="08CDC97C" w14:textId="51F116B8" w:rsidR="00802852" w:rsidRPr="00E14EB4" w:rsidRDefault="00AC7B66" w:rsidP="001158FF">
            <w:pPr>
              <w:pStyle w:val="Heading5"/>
            </w:pPr>
            <w:r w:rsidRPr="00E14EB4">
              <w:t xml:space="preserve">d.  </w:t>
            </w:r>
            <w:r w:rsidR="008B1FCB" w:rsidRPr="00E14EB4">
              <w:t>Claim</w:t>
            </w:r>
            <w:r w:rsidR="001847D7" w:rsidRPr="00E14EB4">
              <w:t>s</w:t>
            </w:r>
            <w:r w:rsidR="008B1FCB" w:rsidRPr="00E14EB4">
              <w:t xml:space="preserve"> </w:t>
            </w:r>
            <w:r w:rsidR="001158FF" w:rsidRPr="00E14EB4">
              <w:t xml:space="preserve">Filed with VSC on </w:t>
            </w:r>
            <w:r w:rsidR="006A13F4" w:rsidRPr="00E14EB4">
              <w:t>VA Form 26-4555</w:t>
            </w:r>
          </w:p>
        </w:tc>
        <w:tc>
          <w:tcPr>
            <w:tcW w:w="7740" w:type="dxa"/>
            <w:shd w:val="clear" w:color="auto" w:fill="auto"/>
          </w:tcPr>
          <w:p w14:paraId="2B1FD879" w14:textId="221BFF04" w:rsidR="00AC7B66" w:rsidRPr="00E14EB4" w:rsidRDefault="00AC7B66" w:rsidP="008B1FCB">
            <w:pPr>
              <w:pStyle w:val="TableText"/>
            </w:pPr>
            <w:r w:rsidRPr="00E14EB4">
              <w:t>When a claim</w:t>
            </w:r>
            <w:r w:rsidR="00A11C0F" w:rsidRPr="00E14EB4">
              <w:t>ant seeks to initiate a claim for SHA/SHA by submitting</w:t>
            </w:r>
            <w:r w:rsidRPr="00E14EB4">
              <w:t xml:space="preserve"> </w:t>
            </w:r>
            <w:r w:rsidRPr="00E14EB4">
              <w:rPr>
                <w:i/>
              </w:rPr>
              <w:t>VA Form 26-4555</w:t>
            </w:r>
            <w:r w:rsidR="00A11C0F" w:rsidRPr="00E14EB4">
              <w:t xml:space="preserve"> to the VSC</w:t>
            </w:r>
          </w:p>
          <w:p w14:paraId="087944F6" w14:textId="77777777" w:rsidR="00E0317D" w:rsidRPr="00E14EB4" w:rsidRDefault="00E0317D" w:rsidP="008B1FCB">
            <w:pPr>
              <w:pStyle w:val="TableText"/>
            </w:pPr>
          </w:p>
          <w:p w14:paraId="656B1A53" w14:textId="77777777" w:rsidR="008B1FCB" w:rsidRPr="00E14EB4" w:rsidRDefault="008B1FCB" w:rsidP="008B1FCB">
            <w:pPr>
              <w:pStyle w:val="ListParagraph"/>
              <w:numPr>
                <w:ilvl w:val="0"/>
                <w:numId w:val="7"/>
              </w:numPr>
              <w:ind w:left="158" w:hanging="187"/>
            </w:pPr>
            <w:r w:rsidRPr="00E14EB4">
              <w:t>date stamp the</w:t>
            </w:r>
            <w:r w:rsidRPr="00E14EB4">
              <w:rPr>
                <w:i/>
              </w:rPr>
              <w:t xml:space="preserve"> VA Form 26-4555</w:t>
            </w:r>
          </w:p>
          <w:p w14:paraId="58DDC9ED" w14:textId="77777777" w:rsidR="008B1FCB" w:rsidRPr="00E14EB4" w:rsidRDefault="008B1FCB" w:rsidP="008B1FCB">
            <w:pPr>
              <w:pStyle w:val="ListParagraph"/>
              <w:numPr>
                <w:ilvl w:val="0"/>
                <w:numId w:val="7"/>
              </w:numPr>
              <w:ind w:left="158" w:hanging="187"/>
            </w:pPr>
            <w:r w:rsidRPr="00E14EB4">
              <w:t>forward the application to the RLC of jurisdiction by</w:t>
            </w:r>
          </w:p>
          <w:p w14:paraId="4F9878E4" w14:textId="77777777" w:rsidR="008B1FCB" w:rsidRPr="00E14EB4" w:rsidRDefault="008B1FCB" w:rsidP="008B1FCB">
            <w:pPr>
              <w:pStyle w:val="ListParagraph"/>
              <w:numPr>
                <w:ilvl w:val="0"/>
                <w:numId w:val="8"/>
              </w:numPr>
              <w:ind w:left="346" w:hanging="187"/>
            </w:pPr>
            <w:r w:rsidRPr="00E14EB4">
              <w:t xml:space="preserve">mail, to the address of record, </w:t>
            </w:r>
            <w:r w:rsidRPr="00E14EB4">
              <w:rPr>
                <w:i/>
              </w:rPr>
              <w:t>or</w:t>
            </w:r>
          </w:p>
          <w:p w14:paraId="27629CF8" w14:textId="4EC1176A" w:rsidR="008B1FCB" w:rsidRPr="00E14EB4" w:rsidRDefault="008B1FCB" w:rsidP="008B1FCB">
            <w:pPr>
              <w:pStyle w:val="ListParagraph"/>
              <w:numPr>
                <w:ilvl w:val="0"/>
                <w:numId w:val="8"/>
              </w:numPr>
              <w:ind w:left="346" w:hanging="187"/>
            </w:pPr>
            <w:r w:rsidRPr="00E14EB4">
              <w:t>encrypted e-mail to the RLC’s mailbox (refer to M21-1, Part IX, Subpart I, 3.</w:t>
            </w:r>
            <w:r w:rsidR="001158FF" w:rsidRPr="00E14EB4">
              <w:t>3.i f</w:t>
            </w:r>
            <w:r w:rsidRPr="00E14EB4">
              <w:t>or mailbox addresses)</w:t>
            </w:r>
            <w:r w:rsidR="00AC7B66" w:rsidRPr="00E14EB4">
              <w:t>, and</w:t>
            </w:r>
          </w:p>
          <w:p w14:paraId="59B7620D" w14:textId="200A39DA" w:rsidR="00802852" w:rsidRPr="00E14EB4" w:rsidRDefault="008B1FCB" w:rsidP="008B1FCB">
            <w:pPr>
              <w:pStyle w:val="ListParagraph"/>
              <w:numPr>
                <w:ilvl w:val="0"/>
                <w:numId w:val="13"/>
              </w:numPr>
              <w:ind w:left="158" w:hanging="187"/>
            </w:pPr>
            <w:r w:rsidRPr="00E14EB4">
              <w:t>take any action required by the table below.</w:t>
            </w:r>
          </w:p>
        </w:tc>
      </w:tr>
    </w:tbl>
    <w:p w14:paraId="59D534A3" w14:textId="7FC05945" w:rsidR="006D4C48" w:rsidRPr="00E14EB4" w:rsidRDefault="006D4C48" w:rsidP="00AC7B66"/>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1"/>
        <w:gridCol w:w="4225"/>
      </w:tblGrid>
      <w:tr w:rsidR="00AC7B66" w:rsidRPr="00E14EB4" w14:paraId="774006A6" w14:textId="77777777" w:rsidTr="00E630BC">
        <w:tc>
          <w:tcPr>
            <w:tcW w:w="2269" w:type="pct"/>
            <w:shd w:val="clear" w:color="auto" w:fill="auto"/>
          </w:tcPr>
          <w:p w14:paraId="09539B84" w14:textId="054B03F4" w:rsidR="00AC7B66" w:rsidRPr="00E14EB4" w:rsidRDefault="00AC7B66" w:rsidP="000260D2">
            <w:pPr>
              <w:pStyle w:val="TableHeaderText"/>
              <w:jc w:val="left"/>
            </w:pPr>
            <w:r w:rsidRPr="00E14EB4">
              <w:t xml:space="preserve">If </w:t>
            </w:r>
            <w:r w:rsidR="000260D2" w:rsidRPr="00E14EB4">
              <w:t>basic eligibility to SAH/SHA</w:t>
            </w:r>
            <w:r w:rsidRPr="00E14EB4">
              <w:t>...</w:t>
            </w:r>
          </w:p>
        </w:tc>
        <w:tc>
          <w:tcPr>
            <w:tcW w:w="2731" w:type="pct"/>
            <w:shd w:val="clear" w:color="auto" w:fill="auto"/>
          </w:tcPr>
          <w:p w14:paraId="6781BD17" w14:textId="1727D149" w:rsidR="00AC7B66" w:rsidRPr="00E14EB4" w:rsidRDefault="00AC7B66" w:rsidP="00AC7B66">
            <w:pPr>
              <w:pStyle w:val="TableHeaderText"/>
              <w:jc w:val="left"/>
            </w:pPr>
            <w:r w:rsidRPr="00E14EB4">
              <w:t>Then ...</w:t>
            </w:r>
          </w:p>
        </w:tc>
      </w:tr>
      <w:tr w:rsidR="00AC7B66" w:rsidRPr="00E14EB4" w14:paraId="12A9F4C5" w14:textId="77777777" w:rsidTr="00E630BC">
        <w:tc>
          <w:tcPr>
            <w:tcW w:w="2269" w:type="pct"/>
            <w:shd w:val="clear" w:color="auto" w:fill="auto"/>
          </w:tcPr>
          <w:p w14:paraId="6E4C12B3" w14:textId="4A76DF83" w:rsidR="00AC7B66" w:rsidRPr="00E14EB4" w:rsidRDefault="00AC7B66" w:rsidP="000260D2">
            <w:pPr>
              <w:pStyle w:val="EmbeddedText"/>
            </w:pPr>
            <w:r w:rsidRPr="00E14EB4">
              <w:t>has</w:t>
            </w:r>
            <w:r w:rsidR="000260D2" w:rsidRPr="00E14EB4">
              <w:t xml:space="preserve"> </w:t>
            </w:r>
            <w:r w:rsidRPr="00E14EB4">
              <w:t xml:space="preserve">previously been </w:t>
            </w:r>
            <w:r w:rsidR="002927A1" w:rsidRPr="00E14EB4">
              <w:t>established</w:t>
            </w:r>
            <w:r w:rsidRPr="00E14EB4">
              <w:t xml:space="preserve"> by rating</w:t>
            </w:r>
          </w:p>
        </w:tc>
        <w:tc>
          <w:tcPr>
            <w:tcW w:w="2731" w:type="pct"/>
            <w:shd w:val="clear" w:color="auto" w:fill="auto"/>
          </w:tcPr>
          <w:p w14:paraId="77765BBA" w14:textId="28F8102E" w:rsidR="00AC7B66" w:rsidRPr="00E14EB4" w:rsidRDefault="00AC7B66" w:rsidP="00AC7B66">
            <w:pPr>
              <w:pStyle w:val="TableText"/>
            </w:pPr>
            <w:r w:rsidRPr="00E14EB4">
              <w:t xml:space="preserve">no </w:t>
            </w:r>
            <w:r w:rsidR="00C37F94" w:rsidRPr="00E14EB4">
              <w:t>end product (</w:t>
            </w:r>
            <w:r w:rsidRPr="00E14EB4">
              <w:t>EP</w:t>
            </w:r>
            <w:r w:rsidR="00C37F94" w:rsidRPr="00E14EB4">
              <w:t>)</w:t>
            </w:r>
            <w:r w:rsidRPr="00E14EB4">
              <w:t xml:space="preserve"> control or further VSC action is needed; the RLC will </w:t>
            </w:r>
            <w:r w:rsidRPr="00E14EB4">
              <w:lastRenderedPageBreak/>
              <w:t xml:space="preserve">make the </w:t>
            </w:r>
            <w:r w:rsidR="001158FF" w:rsidRPr="00E14EB4">
              <w:t>entitlement determination.</w:t>
            </w:r>
          </w:p>
        </w:tc>
      </w:tr>
      <w:tr w:rsidR="00AC7B66" w:rsidRPr="00E14EB4" w14:paraId="015B0F95" w14:textId="77777777" w:rsidTr="00E630BC">
        <w:tc>
          <w:tcPr>
            <w:tcW w:w="2269" w:type="pct"/>
            <w:shd w:val="clear" w:color="auto" w:fill="auto"/>
          </w:tcPr>
          <w:p w14:paraId="3B60597A" w14:textId="24242C9E" w:rsidR="000260D2" w:rsidRPr="00E14EB4" w:rsidRDefault="00AC7B66" w:rsidP="000260D2">
            <w:pPr>
              <w:pStyle w:val="ListParagraph"/>
              <w:numPr>
                <w:ilvl w:val="0"/>
                <w:numId w:val="23"/>
              </w:numPr>
              <w:ind w:left="158" w:hanging="187"/>
            </w:pPr>
            <w:r w:rsidRPr="00E14EB4">
              <w:lastRenderedPageBreak/>
              <w:t>has not been previously established by rating</w:t>
            </w:r>
            <w:r w:rsidR="005304F5" w:rsidRPr="00E14EB4">
              <w:t xml:space="preserve">, or </w:t>
            </w:r>
          </w:p>
          <w:p w14:paraId="1D1FE955" w14:textId="7A555EB1" w:rsidR="00AC7B66" w:rsidRPr="00E14EB4" w:rsidRDefault="005304F5" w:rsidP="000260D2">
            <w:pPr>
              <w:pStyle w:val="ListParagraph"/>
              <w:numPr>
                <w:ilvl w:val="0"/>
                <w:numId w:val="23"/>
              </w:numPr>
              <w:ind w:left="158" w:hanging="187"/>
            </w:pPr>
            <w:r w:rsidRPr="00E14EB4">
              <w:t>has been previously denied</w:t>
            </w:r>
          </w:p>
        </w:tc>
        <w:tc>
          <w:tcPr>
            <w:tcW w:w="2731" w:type="pct"/>
            <w:shd w:val="clear" w:color="auto" w:fill="auto"/>
          </w:tcPr>
          <w:p w14:paraId="41CC89C8" w14:textId="0E77EBC5" w:rsidR="00AC7B66" w:rsidRPr="00E14EB4" w:rsidRDefault="00AC7B66" w:rsidP="00AC7B66">
            <w:pPr>
              <w:pStyle w:val="TableText"/>
            </w:pPr>
            <w:r w:rsidRPr="00E14EB4">
              <w:t>make a basic eligibility determination as provided in M21-1, Part IX, Subpart i, 3.3</w:t>
            </w:r>
            <w:r w:rsidR="001158FF" w:rsidRPr="00E14EB4">
              <w:t>.g</w:t>
            </w:r>
            <w:r w:rsidRPr="00E14EB4">
              <w:t>.</w:t>
            </w:r>
          </w:p>
          <w:p w14:paraId="5ECE8C7B" w14:textId="77777777" w:rsidR="00AC7B66" w:rsidRPr="00E14EB4" w:rsidRDefault="00AC7B66" w:rsidP="00AC7B66">
            <w:pPr>
              <w:pStyle w:val="TableText"/>
            </w:pPr>
          </w:p>
          <w:p w14:paraId="6C472B75" w14:textId="1AD06A4A" w:rsidR="00AC7B66" w:rsidRPr="00E14EB4" w:rsidRDefault="00AC7B66" w:rsidP="00AC7B66">
            <w:pPr>
              <w:pStyle w:val="TableText"/>
            </w:pPr>
            <w:r w:rsidRPr="00E14EB4">
              <w:rPr>
                <w:b/>
                <w:i/>
              </w:rPr>
              <w:t>Important</w:t>
            </w:r>
            <w:r w:rsidRPr="00E14EB4">
              <w:t xml:space="preserve">:   Enter a note in the Veterans Benefits Management System (VBMS) indicating that the </w:t>
            </w:r>
            <w:r w:rsidRPr="00E14EB4">
              <w:rPr>
                <w:i/>
              </w:rPr>
              <w:t>VA Form 26-4555</w:t>
            </w:r>
            <w:r w:rsidRPr="00E14EB4">
              <w:t xml:space="preserve"> was sent to the RLC</w:t>
            </w:r>
            <w:r w:rsidR="00C37F94" w:rsidRPr="00E14EB4">
              <w:t>.</w:t>
            </w:r>
          </w:p>
        </w:tc>
      </w:tr>
    </w:tbl>
    <w:p w14:paraId="5AB1598A" w14:textId="6D94A141" w:rsidR="00AC7B66" w:rsidRPr="00E14EB4" w:rsidRDefault="00AC7B66" w:rsidP="00AC7B66"/>
    <w:tbl>
      <w:tblPr>
        <w:tblW w:w="7732" w:type="dxa"/>
        <w:tblInd w:w="1728" w:type="dxa"/>
        <w:tblLayout w:type="fixed"/>
        <w:tblLook w:val="0000" w:firstRow="0" w:lastRow="0" w:firstColumn="0" w:lastColumn="0" w:noHBand="0" w:noVBand="0"/>
      </w:tblPr>
      <w:tblGrid>
        <w:gridCol w:w="7732"/>
      </w:tblGrid>
      <w:tr w:rsidR="00AC7B66" w:rsidRPr="00E14EB4" w14:paraId="7C236A4F" w14:textId="77777777" w:rsidTr="00AC7B66">
        <w:tc>
          <w:tcPr>
            <w:tcW w:w="5000" w:type="pct"/>
            <w:shd w:val="clear" w:color="auto" w:fill="auto"/>
          </w:tcPr>
          <w:p w14:paraId="06F4E5E0" w14:textId="0FC41318" w:rsidR="00AC7B66" w:rsidRPr="00E14EB4" w:rsidRDefault="00AC7B66" w:rsidP="00AC7B66">
            <w:pPr>
              <w:pStyle w:val="NoteText"/>
            </w:pPr>
            <w:r w:rsidRPr="00E14EB4">
              <w:rPr>
                <w:b/>
                <w:i/>
              </w:rPr>
              <w:t>Note</w:t>
            </w:r>
            <w:r w:rsidRPr="00E14EB4">
              <w:t xml:space="preserve">:  In the event a </w:t>
            </w:r>
            <w:r w:rsidRPr="00E14EB4">
              <w:rPr>
                <w:i/>
              </w:rPr>
              <w:t>VA Form 26-4555</w:t>
            </w:r>
            <w:r w:rsidRPr="00E14EB4">
              <w:t xml:space="preserve"> is inadvertently scanned into the Centralized Mail Portal, VSC personnel must utilize the download functionality within the portal to download the mail image.  Once in</w:t>
            </w:r>
            <w:r w:rsidR="001158FF" w:rsidRPr="00E14EB4">
              <w:t xml:space="preserve"> </w:t>
            </w:r>
            <w:r w:rsidRPr="00E14EB4">
              <w:t>PDF format, send the document, via encrypted e</w:t>
            </w:r>
            <w:r w:rsidR="003A16AC" w:rsidRPr="00E14EB4">
              <w:t>-</w:t>
            </w:r>
            <w:r w:rsidRPr="00E14EB4">
              <w:t>mail, to LGYADMINCORR.VBACO@va.gov</w:t>
            </w:r>
            <w:r w:rsidR="000260D2" w:rsidRPr="00E14EB4">
              <w:t>.</w:t>
            </w:r>
          </w:p>
        </w:tc>
      </w:tr>
    </w:tbl>
    <w:p w14:paraId="4D3B2487" w14:textId="77777777" w:rsidR="00AC7B66" w:rsidRPr="00E14EB4" w:rsidRDefault="00AC7B66" w:rsidP="00AC7B66">
      <w:pPr>
        <w:pStyle w:val="BlockLine"/>
      </w:pPr>
    </w:p>
    <w:tbl>
      <w:tblPr>
        <w:tblW w:w="0" w:type="auto"/>
        <w:tblLayout w:type="fixed"/>
        <w:tblLook w:val="0000" w:firstRow="0" w:lastRow="0" w:firstColumn="0" w:lastColumn="0" w:noHBand="0" w:noVBand="0"/>
      </w:tblPr>
      <w:tblGrid>
        <w:gridCol w:w="1728"/>
        <w:gridCol w:w="7740"/>
      </w:tblGrid>
      <w:tr w:rsidR="000731F0" w:rsidRPr="00E14EB4" w14:paraId="68D55033" w14:textId="77777777" w:rsidTr="000731F0">
        <w:tc>
          <w:tcPr>
            <w:tcW w:w="1728" w:type="dxa"/>
            <w:shd w:val="clear" w:color="auto" w:fill="auto"/>
          </w:tcPr>
          <w:p w14:paraId="003DCD25" w14:textId="48400831" w:rsidR="000731F0" w:rsidRPr="00E14EB4" w:rsidRDefault="00AC7B66" w:rsidP="001847D7">
            <w:pPr>
              <w:pStyle w:val="Heading5"/>
            </w:pPr>
            <w:r w:rsidRPr="00E14EB4">
              <w:t xml:space="preserve">e.  </w:t>
            </w:r>
            <w:r w:rsidR="000731F0" w:rsidRPr="00E14EB4">
              <w:t>Claim</w:t>
            </w:r>
            <w:r w:rsidR="001847D7" w:rsidRPr="00E14EB4">
              <w:t>s</w:t>
            </w:r>
            <w:r w:rsidR="000731F0" w:rsidRPr="00E14EB4">
              <w:t xml:space="preserve"> </w:t>
            </w:r>
            <w:r w:rsidR="00566B10" w:rsidRPr="00E14EB4">
              <w:t>F</w:t>
            </w:r>
            <w:r w:rsidR="005304F5" w:rsidRPr="00E14EB4">
              <w:t>iled with VSC on A</w:t>
            </w:r>
            <w:r w:rsidR="001847D7" w:rsidRPr="00E14EB4">
              <w:t>ny O</w:t>
            </w:r>
            <w:r w:rsidR="005304F5" w:rsidRPr="00E14EB4">
              <w:t>ther Valid VA Form</w:t>
            </w:r>
          </w:p>
        </w:tc>
        <w:tc>
          <w:tcPr>
            <w:tcW w:w="7740" w:type="dxa"/>
            <w:shd w:val="clear" w:color="auto" w:fill="auto"/>
          </w:tcPr>
          <w:p w14:paraId="5DF3B0DF" w14:textId="63F6EE1B" w:rsidR="000731F0" w:rsidRPr="00E14EB4" w:rsidRDefault="00AC7B66" w:rsidP="000731F0">
            <w:pPr>
              <w:pStyle w:val="BlockText"/>
            </w:pPr>
            <w:r w:rsidRPr="00E14EB4">
              <w:t xml:space="preserve">When a claim is received by the VSC on a valid VA form other than </w:t>
            </w:r>
            <w:r w:rsidRPr="00E14EB4">
              <w:rPr>
                <w:i/>
              </w:rPr>
              <w:t>VA Form 26-4555</w:t>
            </w:r>
            <w:r w:rsidR="008E6D3B" w:rsidRPr="00E14EB4">
              <w:t>,</w:t>
            </w:r>
            <w:r w:rsidRPr="00E14EB4">
              <w:rPr>
                <w:i/>
              </w:rPr>
              <w:t xml:space="preserve"> </w:t>
            </w:r>
            <w:r w:rsidRPr="00E14EB4">
              <w:t xml:space="preserve">take any action required by the table below. </w:t>
            </w:r>
          </w:p>
        </w:tc>
      </w:tr>
    </w:tbl>
    <w:p w14:paraId="282C46A4" w14:textId="5AD073FC" w:rsidR="000731F0" w:rsidRPr="00E14EB4" w:rsidRDefault="000731F0" w:rsidP="00AC7B66"/>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1"/>
        <w:gridCol w:w="4225"/>
      </w:tblGrid>
      <w:tr w:rsidR="00AC7B66" w:rsidRPr="00E14EB4" w14:paraId="724D67FC" w14:textId="77777777" w:rsidTr="00E630BC">
        <w:tc>
          <w:tcPr>
            <w:tcW w:w="2269" w:type="pct"/>
            <w:shd w:val="clear" w:color="auto" w:fill="auto"/>
          </w:tcPr>
          <w:p w14:paraId="07654B5D" w14:textId="630D91F7" w:rsidR="00AC7B66" w:rsidRPr="00E14EB4" w:rsidRDefault="00AC7B66" w:rsidP="00AC7B66">
            <w:pPr>
              <w:pStyle w:val="TableHeaderText"/>
              <w:jc w:val="left"/>
            </w:pPr>
            <w:r w:rsidRPr="00E14EB4">
              <w:t xml:space="preserve">If </w:t>
            </w:r>
            <w:r w:rsidR="000260D2" w:rsidRPr="00E14EB4">
              <w:t>basic eligibility to SAH/SHA</w:t>
            </w:r>
            <w:r w:rsidRPr="00E14EB4">
              <w:t>...</w:t>
            </w:r>
          </w:p>
        </w:tc>
        <w:tc>
          <w:tcPr>
            <w:tcW w:w="2731" w:type="pct"/>
            <w:shd w:val="clear" w:color="auto" w:fill="auto"/>
          </w:tcPr>
          <w:p w14:paraId="5408D7D8" w14:textId="72707655" w:rsidR="00AC7B66" w:rsidRPr="00E14EB4" w:rsidRDefault="00AC7B66" w:rsidP="00AC7B66">
            <w:pPr>
              <w:pStyle w:val="TableHeaderText"/>
              <w:jc w:val="left"/>
            </w:pPr>
            <w:r w:rsidRPr="00E14EB4">
              <w:t>Then ...</w:t>
            </w:r>
          </w:p>
        </w:tc>
      </w:tr>
      <w:tr w:rsidR="00A17305" w:rsidRPr="00E14EB4" w14:paraId="01C1AB94" w14:textId="77777777" w:rsidTr="00E630BC">
        <w:tc>
          <w:tcPr>
            <w:tcW w:w="2269" w:type="pct"/>
            <w:shd w:val="clear" w:color="auto" w:fill="auto"/>
          </w:tcPr>
          <w:p w14:paraId="0788DC1D" w14:textId="7E5AE32D" w:rsidR="00A17305" w:rsidRPr="00E14EB4" w:rsidRDefault="00A17305" w:rsidP="001D07A7">
            <w:pPr>
              <w:pStyle w:val="EmbeddedText"/>
            </w:pPr>
            <w:r w:rsidRPr="00E14EB4">
              <w:t>has previously been established by rating</w:t>
            </w:r>
          </w:p>
          <w:p w14:paraId="6B0E8549" w14:textId="77777777" w:rsidR="00A17305" w:rsidRPr="00E14EB4" w:rsidRDefault="00A17305" w:rsidP="00AC7B66">
            <w:pPr>
              <w:pStyle w:val="TableText"/>
            </w:pPr>
          </w:p>
        </w:tc>
        <w:tc>
          <w:tcPr>
            <w:tcW w:w="2731" w:type="pct"/>
            <w:shd w:val="clear" w:color="auto" w:fill="auto"/>
          </w:tcPr>
          <w:p w14:paraId="271C3FA0" w14:textId="229C148D" w:rsidR="00A17305" w:rsidRPr="00E14EB4" w:rsidRDefault="00A17305" w:rsidP="00AC7B66">
            <w:pPr>
              <w:pStyle w:val="TableText"/>
            </w:pPr>
            <w:r w:rsidRPr="00E14EB4">
              <w:t>no EP control or further VSC action is needed; the RLC will make the entitlement determination based on its own policies and procedures.</w:t>
            </w:r>
          </w:p>
        </w:tc>
      </w:tr>
      <w:tr w:rsidR="00AC7B66" w:rsidRPr="00E14EB4" w14:paraId="67290C1B" w14:textId="77777777" w:rsidTr="00E0317D">
        <w:trPr>
          <w:trHeight w:val="930"/>
        </w:trPr>
        <w:tc>
          <w:tcPr>
            <w:tcW w:w="2269" w:type="pct"/>
            <w:shd w:val="clear" w:color="auto" w:fill="auto"/>
          </w:tcPr>
          <w:p w14:paraId="0ACE9FCD" w14:textId="0844D8B4" w:rsidR="00AC7B66" w:rsidRPr="00E14EB4" w:rsidRDefault="000260D2" w:rsidP="000260D2">
            <w:pPr>
              <w:pStyle w:val="ListParagraph"/>
              <w:numPr>
                <w:ilvl w:val="0"/>
                <w:numId w:val="21"/>
              </w:numPr>
              <w:ind w:left="158" w:hanging="187"/>
            </w:pPr>
            <w:r w:rsidRPr="00E14EB4">
              <w:t xml:space="preserve">has </w:t>
            </w:r>
            <w:r w:rsidR="00AC7B66" w:rsidRPr="00E14EB4">
              <w:t>not been previously established by rating, or</w:t>
            </w:r>
          </w:p>
          <w:p w14:paraId="1E9B2BAE" w14:textId="3E8C2711" w:rsidR="00AC7B66" w:rsidRPr="00E14EB4" w:rsidRDefault="00AC7B66" w:rsidP="000260D2">
            <w:pPr>
              <w:pStyle w:val="ListParagraph"/>
              <w:numPr>
                <w:ilvl w:val="0"/>
                <w:numId w:val="21"/>
              </w:numPr>
              <w:ind w:left="158" w:hanging="187"/>
            </w:pPr>
            <w:r w:rsidRPr="00E14EB4">
              <w:t>has been previously denied</w:t>
            </w:r>
          </w:p>
        </w:tc>
        <w:tc>
          <w:tcPr>
            <w:tcW w:w="2731" w:type="pct"/>
            <w:shd w:val="clear" w:color="auto" w:fill="auto"/>
          </w:tcPr>
          <w:p w14:paraId="41E772B9" w14:textId="557F32FA" w:rsidR="00AC7B66" w:rsidRPr="00E14EB4" w:rsidRDefault="00AC7B66" w:rsidP="00AC7B66">
            <w:pPr>
              <w:pStyle w:val="TableText"/>
            </w:pPr>
            <w:r w:rsidRPr="00E14EB4">
              <w:t>make a basic eligibility determination as provided in M21-1, Part IX, Subpart i, 3.3</w:t>
            </w:r>
            <w:r w:rsidR="005304F5" w:rsidRPr="00E14EB4">
              <w:t>.g</w:t>
            </w:r>
            <w:r w:rsidRPr="00E14EB4">
              <w:t>.</w:t>
            </w:r>
          </w:p>
        </w:tc>
      </w:tr>
    </w:tbl>
    <w:p w14:paraId="6D3DF34A" w14:textId="41F5311D" w:rsidR="00AC7B66" w:rsidRPr="00E14EB4" w:rsidRDefault="00AC7B66" w:rsidP="00AC7B66">
      <w:pPr>
        <w:pStyle w:val="BlockLine"/>
      </w:pPr>
    </w:p>
    <w:tbl>
      <w:tblPr>
        <w:tblW w:w="0" w:type="auto"/>
        <w:tblLayout w:type="fixed"/>
        <w:tblLook w:val="0000" w:firstRow="0" w:lastRow="0" w:firstColumn="0" w:lastColumn="0" w:noHBand="0" w:noVBand="0"/>
      </w:tblPr>
      <w:tblGrid>
        <w:gridCol w:w="1728"/>
        <w:gridCol w:w="7740"/>
      </w:tblGrid>
      <w:tr w:rsidR="00AC7B66" w:rsidRPr="00E14EB4" w14:paraId="55B4C625" w14:textId="77777777" w:rsidTr="00AC7B66">
        <w:tc>
          <w:tcPr>
            <w:tcW w:w="1728" w:type="dxa"/>
            <w:shd w:val="clear" w:color="auto" w:fill="auto"/>
          </w:tcPr>
          <w:p w14:paraId="6AD778B2" w14:textId="480746A1" w:rsidR="00AC7B66" w:rsidRPr="00E14EB4" w:rsidRDefault="00AC7B66" w:rsidP="00AC7B66">
            <w:pPr>
              <w:pStyle w:val="Heading5"/>
            </w:pPr>
            <w:r w:rsidRPr="00E14EB4">
              <w:t>f.  Subordinate Issue of Basic Eligibility to SAH/SHA Raised by the Record</w:t>
            </w:r>
          </w:p>
        </w:tc>
        <w:tc>
          <w:tcPr>
            <w:tcW w:w="7740" w:type="dxa"/>
            <w:shd w:val="clear" w:color="auto" w:fill="auto"/>
          </w:tcPr>
          <w:p w14:paraId="673E223F" w14:textId="44F4A244" w:rsidR="00AC7B66" w:rsidRPr="00E14EB4" w:rsidRDefault="002927A1" w:rsidP="00A17305">
            <w:pPr>
              <w:pStyle w:val="BlockText"/>
            </w:pPr>
            <w:r w:rsidRPr="00E14EB4">
              <w:t xml:space="preserve">When there is not a claim for SAH/SHA but the </w:t>
            </w:r>
            <w:r w:rsidR="0040354F" w:rsidRPr="00E14EB4">
              <w:t xml:space="preserve">evidence and disposition of </w:t>
            </w:r>
            <w:r w:rsidR="004F23DE" w:rsidRPr="00E14EB4">
              <w:t xml:space="preserve">an issue </w:t>
            </w:r>
            <w:r w:rsidR="00A17305" w:rsidRPr="00E14EB4">
              <w:t xml:space="preserve">demonstrates </w:t>
            </w:r>
            <w:r w:rsidRPr="00E14EB4">
              <w:t xml:space="preserve">basic eligibility to SAH/SHA </w:t>
            </w:r>
            <w:r w:rsidR="0040354F" w:rsidRPr="00E14EB4">
              <w:t xml:space="preserve">as provided in </w:t>
            </w:r>
            <w:r w:rsidR="004F23DE" w:rsidRPr="00E14EB4">
              <w:t xml:space="preserve">M21-1, Part III, Subpart iv, 6.B.2, </w:t>
            </w:r>
            <w:r w:rsidRPr="00E14EB4">
              <w:t xml:space="preserve">take action as required by the table below. </w:t>
            </w:r>
          </w:p>
        </w:tc>
      </w:tr>
    </w:tbl>
    <w:p w14:paraId="7669EDC3" w14:textId="688B3BF7" w:rsidR="00AC7B66" w:rsidRPr="00E14EB4" w:rsidRDefault="00AC7B66" w:rsidP="0040354F"/>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1"/>
        <w:gridCol w:w="4225"/>
      </w:tblGrid>
      <w:tr w:rsidR="0040354F" w:rsidRPr="00E14EB4" w14:paraId="154D4851" w14:textId="77777777" w:rsidTr="00E630BC">
        <w:tc>
          <w:tcPr>
            <w:tcW w:w="2269" w:type="pct"/>
            <w:shd w:val="clear" w:color="auto" w:fill="auto"/>
          </w:tcPr>
          <w:p w14:paraId="5D9E0F3C" w14:textId="303E5525" w:rsidR="0040354F" w:rsidRPr="00E14EB4" w:rsidRDefault="0040354F" w:rsidP="0040354F">
            <w:pPr>
              <w:pStyle w:val="TableHeaderText"/>
              <w:jc w:val="left"/>
            </w:pPr>
            <w:r w:rsidRPr="00E14EB4">
              <w:t xml:space="preserve">If </w:t>
            </w:r>
            <w:r w:rsidR="000260D2" w:rsidRPr="00E14EB4">
              <w:t>basic eligibility to SAH/SHA</w:t>
            </w:r>
            <w:r w:rsidRPr="00E14EB4">
              <w:t>...</w:t>
            </w:r>
          </w:p>
        </w:tc>
        <w:tc>
          <w:tcPr>
            <w:tcW w:w="2731" w:type="pct"/>
            <w:shd w:val="clear" w:color="auto" w:fill="auto"/>
          </w:tcPr>
          <w:p w14:paraId="13BB58E0" w14:textId="275B0667" w:rsidR="0040354F" w:rsidRPr="00E14EB4" w:rsidRDefault="0040354F" w:rsidP="0040354F">
            <w:pPr>
              <w:pStyle w:val="TableHeaderText"/>
              <w:jc w:val="left"/>
            </w:pPr>
            <w:r w:rsidRPr="00E14EB4">
              <w:t>Then ...</w:t>
            </w:r>
          </w:p>
        </w:tc>
      </w:tr>
      <w:tr w:rsidR="00A17305" w:rsidRPr="00E14EB4" w14:paraId="14AAFE55" w14:textId="77777777" w:rsidTr="00E630BC">
        <w:tc>
          <w:tcPr>
            <w:tcW w:w="2269" w:type="pct"/>
            <w:shd w:val="clear" w:color="auto" w:fill="auto"/>
          </w:tcPr>
          <w:p w14:paraId="527D7AC5" w14:textId="53CDBF87" w:rsidR="00A17305" w:rsidRPr="00E14EB4" w:rsidRDefault="00A17305" w:rsidP="001D07A7">
            <w:pPr>
              <w:pStyle w:val="EmbeddedText"/>
            </w:pPr>
            <w:r w:rsidRPr="00E14EB4">
              <w:t>has previously been established by rating</w:t>
            </w:r>
          </w:p>
          <w:p w14:paraId="222C3E9C" w14:textId="77777777" w:rsidR="00A17305" w:rsidRPr="00E14EB4" w:rsidRDefault="00A17305" w:rsidP="00F55048">
            <w:pPr>
              <w:pStyle w:val="TableText"/>
            </w:pPr>
          </w:p>
        </w:tc>
        <w:tc>
          <w:tcPr>
            <w:tcW w:w="2731" w:type="pct"/>
            <w:shd w:val="clear" w:color="auto" w:fill="auto"/>
          </w:tcPr>
          <w:p w14:paraId="305A1E27" w14:textId="5B872614" w:rsidR="00A17305" w:rsidRPr="00E14EB4" w:rsidRDefault="001847D7" w:rsidP="001D07A7">
            <w:pPr>
              <w:pStyle w:val="TableText"/>
            </w:pPr>
            <w:r w:rsidRPr="00E14EB4">
              <w:t>d</w:t>
            </w:r>
            <w:r w:rsidR="00A17305" w:rsidRPr="00E14EB4">
              <w:t xml:space="preserve">o not </w:t>
            </w:r>
            <w:r w:rsidR="002C1C81" w:rsidRPr="00E14EB4">
              <w:t xml:space="preserve">include an </w:t>
            </w:r>
            <w:r w:rsidR="00C536F5" w:rsidRPr="00E14EB4">
              <w:t xml:space="preserve">SAH/SHA </w:t>
            </w:r>
            <w:r w:rsidR="002C1C81" w:rsidRPr="00E14EB4">
              <w:t xml:space="preserve">issue in the rating decision but do </w:t>
            </w:r>
            <w:r w:rsidR="004A2FC0" w:rsidRPr="00E14EB4">
              <w:t>e</w:t>
            </w:r>
            <w:r w:rsidR="002C1C81" w:rsidRPr="00E14EB4">
              <w:t xml:space="preserve">nsure the corporate </w:t>
            </w:r>
            <w:r w:rsidR="004A2FC0" w:rsidRPr="00E14EB4">
              <w:t xml:space="preserve">database </w:t>
            </w:r>
            <w:r w:rsidR="002C1C81" w:rsidRPr="00E14EB4">
              <w:t xml:space="preserve">reflects the </w:t>
            </w:r>
            <w:r w:rsidR="00C536F5" w:rsidRPr="00E14EB4">
              <w:t xml:space="preserve">SAH/SHA </w:t>
            </w:r>
            <w:r w:rsidR="002C1C81" w:rsidRPr="00E14EB4">
              <w:t xml:space="preserve">eligibility grant. </w:t>
            </w:r>
            <w:r w:rsidR="00A17305" w:rsidRPr="00E14EB4">
              <w:t xml:space="preserve">  </w:t>
            </w:r>
          </w:p>
          <w:p w14:paraId="166AA790" w14:textId="77777777" w:rsidR="00A17305" w:rsidRPr="00E14EB4" w:rsidRDefault="00A17305" w:rsidP="00F55048">
            <w:pPr>
              <w:pStyle w:val="TableText"/>
            </w:pPr>
          </w:p>
        </w:tc>
      </w:tr>
      <w:tr w:rsidR="0040354F" w:rsidRPr="00E14EB4" w14:paraId="7083AAE1" w14:textId="77777777" w:rsidTr="00E630BC">
        <w:tc>
          <w:tcPr>
            <w:tcW w:w="2269" w:type="pct"/>
            <w:shd w:val="clear" w:color="auto" w:fill="auto"/>
          </w:tcPr>
          <w:p w14:paraId="4A25835F" w14:textId="17398F1D" w:rsidR="0040354F" w:rsidRPr="00E14EB4" w:rsidRDefault="0040354F" w:rsidP="000260D2">
            <w:pPr>
              <w:pStyle w:val="ListParagraph"/>
              <w:numPr>
                <w:ilvl w:val="0"/>
                <w:numId w:val="22"/>
              </w:numPr>
              <w:ind w:left="158" w:hanging="187"/>
            </w:pPr>
            <w:r w:rsidRPr="00E14EB4">
              <w:t>has</w:t>
            </w:r>
            <w:r w:rsidR="000260D2" w:rsidRPr="00E14EB4">
              <w:t xml:space="preserve"> </w:t>
            </w:r>
            <w:r w:rsidRPr="00E14EB4">
              <w:t>not been previously established by rating, or</w:t>
            </w:r>
          </w:p>
          <w:p w14:paraId="50DC1514" w14:textId="1C2DC0C3" w:rsidR="0040354F" w:rsidRPr="00E14EB4" w:rsidRDefault="0040354F" w:rsidP="000260D2">
            <w:pPr>
              <w:pStyle w:val="ListParagraph"/>
              <w:numPr>
                <w:ilvl w:val="0"/>
                <w:numId w:val="20"/>
              </w:numPr>
              <w:ind w:left="158" w:hanging="187"/>
            </w:pPr>
            <w:r w:rsidRPr="00E14EB4">
              <w:lastRenderedPageBreak/>
              <w:t>has been previously denied</w:t>
            </w:r>
          </w:p>
        </w:tc>
        <w:tc>
          <w:tcPr>
            <w:tcW w:w="2731" w:type="pct"/>
            <w:shd w:val="clear" w:color="auto" w:fill="auto"/>
          </w:tcPr>
          <w:p w14:paraId="26218F50" w14:textId="798876C4" w:rsidR="0040354F" w:rsidRPr="00E14EB4" w:rsidRDefault="0040354F" w:rsidP="00142EA7">
            <w:pPr>
              <w:pStyle w:val="TableText"/>
            </w:pPr>
            <w:r w:rsidRPr="00E14EB4">
              <w:lastRenderedPageBreak/>
              <w:t xml:space="preserve">make a basic eligibility determination as provided in </w:t>
            </w:r>
            <w:r w:rsidR="00A17305" w:rsidRPr="00E14EB4">
              <w:t xml:space="preserve">M21-1, Part IX, Subpart i, </w:t>
            </w:r>
            <w:r w:rsidR="00A17305" w:rsidRPr="00E14EB4">
              <w:lastRenderedPageBreak/>
              <w:t>3.3.g</w:t>
            </w:r>
            <w:r w:rsidRPr="00E14EB4">
              <w:t>.</w:t>
            </w:r>
          </w:p>
        </w:tc>
      </w:tr>
    </w:tbl>
    <w:p w14:paraId="794299F8" w14:textId="77777777" w:rsidR="007C13C4" w:rsidRPr="00E14EB4" w:rsidRDefault="007C13C4" w:rsidP="007C13C4">
      <w:pPr>
        <w:pStyle w:val="BlockLine"/>
      </w:pPr>
    </w:p>
    <w:tbl>
      <w:tblPr>
        <w:tblW w:w="0" w:type="auto"/>
        <w:tblLayout w:type="fixed"/>
        <w:tblLook w:val="0000" w:firstRow="0" w:lastRow="0" w:firstColumn="0" w:lastColumn="0" w:noHBand="0" w:noVBand="0"/>
      </w:tblPr>
      <w:tblGrid>
        <w:gridCol w:w="1728"/>
        <w:gridCol w:w="7740"/>
      </w:tblGrid>
      <w:tr w:rsidR="006D4C48" w:rsidRPr="00E14EB4" w14:paraId="6E4604F8" w14:textId="77777777" w:rsidTr="006D4C48">
        <w:tc>
          <w:tcPr>
            <w:tcW w:w="1728" w:type="dxa"/>
            <w:shd w:val="clear" w:color="auto" w:fill="auto"/>
          </w:tcPr>
          <w:p w14:paraId="4F46A1B6" w14:textId="47DA6C7D" w:rsidR="006D4C48" w:rsidRPr="00E14EB4" w:rsidRDefault="001545A6" w:rsidP="00E0317D">
            <w:pPr>
              <w:pStyle w:val="Heading5"/>
            </w:pPr>
            <w:r w:rsidRPr="00E14EB4">
              <w:t>g</w:t>
            </w:r>
            <w:r w:rsidR="006D4C48" w:rsidRPr="00E14EB4">
              <w:t xml:space="preserve">.  </w:t>
            </w:r>
            <w:r w:rsidR="000848E4" w:rsidRPr="00E14EB4">
              <w:t xml:space="preserve">VSC </w:t>
            </w:r>
            <w:r w:rsidR="00D25EBD" w:rsidRPr="00E14EB4">
              <w:t>SAH/SHA Basic Eligi</w:t>
            </w:r>
            <w:r w:rsidR="00C536F5" w:rsidRPr="00E14EB4">
              <w:t>bi</w:t>
            </w:r>
            <w:r w:rsidR="00D25EBD" w:rsidRPr="00E14EB4">
              <w:t>lity Determination</w:t>
            </w:r>
            <w:r w:rsidR="00E0317D" w:rsidRPr="00E14EB4">
              <w:t xml:space="preserve"> Process</w:t>
            </w:r>
          </w:p>
        </w:tc>
        <w:tc>
          <w:tcPr>
            <w:tcW w:w="7740" w:type="dxa"/>
            <w:shd w:val="clear" w:color="auto" w:fill="auto"/>
          </w:tcPr>
          <w:p w14:paraId="75F491C7" w14:textId="327B41FE" w:rsidR="006D4C48" w:rsidRPr="00E14EB4" w:rsidRDefault="006D4C48" w:rsidP="00F55048">
            <w:pPr>
              <w:pStyle w:val="BlockText"/>
            </w:pPr>
            <w:r w:rsidRPr="00E14EB4">
              <w:t xml:space="preserve">The table below describes the </w:t>
            </w:r>
            <w:r w:rsidR="000848E4" w:rsidRPr="00E14EB4">
              <w:t xml:space="preserve">stages of </w:t>
            </w:r>
            <w:r w:rsidR="00A563D0" w:rsidRPr="00E14EB4">
              <w:t xml:space="preserve">a </w:t>
            </w:r>
            <w:r w:rsidR="000848E4" w:rsidRPr="00E14EB4">
              <w:t xml:space="preserve">VSC </w:t>
            </w:r>
            <w:r w:rsidRPr="00E14EB4">
              <w:t xml:space="preserve">SAH or SHA </w:t>
            </w:r>
            <w:r w:rsidR="00A563D0" w:rsidRPr="00E14EB4">
              <w:t xml:space="preserve">basic eligibility </w:t>
            </w:r>
            <w:r w:rsidR="000848E4" w:rsidRPr="00E14EB4">
              <w:t>determination</w:t>
            </w:r>
            <w:r w:rsidR="00A563D0" w:rsidRPr="00E14EB4">
              <w:t xml:space="preserve"> </w:t>
            </w:r>
            <w:r w:rsidR="001A25F5" w:rsidRPr="00E14EB4">
              <w:t xml:space="preserve">process </w:t>
            </w:r>
            <w:r w:rsidR="00A563D0" w:rsidRPr="00E14EB4">
              <w:t>when a determination is necessary</w:t>
            </w:r>
            <w:r w:rsidR="005D56A3" w:rsidRPr="00E14EB4">
              <w:t xml:space="preserve"> as provided in this topic</w:t>
            </w:r>
            <w:r w:rsidR="0040354F" w:rsidRPr="00E14EB4">
              <w:t>.</w:t>
            </w:r>
          </w:p>
          <w:p w14:paraId="41EDB3D3" w14:textId="77777777" w:rsidR="0040354F" w:rsidRPr="00E14EB4" w:rsidRDefault="0040354F" w:rsidP="00F55048">
            <w:pPr>
              <w:pStyle w:val="BlockText"/>
            </w:pPr>
          </w:p>
          <w:p w14:paraId="63B69383" w14:textId="2180DD8A" w:rsidR="006D4C48" w:rsidRPr="00E14EB4" w:rsidRDefault="0040354F" w:rsidP="00EA1FC7">
            <w:pPr>
              <w:pStyle w:val="BlockText"/>
            </w:pPr>
            <w:r w:rsidRPr="00E14EB4">
              <w:t xml:space="preserve">Where a determination is necessary under M21-1, Part IX, Subpart i, 3.3.a and f (a subordinate issue of basic eligibility to SAH/SHA is raised by the </w:t>
            </w:r>
            <w:r w:rsidR="00EA1FC7" w:rsidRPr="00E14EB4">
              <w:t>disposition of a claimed issue</w:t>
            </w:r>
            <w:r w:rsidRPr="00E14EB4">
              <w:t>)</w:t>
            </w:r>
            <w:r w:rsidR="001A25F5" w:rsidRPr="00E14EB4">
              <w:t xml:space="preserve"> the process</w:t>
            </w:r>
            <w:r w:rsidRPr="00E14EB4">
              <w:t xml:space="preserve"> start</w:t>
            </w:r>
            <w:r w:rsidR="001A25F5" w:rsidRPr="00E14EB4">
              <w:t>s</w:t>
            </w:r>
            <w:r w:rsidRPr="00E14EB4">
              <w:t xml:space="preserve"> with </w:t>
            </w:r>
            <w:r w:rsidR="001847D7" w:rsidRPr="00E14EB4">
              <w:t>S</w:t>
            </w:r>
            <w:r w:rsidR="001A25F5" w:rsidRPr="00E14EB4">
              <w:t>tage</w:t>
            </w:r>
            <w:r w:rsidRPr="00E14EB4">
              <w:t xml:space="preserve"> 3. </w:t>
            </w:r>
          </w:p>
        </w:tc>
      </w:tr>
    </w:tbl>
    <w:p w14:paraId="684C2B40" w14:textId="26484B1C" w:rsidR="006D4C48" w:rsidRPr="00E14EB4" w:rsidRDefault="006D4C48" w:rsidP="006D4C48"/>
    <w:tbl>
      <w:tblPr>
        <w:tblW w:w="7550" w:type="dxa"/>
        <w:tblInd w:w="1800" w:type="dxa"/>
        <w:tblLayout w:type="fixed"/>
        <w:tblCellMar>
          <w:left w:w="80" w:type="dxa"/>
          <w:right w:w="80" w:type="dxa"/>
        </w:tblCellMar>
        <w:tblLook w:val="0000" w:firstRow="0" w:lastRow="0" w:firstColumn="0" w:lastColumn="0" w:noHBand="0" w:noVBand="0"/>
      </w:tblPr>
      <w:tblGrid>
        <w:gridCol w:w="890"/>
        <w:gridCol w:w="2250"/>
        <w:gridCol w:w="4410"/>
      </w:tblGrid>
      <w:tr w:rsidR="006D4C48" w:rsidRPr="00E14EB4" w14:paraId="507D5BD3" w14:textId="77777777" w:rsidTr="00CE3B10">
        <w:trPr>
          <w:cantSplit/>
        </w:trPr>
        <w:tc>
          <w:tcPr>
            <w:tcW w:w="890" w:type="dxa"/>
            <w:tcBorders>
              <w:top w:val="single" w:sz="6" w:space="0" w:color="auto"/>
              <w:left w:val="single" w:sz="6" w:space="0" w:color="auto"/>
              <w:bottom w:val="single" w:sz="6" w:space="0" w:color="auto"/>
              <w:right w:val="single" w:sz="6" w:space="0" w:color="auto"/>
            </w:tcBorders>
          </w:tcPr>
          <w:p w14:paraId="499CC327" w14:textId="77777777" w:rsidR="006D4C48" w:rsidRPr="00E14EB4" w:rsidRDefault="006D4C48" w:rsidP="00F55048">
            <w:pPr>
              <w:pStyle w:val="TableHeaderText"/>
            </w:pPr>
            <w:r w:rsidRPr="00E14EB4">
              <w:t>Stage</w:t>
            </w:r>
          </w:p>
        </w:tc>
        <w:tc>
          <w:tcPr>
            <w:tcW w:w="2250" w:type="dxa"/>
            <w:tcBorders>
              <w:top w:val="single" w:sz="6" w:space="0" w:color="auto"/>
              <w:left w:val="single" w:sz="6" w:space="0" w:color="auto"/>
              <w:bottom w:val="single" w:sz="6" w:space="0" w:color="auto"/>
              <w:right w:val="single" w:sz="6" w:space="0" w:color="auto"/>
            </w:tcBorders>
          </w:tcPr>
          <w:p w14:paraId="1DF7784D" w14:textId="77777777" w:rsidR="006D4C48" w:rsidRPr="00E14EB4" w:rsidRDefault="006D4C48" w:rsidP="00F55048">
            <w:pPr>
              <w:pStyle w:val="TableHeaderText"/>
            </w:pPr>
            <w:r w:rsidRPr="00E14EB4">
              <w:t>Who Is Responsible</w:t>
            </w:r>
          </w:p>
        </w:tc>
        <w:tc>
          <w:tcPr>
            <w:tcW w:w="4410" w:type="dxa"/>
            <w:tcBorders>
              <w:top w:val="single" w:sz="6" w:space="0" w:color="auto"/>
              <w:left w:val="single" w:sz="6" w:space="0" w:color="auto"/>
              <w:bottom w:val="single" w:sz="6" w:space="0" w:color="auto"/>
              <w:right w:val="single" w:sz="6" w:space="0" w:color="auto"/>
            </w:tcBorders>
          </w:tcPr>
          <w:p w14:paraId="39CEE03D" w14:textId="77777777" w:rsidR="006D4C48" w:rsidRPr="00E14EB4" w:rsidRDefault="006D4C48" w:rsidP="00F55048">
            <w:pPr>
              <w:pStyle w:val="TableHeaderText"/>
            </w:pPr>
            <w:r w:rsidRPr="00E14EB4">
              <w:t>Description</w:t>
            </w:r>
          </w:p>
        </w:tc>
      </w:tr>
      <w:tr w:rsidR="006D4C48" w:rsidRPr="00E14EB4" w14:paraId="58C259E2" w14:textId="77777777" w:rsidTr="00CE3B10">
        <w:trPr>
          <w:cantSplit/>
        </w:trPr>
        <w:tc>
          <w:tcPr>
            <w:tcW w:w="890" w:type="dxa"/>
            <w:tcBorders>
              <w:top w:val="single" w:sz="6" w:space="0" w:color="auto"/>
              <w:left w:val="single" w:sz="6" w:space="0" w:color="auto"/>
              <w:bottom w:val="single" w:sz="6" w:space="0" w:color="auto"/>
              <w:right w:val="single" w:sz="6" w:space="0" w:color="auto"/>
            </w:tcBorders>
          </w:tcPr>
          <w:p w14:paraId="3FACDA4A" w14:textId="05B6B001" w:rsidR="006D4C48" w:rsidRPr="00E14EB4" w:rsidRDefault="00E85825" w:rsidP="00C245B9">
            <w:pPr>
              <w:pStyle w:val="TableText"/>
              <w:jc w:val="center"/>
            </w:pPr>
            <w:r w:rsidRPr="00E14EB4">
              <w:t>1</w:t>
            </w:r>
          </w:p>
        </w:tc>
        <w:tc>
          <w:tcPr>
            <w:tcW w:w="2250" w:type="dxa"/>
            <w:tcBorders>
              <w:top w:val="single" w:sz="6" w:space="0" w:color="auto"/>
              <w:left w:val="single" w:sz="6" w:space="0" w:color="auto"/>
              <w:bottom w:val="single" w:sz="6" w:space="0" w:color="auto"/>
              <w:right w:val="single" w:sz="6" w:space="0" w:color="auto"/>
            </w:tcBorders>
          </w:tcPr>
          <w:p w14:paraId="653F10E3" w14:textId="77777777" w:rsidR="006D4C48" w:rsidRPr="00E14EB4" w:rsidRDefault="006D4C48" w:rsidP="00F55048">
            <w:pPr>
              <w:pStyle w:val="TableText"/>
            </w:pPr>
            <w:r w:rsidRPr="00E14EB4">
              <w:t>VSC Authorization Activity</w:t>
            </w:r>
          </w:p>
        </w:tc>
        <w:tc>
          <w:tcPr>
            <w:tcW w:w="4410" w:type="dxa"/>
            <w:tcBorders>
              <w:top w:val="single" w:sz="6" w:space="0" w:color="auto"/>
              <w:left w:val="single" w:sz="6" w:space="0" w:color="auto"/>
              <w:bottom w:val="single" w:sz="6" w:space="0" w:color="auto"/>
              <w:right w:val="single" w:sz="6" w:space="0" w:color="auto"/>
            </w:tcBorders>
          </w:tcPr>
          <w:p w14:paraId="7099F326" w14:textId="67BFC0B6" w:rsidR="006D4C48" w:rsidRPr="00E14EB4" w:rsidRDefault="00E0317D" w:rsidP="00F55048">
            <w:pPr>
              <w:pStyle w:val="BulletText1"/>
            </w:pPr>
            <w:r w:rsidRPr="00E14EB4">
              <w:t>E</w:t>
            </w:r>
            <w:r w:rsidR="006D4C48" w:rsidRPr="00E14EB4">
              <w:t>stablishes a</w:t>
            </w:r>
            <w:r w:rsidR="00C536F5" w:rsidRPr="00E14EB4">
              <w:t>n</w:t>
            </w:r>
            <w:r w:rsidR="006D4C48" w:rsidRPr="00E14EB4">
              <w:t xml:space="preserve"> EP 290</w:t>
            </w:r>
            <w:r w:rsidR="00F612A5" w:rsidRPr="00E14EB4">
              <w:t xml:space="preserve"> </w:t>
            </w:r>
            <w:r w:rsidR="006D4C48" w:rsidRPr="00E14EB4">
              <w:t xml:space="preserve">with either a </w:t>
            </w:r>
            <w:r w:rsidR="006D4C48" w:rsidRPr="00E14EB4">
              <w:rPr>
                <w:i/>
              </w:rPr>
              <w:t>Specially Adapted Housing</w:t>
            </w:r>
            <w:r w:rsidR="006D4C48" w:rsidRPr="00E14EB4">
              <w:t xml:space="preserve"> or </w:t>
            </w:r>
            <w:r w:rsidR="006D4C48" w:rsidRPr="00E14EB4">
              <w:rPr>
                <w:i/>
              </w:rPr>
              <w:t>Special Home Adaptation</w:t>
            </w:r>
            <w:r w:rsidR="006D4C48" w:rsidRPr="00E14EB4">
              <w:t xml:space="preserve"> claim label, and</w:t>
            </w:r>
          </w:p>
          <w:p w14:paraId="5D11E0F4" w14:textId="2BC3EAD6" w:rsidR="006D4C48" w:rsidRPr="00E14EB4" w:rsidRDefault="006D4C48" w:rsidP="00F55048">
            <w:pPr>
              <w:pStyle w:val="BulletText1"/>
            </w:pPr>
            <w:r w:rsidRPr="00E14EB4">
              <w:t>issues a section 5103 notice</w:t>
            </w:r>
            <w:r w:rsidR="00C536F5" w:rsidRPr="00E14EB4">
              <w:t>, if required</w:t>
            </w:r>
            <w:r w:rsidR="001B1804" w:rsidRPr="00E14EB4">
              <w:t>.</w:t>
            </w:r>
          </w:p>
          <w:p w14:paraId="59FEEF85" w14:textId="77777777" w:rsidR="00684925" w:rsidRPr="00E14EB4" w:rsidRDefault="00684925" w:rsidP="00684925">
            <w:pPr>
              <w:pStyle w:val="TableText"/>
            </w:pPr>
          </w:p>
          <w:p w14:paraId="6406178D" w14:textId="163402AF" w:rsidR="00684925" w:rsidRPr="00E14EB4" w:rsidRDefault="00684925" w:rsidP="00987574">
            <w:pPr>
              <w:pStyle w:val="TableText"/>
            </w:pPr>
            <w:r w:rsidRPr="00E14EB4">
              <w:rPr>
                <w:b/>
                <w:i/>
              </w:rPr>
              <w:t>Note</w:t>
            </w:r>
            <w:r w:rsidRPr="00E14EB4">
              <w:t>:</w:t>
            </w:r>
            <w:r w:rsidR="0040354F" w:rsidRPr="00E14EB4">
              <w:t xml:space="preserve">  </w:t>
            </w:r>
            <w:r w:rsidRPr="00E14EB4">
              <w:t xml:space="preserve">In cases where </w:t>
            </w:r>
            <w:r w:rsidR="009F5F5D" w:rsidRPr="00E14EB4">
              <w:t xml:space="preserve">a </w:t>
            </w:r>
            <w:r w:rsidR="001A25F5" w:rsidRPr="00E14EB4">
              <w:t>basic eligibility determination</w:t>
            </w:r>
            <w:r w:rsidR="00EA1FC7" w:rsidRPr="00E14EB4">
              <w:t xml:space="preserve"> </w:t>
            </w:r>
            <w:r w:rsidR="009F5F5D" w:rsidRPr="00E14EB4">
              <w:t xml:space="preserve">is triggered </w:t>
            </w:r>
            <w:r w:rsidR="00EA1FC7" w:rsidRPr="00E14EB4">
              <w:t xml:space="preserve">by </w:t>
            </w:r>
            <w:r w:rsidR="009F5F5D" w:rsidRPr="00E14EB4">
              <w:t xml:space="preserve">an </w:t>
            </w:r>
            <w:r w:rsidR="00A41C78" w:rsidRPr="00E14EB4">
              <w:t xml:space="preserve">890WI, </w:t>
            </w:r>
            <w:r w:rsidR="001A25F5" w:rsidRPr="00E14EB4">
              <w:t xml:space="preserve">the authorization activity </w:t>
            </w:r>
            <w:r w:rsidR="004A2FC0" w:rsidRPr="00E14EB4">
              <w:t xml:space="preserve">must not </w:t>
            </w:r>
            <w:r w:rsidRPr="00E14EB4">
              <w:t xml:space="preserve">clear the </w:t>
            </w:r>
            <w:r w:rsidR="004A2FC0" w:rsidRPr="00E14EB4">
              <w:t>890</w:t>
            </w:r>
            <w:r w:rsidRPr="00E14EB4">
              <w:t>WI</w:t>
            </w:r>
            <w:r w:rsidR="004A2FC0" w:rsidRPr="00E14EB4">
              <w:t xml:space="preserve"> until final action is taken</w:t>
            </w:r>
            <w:r w:rsidRPr="00E14EB4">
              <w:t xml:space="preserve">.  </w:t>
            </w:r>
          </w:p>
        </w:tc>
      </w:tr>
      <w:tr w:rsidR="006D4C48" w:rsidRPr="00E14EB4" w14:paraId="29DBF000" w14:textId="77777777" w:rsidTr="00CE3B10">
        <w:trPr>
          <w:cantSplit/>
        </w:trPr>
        <w:tc>
          <w:tcPr>
            <w:tcW w:w="890" w:type="dxa"/>
            <w:tcBorders>
              <w:top w:val="single" w:sz="6" w:space="0" w:color="auto"/>
              <w:left w:val="single" w:sz="6" w:space="0" w:color="auto"/>
              <w:bottom w:val="single" w:sz="6" w:space="0" w:color="auto"/>
              <w:right w:val="single" w:sz="6" w:space="0" w:color="auto"/>
            </w:tcBorders>
          </w:tcPr>
          <w:p w14:paraId="32FF0EE4" w14:textId="2330219D" w:rsidR="006D4C48" w:rsidRPr="00E14EB4" w:rsidRDefault="00C245B9" w:rsidP="00C245B9">
            <w:pPr>
              <w:pStyle w:val="TableText"/>
              <w:jc w:val="center"/>
            </w:pPr>
            <w:r w:rsidRPr="00E14EB4">
              <w:t>2</w:t>
            </w:r>
          </w:p>
        </w:tc>
        <w:tc>
          <w:tcPr>
            <w:tcW w:w="2250" w:type="dxa"/>
            <w:tcBorders>
              <w:top w:val="single" w:sz="6" w:space="0" w:color="auto"/>
              <w:left w:val="single" w:sz="6" w:space="0" w:color="auto"/>
              <w:bottom w:val="single" w:sz="6" w:space="0" w:color="auto"/>
              <w:right w:val="single" w:sz="6" w:space="0" w:color="auto"/>
            </w:tcBorders>
          </w:tcPr>
          <w:p w14:paraId="7DEB07DB" w14:textId="77777777" w:rsidR="006D4C48" w:rsidRPr="00E14EB4" w:rsidRDefault="006D4C48" w:rsidP="00F55048">
            <w:pPr>
              <w:pStyle w:val="TableText"/>
            </w:pPr>
            <w:r w:rsidRPr="00E14EB4">
              <w:t>VSC Authorization Activity</w:t>
            </w:r>
          </w:p>
        </w:tc>
        <w:tc>
          <w:tcPr>
            <w:tcW w:w="4410" w:type="dxa"/>
            <w:tcBorders>
              <w:top w:val="single" w:sz="6" w:space="0" w:color="auto"/>
              <w:left w:val="single" w:sz="6" w:space="0" w:color="auto"/>
              <w:bottom w:val="single" w:sz="6" w:space="0" w:color="auto"/>
              <w:right w:val="single" w:sz="6" w:space="0" w:color="auto"/>
            </w:tcBorders>
          </w:tcPr>
          <w:p w14:paraId="76D3F929" w14:textId="5E1D3DF8" w:rsidR="00444C9E" w:rsidRPr="00E14EB4" w:rsidRDefault="00C245B9" w:rsidP="001A25F5">
            <w:pPr>
              <w:pStyle w:val="TableText"/>
            </w:pPr>
            <w:r w:rsidRPr="00E14EB4">
              <w:t>Refers the claim to the rating activity a</w:t>
            </w:r>
            <w:r w:rsidR="006D4C48" w:rsidRPr="00E14EB4">
              <w:t xml:space="preserve">fter </w:t>
            </w:r>
            <w:r w:rsidRPr="00E14EB4">
              <w:t>either</w:t>
            </w:r>
            <w:r w:rsidR="006D4C48" w:rsidRPr="00E14EB4">
              <w:t xml:space="preserve"> </w:t>
            </w:r>
          </w:p>
          <w:p w14:paraId="63A7E9A7" w14:textId="3D0A94C7" w:rsidR="006D4C48" w:rsidRPr="00E14EB4" w:rsidRDefault="00C245B9" w:rsidP="001A25F5">
            <w:pPr>
              <w:pStyle w:val="BulletText1"/>
            </w:pPr>
            <w:r w:rsidRPr="00E14EB4">
              <w:t>development is complete, or</w:t>
            </w:r>
          </w:p>
          <w:p w14:paraId="26732194" w14:textId="5D29AF1F" w:rsidR="006D4C48" w:rsidRPr="00E14EB4" w:rsidRDefault="00C245B9" w:rsidP="001A25F5">
            <w:pPr>
              <w:pStyle w:val="BulletText1"/>
            </w:pPr>
            <w:r w:rsidRPr="00E14EB4">
              <w:t xml:space="preserve">no development is required </w:t>
            </w:r>
            <w:r w:rsidRPr="00E14EB4">
              <w:rPr>
                <w:i/>
              </w:rPr>
              <w:t xml:space="preserve">and </w:t>
            </w:r>
            <w:r w:rsidRPr="00E14EB4">
              <w:t>the 30-day section 5103 noti</w:t>
            </w:r>
            <w:r w:rsidR="00444C9E" w:rsidRPr="00E14EB4">
              <w:t>ce response period has expired.</w:t>
            </w:r>
          </w:p>
        </w:tc>
      </w:tr>
      <w:tr w:rsidR="006D4C48" w:rsidRPr="00E14EB4" w14:paraId="6614F59F" w14:textId="77777777" w:rsidTr="00CE3B10">
        <w:trPr>
          <w:cantSplit/>
        </w:trPr>
        <w:tc>
          <w:tcPr>
            <w:tcW w:w="890" w:type="dxa"/>
            <w:tcBorders>
              <w:top w:val="single" w:sz="6" w:space="0" w:color="auto"/>
              <w:left w:val="single" w:sz="6" w:space="0" w:color="auto"/>
              <w:bottom w:val="single" w:sz="6" w:space="0" w:color="auto"/>
              <w:right w:val="single" w:sz="6" w:space="0" w:color="auto"/>
            </w:tcBorders>
          </w:tcPr>
          <w:p w14:paraId="7593038B" w14:textId="0886465A" w:rsidR="006D4C48" w:rsidRPr="00E14EB4" w:rsidRDefault="00C245B9" w:rsidP="00C245B9">
            <w:pPr>
              <w:pStyle w:val="TableText"/>
              <w:jc w:val="center"/>
            </w:pPr>
            <w:r w:rsidRPr="00E14EB4">
              <w:t>3</w:t>
            </w:r>
          </w:p>
        </w:tc>
        <w:tc>
          <w:tcPr>
            <w:tcW w:w="2250" w:type="dxa"/>
            <w:tcBorders>
              <w:top w:val="single" w:sz="6" w:space="0" w:color="auto"/>
              <w:left w:val="single" w:sz="6" w:space="0" w:color="auto"/>
              <w:bottom w:val="single" w:sz="6" w:space="0" w:color="auto"/>
              <w:right w:val="single" w:sz="6" w:space="0" w:color="auto"/>
            </w:tcBorders>
          </w:tcPr>
          <w:p w14:paraId="23FBD9A5" w14:textId="77777777" w:rsidR="006D4C48" w:rsidRPr="00E14EB4" w:rsidRDefault="006D4C48" w:rsidP="00F55048">
            <w:pPr>
              <w:pStyle w:val="TableText"/>
            </w:pPr>
            <w:r w:rsidRPr="00E14EB4">
              <w:t>VSC Rating Activity</w:t>
            </w:r>
          </w:p>
        </w:tc>
        <w:tc>
          <w:tcPr>
            <w:tcW w:w="4410" w:type="dxa"/>
            <w:tcBorders>
              <w:top w:val="single" w:sz="6" w:space="0" w:color="auto"/>
              <w:left w:val="single" w:sz="6" w:space="0" w:color="auto"/>
              <w:bottom w:val="single" w:sz="6" w:space="0" w:color="auto"/>
              <w:right w:val="single" w:sz="6" w:space="0" w:color="auto"/>
            </w:tcBorders>
          </w:tcPr>
          <w:p w14:paraId="18649781" w14:textId="122A47AB" w:rsidR="006D4C48" w:rsidRPr="00E14EB4" w:rsidRDefault="006D4C48" w:rsidP="00F55048">
            <w:pPr>
              <w:pStyle w:val="TableText"/>
            </w:pPr>
            <w:r w:rsidRPr="00E14EB4">
              <w:t>Pre</w:t>
            </w:r>
            <w:r w:rsidR="001A25F5" w:rsidRPr="00E14EB4">
              <w:t xml:space="preserve">pares a rating decision on basic </w:t>
            </w:r>
            <w:r w:rsidRPr="00E14EB4">
              <w:t>eligibility</w:t>
            </w:r>
            <w:r w:rsidR="00987574" w:rsidRPr="00E14EB4">
              <w:t>.</w:t>
            </w:r>
          </w:p>
        </w:tc>
      </w:tr>
      <w:tr w:rsidR="006D4C48" w:rsidRPr="00E14EB4" w:rsidDel="00E848E1" w14:paraId="0BC92CD0" w14:textId="77777777" w:rsidTr="00987574">
        <w:tc>
          <w:tcPr>
            <w:tcW w:w="890" w:type="dxa"/>
            <w:tcBorders>
              <w:top w:val="single" w:sz="6" w:space="0" w:color="auto"/>
              <w:left w:val="single" w:sz="6" w:space="0" w:color="auto"/>
              <w:bottom w:val="single" w:sz="6" w:space="0" w:color="auto"/>
              <w:right w:val="single" w:sz="6" w:space="0" w:color="auto"/>
            </w:tcBorders>
          </w:tcPr>
          <w:p w14:paraId="4D1FB2B9" w14:textId="493CBBF1" w:rsidR="006D4C48" w:rsidRPr="00E14EB4" w:rsidRDefault="00C245B9" w:rsidP="00C245B9">
            <w:pPr>
              <w:pStyle w:val="TableText"/>
              <w:jc w:val="center"/>
            </w:pPr>
            <w:r w:rsidRPr="00E14EB4">
              <w:t>4</w:t>
            </w:r>
          </w:p>
        </w:tc>
        <w:tc>
          <w:tcPr>
            <w:tcW w:w="2250" w:type="dxa"/>
            <w:tcBorders>
              <w:top w:val="single" w:sz="6" w:space="0" w:color="auto"/>
              <w:left w:val="single" w:sz="6" w:space="0" w:color="auto"/>
              <w:bottom w:val="single" w:sz="6" w:space="0" w:color="auto"/>
              <w:right w:val="single" w:sz="6" w:space="0" w:color="auto"/>
            </w:tcBorders>
          </w:tcPr>
          <w:p w14:paraId="54183481" w14:textId="77777777" w:rsidR="006D4C48" w:rsidRPr="00E14EB4" w:rsidRDefault="006D4C48" w:rsidP="00F55048">
            <w:pPr>
              <w:pStyle w:val="TableText"/>
            </w:pPr>
            <w:r w:rsidRPr="00E14EB4">
              <w:t>VSC Authorization Activity</w:t>
            </w:r>
          </w:p>
        </w:tc>
        <w:tc>
          <w:tcPr>
            <w:tcW w:w="4410" w:type="dxa"/>
            <w:tcBorders>
              <w:top w:val="single" w:sz="6" w:space="0" w:color="auto"/>
              <w:left w:val="single" w:sz="6" w:space="0" w:color="auto"/>
              <w:bottom w:val="single" w:sz="6" w:space="0" w:color="auto"/>
              <w:right w:val="single" w:sz="6" w:space="0" w:color="auto"/>
            </w:tcBorders>
          </w:tcPr>
          <w:p w14:paraId="3FA315C6" w14:textId="4250EE31" w:rsidR="006D4C48" w:rsidRPr="00E14EB4" w:rsidRDefault="00E0317D" w:rsidP="00F55048">
            <w:pPr>
              <w:pStyle w:val="ListParagraph"/>
              <w:numPr>
                <w:ilvl w:val="0"/>
                <w:numId w:val="9"/>
              </w:numPr>
              <w:ind w:left="158" w:hanging="187"/>
              <w:rPr>
                <w:szCs w:val="20"/>
              </w:rPr>
            </w:pPr>
            <w:r w:rsidRPr="00E14EB4">
              <w:rPr>
                <w:szCs w:val="20"/>
              </w:rPr>
              <w:t>R</w:t>
            </w:r>
            <w:r w:rsidR="006D4C48" w:rsidRPr="00E14EB4">
              <w:rPr>
                <w:szCs w:val="20"/>
              </w:rPr>
              <w:t>eceives the rating de</w:t>
            </w:r>
            <w:r w:rsidR="00B71305" w:rsidRPr="00E14EB4">
              <w:rPr>
                <w:szCs w:val="20"/>
              </w:rPr>
              <w:t>cision</w:t>
            </w:r>
            <w:r w:rsidR="006D4C48" w:rsidRPr="00E14EB4">
              <w:rPr>
                <w:szCs w:val="20"/>
              </w:rPr>
              <w:t xml:space="preserve">  </w:t>
            </w:r>
          </w:p>
          <w:p w14:paraId="6E872FC2" w14:textId="5BCC895E" w:rsidR="006D4C48" w:rsidRPr="00E14EB4" w:rsidRDefault="006D4C48" w:rsidP="00F55048">
            <w:pPr>
              <w:pStyle w:val="ListParagraph"/>
              <w:numPr>
                <w:ilvl w:val="0"/>
                <w:numId w:val="6"/>
              </w:numPr>
              <w:ind w:left="158" w:hanging="187"/>
              <w:rPr>
                <w:szCs w:val="20"/>
              </w:rPr>
            </w:pPr>
            <w:r w:rsidRPr="00E14EB4">
              <w:rPr>
                <w:szCs w:val="20"/>
              </w:rPr>
              <w:t xml:space="preserve">sends a decision notice to the </w:t>
            </w:r>
            <w:r w:rsidR="00B71305" w:rsidRPr="00E14EB4">
              <w:rPr>
                <w:szCs w:val="20"/>
              </w:rPr>
              <w:t>claimant</w:t>
            </w:r>
            <w:r w:rsidR="001A25F5" w:rsidRPr="00E14EB4">
              <w:rPr>
                <w:szCs w:val="20"/>
              </w:rPr>
              <w:t>, and</w:t>
            </w:r>
          </w:p>
          <w:p w14:paraId="534015B8" w14:textId="50BECC24" w:rsidR="006D4C48" w:rsidRPr="00E14EB4" w:rsidRDefault="00173184" w:rsidP="00F55048">
            <w:pPr>
              <w:pStyle w:val="ListParagraph"/>
              <w:numPr>
                <w:ilvl w:val="0"/>
                <w:numId w:val="6"/>
              </w:numPr>
              <w:ind w:left="158" w:hanging="187"/>
              <w:rPr>
                <w:szCs w:val="20"/>
              </w:rPr>
            </w:pPr>
            <w:r w:rsidRPr="00E14EB4">
              <w:rPr>
                <w:szCs w:val="20"/>
              </w:rPr>
              <w:t>clea</w:t>
            </w:r>
            <w:r w:rsidR="006D4C48" w:rsidRPr="00E14EB4">
              <w:rPr>
                <w:szCs w:val="20"/>
              </w:rPr>
              <w:t xml:space="preserve">rs the </w:t>
            </w:r>
            <w:r w:rsidR="00455253" w:rsidRPr="00E14EB4">
              <w:rPr>
                <w:szCs w:val="20"/>
              </w:rPr>
              <w:t xml:space="preserve">controlling </w:t>
            </w:r>
            <w:r w:rsidR="0040354F" w:rsidRPr="00E14EB4">
              <w:rPr>
                <w:szCs w:val="20"/>
              </w:rPr>
              <w:t>EP</w:t>
            </w:r>
            <w:r w:rsidR="00455253" w:rsidRPr="00E14EB4">
              <w:rPr>
                <w:szCs w:val="20"/>
              </w:rPr>
              <w:t xml:space="preserve"> to include the 890WI, if applicable</w:t>
            </w:r>
            <w:r w:rsidR="006D4C48" w:rsidRPr="00E14EB4">
              <w:rPr>
                <w:szCs w:val="20"/>
              </w:rPr>
              <w:t>.</w:t>
            </w:r>
          </w:p>
          <w:p w14:paraId="22BC0F32" w14:textId="77777777" w:rsidR="00173184" w:rsidRPr="00E14EB4" w:rsidRDefault="00173184" w:rsidP="00F55048">
            <w:pPr>
              <w:pStyle w:val="TableText"/>
            </w:pPr>
          </w:p>
          <w:p w14:paraId="0CF1D40E" w14:textId="6DFE8970" w:rsidR="001A25F5" w:rsidRPr="00E14EB4" w:rsidRDefault="001A25F5" w:rsidP="001A25F5">
            <w:pPr>
              <w:pStyle w:val="TableText"/>
            </w:pPr>
            <w:r w:rsidRPr="00E14EB4">
              <w:rPr>
                <w:b/>
                <w:i/>
              </w:rPr>
              <w:t>Important</w:t>
            </w:r>
            <w:r w:rsidRPr="00E14EB4">
              <w:t>:  Due to the functionality of the SAHSHA program, there is no need for the VSC to send a copy of the rating decision to the RLC.</w:t>
            </w:r>
          </w:p>
          <w:p w14:paraId="5D9A6325" w14:textId="77777777" w:rsidR="001A25F5" w:rsidRPr="00E14EB4" w:rsidRDefault="001A25F5" w:rsidP="001C1BB0">
            <w:pPr>
              <w:pStyle w:val="TableText"/>
            </w:pPr>
          </w:p>
          <w:p w14:paraId="323D3319" w14:textId="77777777" w:rsidR="001A25F5" w:rsidRPr="00E14EB4" w:rsidRDefault="001C1BB0" w:rsidP="00DE1E19">
            <w:pPr>
              <w:pStyle w:val="TableText"/>
            </w:pPr>
            <w:r w:rsidRPr="00E14EB4">
              <w:rPr>
                <w:b/>
                <w:i/>
              </w:rPr>
              <w:t>Reference</w:t>
            </w:r>
            <w:r w:rsidR="001A25F5" w:rsidRPr="00E14EB4">
              <w:rPr>
                <w:b/>
                <w:i/>
              </w:rPr>
              <w:t>s</w:t>
            </w:r>
            <w:r w:rsidRPr="00E14EB4">
              <w:t xml:space="preserve">:  For information on </w:t>
            </w:r>
          </w:p>
          <w:p w14:paraId="711095F7" w14:textId="1F7157C7" w:rsidR="001C1BB0" w:rsidRPr="00E14EB4" w:rsidRDefault="001C1BB0" w:rsidP="00DF392B">
            <w:pPr>
              <w:pStyle w:val="BulletText1"/>
            </w:pPr>
            <w:r w:rsidRPr="00E14EB4">
              <w:t xml:space="preserve">sending a decision notice to the Veteran, </w:t>
            </w:r>
            <w:r w:rsidR="001A25F5" w:rsidRPr="00E14EB4">
              <w:t>s</w:t>
            </w:r>
            <w:r w:rsidRPr="00E14EB4">
              <w:t>ee M21-1, Part III, Subpart v, 2.B</w:t>
            </w:r>
            <w:r w:rsidR="001A25F5" w:rsidRPr="00E14EB4">
              <w:t>, and</w:t>
            </w:r>
          </w:p>
          <w:p w14:paraId="513F7DC7" w14:textId="2F89C913" w:rsidR="001C1BB0" w:rsidRPr="00E14EB4" w:rsidDel="00E848E1" w:rsidRDefault="001A25F5" w:rsidP="00DE1E19">
            <w:pPr>
              <w:pStyle w:val="BulletText1"/>
            </w:pPr>
            <w:r w:rsidRPr="00E14EB4">
              <w:t>appeals arising from rating decisions on SAH/SHA, see M21-1, Part IX, Subpart i, 3.4.a.</w:t>
            </w:r>
          </w:p>
        </w:tc>
      </w:tr>
    </w:tbl>
    <w:p w14:paraId="1550EF19" w14:textId="1EF2D92F" w:rsidR="006D4C48" w:rsidRPr="00E14EB4" w:rsidRDefault="006D4C48" w:rsidP="006D4C48">
      <w:pPr>
        <w:rPr>
          <w:szCs w:val="20"/>
        </w:rPr>
      </w:pPr>
    </w:p>
    <w:tbl>
      <w:tblPr>
        <w:tblW w:w="7732" w:type="dxa"/>
        <w:tblInd w:w="1728" w:type="dxa"/>
        <w:tblLayout w:type="fixed"/>
        <w:tblLook w:val="0000" w:firstRow="0" w:lastRow="0" w:firstColumn="0" w:lastColumn="0" w:noHBand="0" w:noVBand="0"/>
      </w:tblPr>
      <w:tblGrid>
        <w:gridCol w:w="7732"/>
      </w:tblGrid>
      <w:tr w:rsidR="006D4C48" w:rsidRPr="00E14EB4" w14:paraId="5E503705" w14:textId="77777777" w:rsidTr="006D4C48">
        <w:tc>
          <w:tcPr>
            <w:tcW w:w="5000" w:type="pct"/>
            <w:shd w:val="clear" w:color="auto" w:fill="auto"/>
          </w:tcPr>
          <w:p w14:paraId="27A74A2D" w14:textId="6457C16C" w:rsidR="00684925" w:rsidRPr="00E14EB4" w:rsidRDefault="00684925" w:rsidP="006D4C48">
            <w:pPr>
              <w:pStyle w:val="NoteText"/>
              <w:rPr>
                <w:b/>
                <w:i/>
              </w:rPr>
            </w:pPr>
            <w:r w:rsidRPr="00E14EB4">
              <w:rPr>
                <w:b/>
                <w:i/>
              </w:rPr>
              <w:t>Important</w:t>
            </w:r>
            <w:r w:rsidRPr="00E14EB4">
              <w:t xml:space="preserve">:  The SAH/SHA VSC POC or another designated VSC employee should run a list in </w:t>
            </w:r>
            <w:r w:rsidR="00987574" w:rsidRPr="00E14EB4">
              <w:t>the Veterans Service Network (</w:t>
            </w:r>
            <w:r w:rsidRPr="00E14EB4">
              <w:t>VETSNET</w:t>
            </w:r>
            <w:r w:rsidR="00987574" w:rsidRPr="00E14EB4">
              <w:t>)</w:t>
            </w:r>
            <w:r w:rsidRPr="00E14EB4">
              <w:t xml:space="preserve"> Operations </w:t>
            </w:r>
            <w:r w:rsidRPr="00E14EB4">
              <w:lastRenderedPageBreak/>
              <w:t>Report (VOR) on a regular basis to identify pending 890WIs, and distribute for processing per local work assignments.</w:t>
            </w:r>
            <w:r w:rsidR="009F5F5D" w:rsidRPr="00E14EB4">
              <w:t xml:space="preserve">  For guidance o</w:t>
            </w:r>
            <w:r w:rsidR="008A71FD" w:rsidRPr="00E14EB4">
              <w:t>n</w:t>
            </w:r>
            <w:r w:rsidR="009F5F5D" w:rsidRPr="00E14EB4">
              <w:t xml:space="preserve"> viewing 890WIs in VOR, see M21-1, Part III, Subpart v, 10.A.1.c.</w:t>
            </w:r>
          </w:p>
          <w:p w14:paraId="57D57697" w14:textId="77777777" w:rsidR="00684925" w:rsidRPr="00E14EB4" w:rsidRDefault="00684925" w:rsidP="006D4C48">
            <w:pPr>
              <w:pStyle w:val="NoteText"/>
              <w:rPr>
                <w:b/>
                <w:i/>
              </w:rPr>
            </w:pPr>
          </w:p>
          <w:p w14:paraId="4CDF3D63" w14:textId="11370321" w:rsidR="006D4C48" w:rsidRPr="00E14EB4" w:rsidRDefault="000A3DF9" w:rsidP="006A0CD3">
            <w:pPr>
              <w:pStyle w:val="NoteText"/>
            </w:pPr>
            <w:r w:rsidRPr="00E14EB4">
              <w:rPr>
                <w:b/>
                <w:i/>
              </w:rPr>
              <w:t>Note</w:t>
            </w:r>
            <w:r w:rsidR="006D4C48" w:rsidRPr="00E14EB4">
              <w:t xml:space="preserve">:  It may be necessary to update the corporate record if </w:t>
            </w:r>
            <w:r w:rsidR="009F5F5D" w:rsidRPr="00E14EB4">
              <w:t xml:space="preserve">a previous </w:t>
            </w:r>
            <w:r w:rsidR="006D4C48" w:rsidRPr="00E14EB4">
              <w:t xml:space="preserve">rating decision </w:t>
            </w:r>
            <w:r w:rsidR="009F5F5D" w:rsidRPr="00E14EB4">
              <w:t>establishing eligibility to SAH or SHA</w:t>
            </w:r>
            <w:r w:rsidR="006D4C48" w:rsidRPr="00E14EB4">
              <w:t xml:space="preserve"> does not appear in the system.</w:t>
            </w:r>
          </w:p>
          <w:p w14:paraId="2B42EF22" w14:textId="77777777" w:rsidR="004F23DE" w:rsidRPr="00E14EB4" w:rsidRDefault="004F23DE" w:rsidP="006D4C48">
            <w:pPr>
              <w:pStyle w:val="NoteText"/>
            </w:pPr>
          </w:p>
          <w:p w14:paraId="4D0A2008" w14:textId="77777777" w:rsidR="004F23DE" w:rsidRPr="00E14EB4" w:rsidRDefault="004F23DE" w:rsidP="006D4C48">
            <w:pPr>
              <w:pStyle w:val="NoteText"/>
            </w:pPr>
            <w:r w:rsidRPr="00E14EB4">
              <w:rPr>
                <w:b/>
                <w:i/>
              </w:rPr>
              <w:t>References</w:t>
            </w:r>
            <w:r w:rsidRPr="00E14EB4">
              <w:t xml:space="preserve">:  For more information on </w:t>
            </w:r>
          </w:p>
          <w:p w14:paraId="5F1CE4D6" w14:textId="71A3003F" w:rsidR="004F23DE" w:rsidRPr="00E14EB4" w:rsidRDefault="004F23DE" w:rsidP="004F23DE">
            <w:pPr>
              <w:pStyle w:val="ListParagraph"/>
              <w:numPr>
                <w:ilvl w:val="0"/>
                <w:numId w:val="12"/>
              </w:numPr>
              <w:ind w:left="158" w:hanging="187"/>
            </w:pPr>
            <w:r w:rsidRPr="00E14EB4">
              <w:t>section 5103 notice, see M2</w:t>
            </w:r>
            <w:r w:rsidR="00EA1FC7" w:rsidRPr="00E14EB4">
              <w:t>1-1, Part III, Subpart iii, 1.A</w:t>
            </w:r>
          </w:p>
          <w:p w14:paraId="37C74D9A" w14:textId="7A8E1BF1" w:rsidR="004F23DE" w:rsidRPr="00E14EB4" w:rsidRDefault="004F23DE" w:rsidP="004F23DE">
            <w:pPr>
              <w:pStyle w:val="ListParagraph"/>
              <w:numPr>
                <w:ilvl w:val="0"/>
                <w:numId w:val="15"/>
              </w:numPr>
              <w:ind w:left="158" w:hanging="187"/>
            </w:pPr>
            <w:r w:rsidRPr="00E14EB4">
              <w:t>when ancillary benefits are a subordinate issue, see M21-1, Part III, Subpart iv, 6.B.2</w:t>
            </w:r>
          </w:p>
          <w:p w14:paraId="303BAD5D" w14:textId="0736CC6C" w:rsidR="004F23DE" w:rsidRPr="00E14EB4" w:rsidRDefault="004F23DE" w:rsidP="004F23DE">
            <w:pPr>
              <w:pStyle w:val="ListParagraph"/>
              <w:numPr>
                <w:ilvl w:val="0"/>
                <w:numId w:val="12"/>
              </w:numPr>
              <w:ind w:left="158" w:hanging="187"/>
            </w:pPr>
            <w:r w:rsidRPr="00E14EB4">
              <w:t>examinations, see M21-1, Part III, Subpart iv, 3</w:t>
            </w:r>
            <w:r w:rsidR="00EA1FC7" w:rsidRPr="00E14EB4">
              <w:t>.A, and</w:t>
            </w:r>
          </w:p>
          <w:p w14:paraId="6DEDFEAD" w14:textId="479DED6E" w:rsidR="004F23DE" w:rsidRPr="00E14EB4" w:rsidRDefault="004F23DE" w:rsidP="006D4C48">
            <w:pPr>
              <w:pStyle w:val="ListParagraph"/>
              <w:numPr>
                <w:ilvl w:val="0"/>
                <w:numId w:val="12"/>
              </w:numPr>
              <w:ind w:left="158" w:hanging="187"/>
            </w:pPr>
            <w:r w:rsidRPr="00E14EB4">
              <w:t xml:space="preserve">rating an ancillary issue, see the </w:t>
            </w:r>
            <w:hyperlink r:id="rId44" w:history="1">
              <w:r w:rsidR="000260D2" w:rsidRPr="00E14EB4">
                <w:rPr>
                  <w:rStyle w:val="Hyperlink"/>
                  <w:i/>
                </w:rPr>
                <w:t>VBMS- Rating (</w:t>
              </w:r>
              <w:r w:rsidRPr="00E14EB4">
                <w:rPr>
                  <w:rStyle w:val="Hyperlink"/>
                  <w:i/>
                </w:rPr>
                <w:t>VBMS-R</w:t>
              </w:r>
              <w:r w:rsidR="000260D2" w:rsidRPr="00E14EB4">
                <w:rPr>
                  <w:rStyle w:val="Hyperlink"/>
                  <w:i/>
                </w:rPr>
                <w:t>)</w:t>
              </w:r>
              <w:r w:rsidRPr="00E14EB4">
                <w:rPr>
                  <w:rStyle w:val="Hyperlink"/>
                  <w:i/>
                </w:rPr>
                <w:t xml:space="preserve"> User Guide</w:t>
              </w:r>
            </w:hyperlink>
            <w:r w:rsidR="00EA1FC7" w:rsidRPr="00E14EB4">
              <w:t>.</w:t>
            </w:r>
          </w:p>
        </w:tc>
      </w:tr>
    </w:tbl>
    <w:p w14:paraId="7826AB7F" w14:textId="2FA5EE70" w:rsidR="006D4C48" w:rsidRPr="00E14EB4" w:rsidRDefault="006D4C48" w:rsidP="00C84D2B">
      <w:pPr>
        <w:pStyle w:val="BlockLine"/>
      </w:pPr>
    </w:p>
    <w:tbl>
      <w:tblPr>
        <w:tblW w:w="0" w:type="auto"/>
        <w:tblLayout w:type="fixed"/>
        <w:tblLook w:val="0000" w:firstRow="0" w:lastRow="0" w:firstColumn="0" w:lastColumn="0" w:noHBand="0" w:noVBand="0"/>
      </w:tblPr>
      <w:tblGrid>
        <w:gridCol w:w="1728"/>
        <w:gridCol w:w="7740"/>
      </w:tblGrid>
      <w:tr w:rsidR="00C84D2B" w:rsidRPr="00E14EB4" w14:paraId="480E3977" w14:textId="77777777" w:rsidTr="009F5F5D">
        <w:trPr>
          <w:trHeight w:val="1485"/>
        </w:trPr>
        <w:tc>
          <w:tcPr>
            <w:tcW w:w="1728" w:type="dxa"/>
            <w:shd w:val="clear" w:color="auto" w:fill="auto"/>
          </w:tcPr>
          <w:p w14:paraId="79CFAA32" w14:textId="04C5E232" w:rsidR="00C84D2B" w:rsidRPr="00E14EB4" w:rsidRDefault="00724758" w:rsidP="00D75B11">
            <w:pPr>
              <w:pStyle w:val="Heading5"/>
            </w:pPr>
            <w:r w:rsidRPr="00E14EB4">
              <w:t xml:space="preserve">h.  </w:t>
            </w:r>
            <w:r w:rsidR="00C84D2B" w:rsidRPr="00E14EB4">
              <w:t xml:space="preserve">Further Processing </w:t>
            </w:r>
            <w:r w:rsidR="00D75B11" w:rsidRPr="00E14EB4">
              <w:t>by the RLC</w:t>
            </w:r>
            <w:r w:rsidR="00C84D2B" w:rsidRPr="00E14EB4">
              <w:t xml:space="preserve"> After a VSC Basic Eligib</w:t>
            </w:r>
            <w:r w:rsidR="009F5F5D" w:rsidRPr="00E14EB4">
              <w:t>i</w:t>
            </w:r>
            <w:r w:rsidR="00C84D2B" w:rsidRPr="00E14EB4">
              <w:t xml:space="preserve">lity Determination </w:t>
            </w:r>
          </w:p>
        </w:tc>
        <w:tc>
          <w:tcPr>
            <w:tcW w:w="7740" w:type="dxa"/>
            <w:shd w:val="clear" w:color="auto" w:fill="auto"/>
          </w:tcPr>
          <w:p w14:paraId="2EC148AF" w14:textId="79F3A86B" w:rsidR="00D75B11" w:rsidRPr="00E14EB4" w:rsidRDefault="00C84D2B" w:rsidP="00EA1FC7">
            <w:pPr>
              <w:pStyle w:val="TableText"/>
            </w:pPr>
            <w:r w:rsidRPr="00E14EB4">
              <w:t xml:space="preserve">The table below describes the stages of processing </w:t>
            </w:r>
            <w:r w:rsidR="00503583" w:rsidRPr="00E14EB4">
              <w:t>after the RLC receive</w:t>
            </w:r>
            <w:r w:rsidR="00EA1FC7" w:rsidRPr="00E14EB4">
              <w:t>s</w:t>
            </w:r>
            <w:r w:rsidR="00503583" w:rsidRPr="00E14EB4">
              <w:t xml:space="preserve"> notice in the SAHSHA system of a VSC determination that there </w:t>
            </w:r>
            <w:r w:rsidR="00EA1FC7" w:rsidRPr="00E14EB4">
              <w:t>is</w:t>
            </w:r>
            <w:r w:rsidR="00503583" w:rsidRPr="00E14EB4">
              <w:t xml:space="preserve"> basic eligibility to SAH/SAH</w:t>
            </w:r>
            <w:r w:rsidRPr="00E14EB4">
              <w:t xml:space="preserve">. </w:t>
            </w:r>
          </w:p>
        </w:tc>
      </w:tr>
    </w:tbl>
    <w:p w14:paraId="6E4871E7" w14:textId="0359D2D3" w:rsidR="00503583" w:rsidRPr="00E14EB4" w:rsidRDefault="00503583" w:rsidP="00503583"/>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4046"/>
      </w:tblGrid>
      <w:tr w:rsidR="00D75B11" w:rsidRPr="00E14EB4" w14:paraId="1B8B32E6" w14:textId="77777777" w:rsidTr="00E630BC">
        <w:tc>
          <w:tcPr>
            <w:tcW w:w="2385" w:type="pct"/>
            <w:shd w:val="clear" w:color="auto" w:fill="auto"/>
          </w:tcPr>
          <w:p w14:paraId="08C63B2E" w14:textId="2B536D7D" w:rsidR="00D75B11" w:rsidRPr="00E14EB4" w:rsidRDefault="00D75B11" w:rsidP="00D75B11">
            <w:pPr>
              <w:pStyle w:val="TableHeaderText"/>
              <w:jc w:val="left"/>
            </w:pPr>
            <w:r w:rsidRPr="00E14EB4">
              <w:t xml:space="preserve">If </w:t>
            </w:r>
            <w:r w:rsidR="00D80946" w:rsidRPr="00E14EB4">
              <w:t>the eligibility determination</w:t>
            </w:r>
            <w:r w:rsidRPr="00E14EB4">
              <w:t>...</w:t>
            </w:r>
          </w:p>
        </w:tc>
        <w:tc>
          <w:tcPr>
            <w:tcW w:w="2615" w:type="pct"/>
            <w:shd w:val="clear" w:color="auto" w:fill="auto"/>
          </w:tcPr>
          <w:p w14:paraId="37D9046A" w14:textId="73BF91E4" w:rsidR="00D75B11" w:rsidRPr="00E14EB4" w:rsidRDefault="00D75B11" w:rsidP="00D75B11">
            <w:pPr>
              <w:pStyle w:val="TableHeaderText"/>
              <w:jc w:val="left"/>
            </w:pPr>
            <w:r w:rsidRPr="00E14EB4">
              <w:t>Then ...</w:t>
            </w:r>
          </w:p>
        </w:tc>
      </w:tr>
      <w:tr w:rsidR="00D75B11" w:rsidRPr="00E14EB4" w14:paraId="13285C3C" w14:textId="77777777" w:rsidTr="00E630BC">
        <w:tc>
          <w:tcPr>
            <w:tcW w:w="2385" w:type="pct"/>
            <w:shd w:val="clear" w:color="auto" w:fill="auto"/>
          </w:tcPr>
          <w:p w14:paraId="66C45720" w14:textId="15A441E0" w:rsidR="00D75B11" w:rsidRPr="00E14EB4" w:rsidRDefault="00D75B11" w:rsidP="00D75B11">
            <w:pPr>
              <w:pStyle w:val="BulletText1"/>
            </w:pPr>
            <w:r w:rsidRPr="00E14EB4">
              <w:rPr>
                <w:i/>
              </w:rPr>
              <w:t>was</w:t>
            </w:r>
            <w:r w:rsidRPr="00E14EB4">
              <w:t xml:space="preserve"> </w:t>
            </w:r>
            <w:r w:rsidRPr="00E14EB4">
              <w:rPr>
                <w:i/>
              </w:rPr>
              <w:t xml:space="preserve">not </w:t>
            </w:r>
            <w:r w:rsidRPr="00E14EB4">
              <w:t xml:space="preserve">initiated by a </w:t>
            </w:r>
            <w:r w:rsidRPr="00E14EB4">
              <w:rPr>
                <w:i/>
              </w:rPr>
              <w:t xml:space="preserve">VA Form 26-4555 </w:t>
            </w:r>
            <w:r w:rsidRPr="00E14EB4">
              <w:t xml:space="preserve">submitted to the RLC </w:t>
            </w:r>
            <w:r w:rsidR="00EA1FC7" w:rsidRPr="00E14EB4">
              <w:t>(</w:t>
            </w:r>
            <w:r w:rsidRPr="00E14EB4">
              <w:t xml:space="preserve">or </w:t>
            </w:r>
            <w:r w:rsidR="00EA1FC7" w:rsidRPr="00E14EB4">
              <w:t>forwarded to the RLC by the VSC)</w:t>
            </w:r>
            <w:r w:rsidRPr="00E14EB4">
              <w:t>,</w:t>
            </w:r>
            <w:r w:rsidRPr="00E14EB4">
              <w:rPr>
                <w:i/>
              </w:rPr>
              <w:t xml:space="preserve"> and </w:t>
            </w:r>
          </w:p>
          <w:p w14:paraId="462C539B" w14:textId="7BC6F809" w:rsidR="00D75B11" w:rsidRPr="00E14EB4" w:rsidRDefault="00D75B11" w:rsidP="00D75B11">
            <w:pPr>
              <w:pStyle w:val="BulletText1"/>
            </w:pPr>
            <w:r w:rsidRPr="00E14EB4">
              <w:t>the form is not otherwise of reco</w:t>
            </w:r>
            <w:r w:rsidR="00987574" w:rsidRPr="00E14EB4">
              <w:t>rd.</w:t>
            </w:r>
          </w:p>
        </w:tc>
        <w:tc>
          <w:tcPr>
            <w:tcW w:w="2615" w:type="pct"/>
            <w:shd w:val="clear" w:color="auto" w:fill="auto"/>
          </w:tcPr>
          <w:p w14:paraId="702AC40E" w14:textId="597FE898" w:rsidR="00D75B11" w:rsidRPr="00E14EB4" w:rsidRDefault="00987574" w:rsidP="00D75B11">
            <w:pPr>
              <w:pStyle w:val="EmbeddedText"/>
            </w:pPr>
            <w:r w:rsidRPr="00E14EB4">
              <w:t>b</w:t>
            </w:r>
            <w:r w:rsidR="00D75B11" w:rsidRPr="00E14EB4">
              <w:t xml:space="preserve">efore they can complete processing of the claim and determine entitlement </w:t>
            </w:r>
          </w:p>
          <w:p w14:paraId="33B050BC" w14:textId="77777777" w:rsidR="00D75B11" w:rsidRPr="00E14EB4" w:rsidRDefault="00D75B11" w:rsidP="00D75B11">
            <w:pPr>
              <w:pStyle w:val="BulletText1"/>
              <w:rPr>
                <w:i/>
              </w:rPr>
            </w:pPr>
            <w:r w:rsidRPr="00E14EB4">
              <w:t xml:space="preserve">the RLC sends </w:t>
            </w:r>
            <w:r w:rsidRPr="00E14EB4">
              <w:rPr>
                <w:i/>
              </w:rPr>
              <w:t>VA Form 26-4555</w:t>
            </w:r>
            <w:r w:rsidRPr="00E14EB4">
              <w:t xml:space="preserve"> to the Veteran or service member,</w:t>
            </w:r>
            <w:r w:rsidRPr="00E14EB4">
              <w:rPr>
                <w:i/>
              </w:rPr>
              <w:t xml:space="preserve"> and</w:t>
            </w:r>
          </w:p>
          <w:p w14:paraId="2D904809" w14:textId="7FA28B4C" w:rsidR="00D75B11" w:rsidRPr="00E14EB4" w:rsidRDefault="00D75B11" w:rsidP="00637FED">
            <w:pPr>
              <w:pStyle w:val="BulletText1"/>
            </w:pPr>
            <w:r w:rsidRPr="00E14EB4">
              <w:t>the Veteran or service member must complete and return the form to the RLC</w:t>
            </w:r>
            <w:r w:rsidR="00EA1FC7" w:rsidRPr="00E14EB4">
              <w:t>.</w:t>
            </w:r>
          </w:p>
        </w:tc>
      </w:tr>
      <w:tr w:rsidR="00D75B11" w:rsidRPr="00E14EB4" w14:paraId="56B19630" w14:textId="77777777" w:rsidTr="00E630BC">
        <w:tc>
          <w:tcPr>
            <w:tcW w:w="2385" w:type="pct"/>
            <w:shd w:val="clear" w:color="auto" w:fill="auto"/>
          </w:tcPr>
          <w:p w14:paraId="040F6E0D" w14:textId="1B0AEE3B" w:rsidR="00D75B11" w:rsidRPr="00E14EB4" w:rsidRDefault="00D75B11" w:rsidP="00D75B11">
            <w:pPr>
              <w:pStyle w:val="BulletText1"/>
            </w:pPr>
            <w:r w:rsidRPr="00E14EB4">
              <w:rPr>
                <w:i/>
              </w:rPr>
              <w:t>was</w:t>
            </w:r>
            <w:r w:rsidRPr="00E14EB4">
              <w:t xml:space="preserve"> initiated by a </w:t>
            </w:r>
            <w:r w:rsidRPr="00E14EB4">
              <w:rPr>
                <w:i/>
              </w:rPr>
              <w:t>VA form 26-4555</w:t>
            </w:r>
            <w:r w:rsidRPr="00E14EB4">
              <w:t xml:space="preserve"> submitted to the RLC or </w:t>
            </w:r>
            <w:r w:rsidR="00EA1FC7" w:rsidRPr="00E14EB4">
              <w:t xml:space="preserve">forwarded to the RLC by the </w:t>
            </w:r>
            <w:r w:rsidRPr="00E14EB4">
              <w:t xml:space="preserve">VSC, </w:t>
            </w:r>
            <w:r w:rsidRPr="00E14EB4">
              <w:rPr>
                <w:i/>
              </w:rPr>
              <w:t xml:space="preserve">or </w:t>
            </w:r>
          </w:p>
          <w:p w14:paraId="0E6730E8" w14:textId="5EFD98E6" w:rsidR="00D75B11" w:rsidRPr="00E14EB4" w:rsidRDefault="00D75B11" w:rsidP="00EA1FC7">
            <w:pPr>
              <w:pStyle w:val="BulletText1"/>
            </w:pPr>
            <w:r w:rsidRPr="00E14EB4">
              <w:t>the form is otherwise of record</w:t>
            </w:r>
          </w:p>
        </w:tc>
        <w:tc>
          <w:tcPr>
            <w:tcW w:w="2615" w:type="pct"/>
            <w:shd w:val="clear" w:color="auto" w:fill="auto"/>
          </w:tcPr>
          <w:p w14:paraId="55AECA1F" w14:textId="0D620D33" w:rsidR="00D75B11" w:rsidRPr="00E14EB4" w:rsidRDefault="00987574" w:rsidP="00D75B11">
            <w:pPr>
              <w:pStyle w:val="TableText"/>
            </w:pPr>
            <w:r w:rsidRPr="00E14EB4">
              <w:t>t</w:t>
            </w:r>
            <w:r w:rsidR="00D75B11" w:rsidRPr="00E14EB4">
              <w:t>he RLC completes processing of the claim and determines entitlement.</w:t>
            </w:r>
          </w:p>
          <w:p w14:paraId="27CBF638" w14:textId="77777777" w:rsidR="00D75B11" w:rsidRPr="00E14EB4" w:rsidRDefault="00D75B11" w:rsidP="00D75B11">
            <w:pPr>
              <w:pStyle w:val="TableText"/>
            </w:pPr>
          </w:p>
        </w:tc>
      </w:tr>
    </w:tbl>
    <w:p w14:paraId="190232E0" w14:textId="77777777" w:rsidR="00503583" w:rsidRPr="00E14EB4" w:rsidRDefault="00503583" w:rsidP="00503583">
      <w:pPr>
        <w:pStyle w:val="BlockLine"/>
      </w:pPr>
    </w:p>
    <w:tbl>
      <w:tblPr>
        <w:tblW w:w="0" w:type="auto"/>
        <w:tblLayout w:type="fixed"/>
        <w:tblLook w:val="0000" w:firstRow="0" w:lastRow="0" w:firstColumn="0" w:lastColumn="0" w:noHBand="0" w:noVBand="0"/>
      </w:tblPr>
      <w:tblGrid>
        <w:gridCol w:w="1728"/>
        <w:gridCol w:w="7740"/>
      </w:tblGrid>
      <w:tr w:rsidR="00490C2A" w:rsidRPr="00E14EB4" w14:paraId="2F1DF0DC" w14:textId="77777777" w:rsidTr="00802852">
        <w:tc>
          <w:tcPr>
            <w:tcW w:w="1728" w:type="dxa"/>
            <w:shd w:val="clear" w:color="auto" w:fill="auto"/>
          </w:tcPr>
          <w:p w14:paraId="753B167A" w14:textId="71216337" w:rsidR="00490C2A" w:rsidRPr="00E14EB4" w:rsidRDefault="00724758" w:rsidP="00802852">
            <w:pPr>
              <w:pStyle w:val="Heading5"/>
            </w:pPr>
            <w:r w:rsidRPr="00E14EB4">
              <w:t>i</w:t>
            </w:r>
            <w:r w:rsidR="00490C2A" w:rsidRPr="00E14EB4">
              <w:t>.  SAH/SHA Mailbox Addresses at RLCs</w:t>
            </w:r>
          </w:p>
        </w:tc>
        <w:tc>
          <w:tcPr>
            <w:tcW w:w="7740" w:type="dxa"/>
            <w:shd w:val="clear" w:color="auto" w:fill="auto"/>
          </w:tcPr>
          <w:p w14:paraId="76DA488B" w14:textId="1A9FC597" w:rsidR="00490C2A" w:rsidRPr="00E14EB4" w:rsidRDefault="00490C2A" w:rsidP="00802852">
            <w:pPr>
              <w:pStyle w:val="BlockText"/>
            </w:pPr>
            <w:r w:rsidRPr="00E14EB4">
              <w:t>The table below shows the encrypted SAH/SHA mailbox addresses to use when corresponding with the RLCs of jurisdiction.</w:t>
            </w:r>
          </w:p>
        </w:tc>
      </w:tr>
    </w:tbl>
    <w:p w14:paraId="2BCB2851" w14:textId="3D0D2C7F" w:rsidR="00802852" w:rsidRPr="00E14EB4" w:rsidRDefault="00802852" w:rsidP="00490C2A"/>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490C2A" w:rsidRPr="00E14EB4" w14:paraId="5F358675" w14:textId="77777777" w:rsidTr="00987574">
        <w:tc>
          <w:tcPr>
            <w:tcW w:w="3076" w:type="dxa"/>
            <w:shd w:val="clear" w:color="auto" w:fill="auto"/>
          </w:tcPr>
          <w:p w14:paraId="26E22FDD" w14:textId="1BB0DF50" w:rsidR="00490C2A" w:rsidRPr="00E14EB4" w:rsidRDefault="00490C2A" w:rsidP="00490C2A">
            <w:pPr>
              <w:pStyle w:val="TableHeaderText"/>
            </w:pPr>
            <w:r w:rsidRPr="00E14EB4">
              <w:t>RLC of Jurisdiction</w:t>
            </w:r>
          </w:p>
        </w:tc>
        <w:tc>
          <w:tcPr>
            <w:tcW w:w="4660" w:type="dxa"/>
            <w:shd w:val="clear" w:color="auto" w:fill="auto"/>
          </w:tcPr>
          <w:p w14:paraId="4E52F2B2" w14:textId="6B73CE5C" w:rsidR="00490C2A" w:rsidRPr="00E14EB4" w:rsidRDefault="00490C2A" w:rsidP="00490C2A">
            <w:pPr>
              <w:pStyle w:val="TableHeaderText"/>
            </w:pPr>
            <w:r w:rsidRPr="00E14EB4">
              <w:t>SAH/SHA Mailbox Address</w:t>
            </w:r>
          </w:p>
        </w:tc>
      </w:tr>
      <w:tr w:rsidR="00490C2A" w:rsidRPr="00E14EB4" w14:paraId="7EC80187" w14:textId="77777777" w:rsidTr="00987574">
        <w:tc>
          <w:tcPr>
            <w:tcW w:w="3076" w:type="dxa"/>
            <w:shd w:val="clear" w:color="auto" w:fill="auto"/>
          </w:tcPr>
          <w:p w14:paraId="237410A5" w14:textId="54C09881" w:rsidR="00490C2A" w:rsidRPr="00E14EB4" w:rsidRDefault="00490C2A" w:rsidP="00490C2A">
            <w:pPr>
              <w:pStyle w:val="TableText"/>
            </w:pPr>
            <w:r w:rsidRPr="00E14EB4">
              <w:t>Atlanta</w:t>
            </w:r>
          </w:p>
        </w:tc>
        <w:tc>
          <w:tcPr>
            <w:tcW w:w="4660" w:type="dxa"/>
            <w:shd w:val="clear" w:color="auto" w:fill="auto"/>
          </w:tcPr>
          <w:p w14:paraId="36AF5120" w14:textId="7BA77B14" w:rsidR="00490C2A" w:rsidRPr="00E14EB4" w:rsidRDefault="00E14EB4" w:rsidP="00490C2A">
            <w:pPr>
              <w:pStyle w:val="TableText"/>
            </w:pPr>
            <w:hyperlink r:id="rId45" w:tooltip="mailto:316lgycnv@va.gov" w:history="1">
              <w:r w:rsidR="00490C2A" w:rsidRPr="00E14EB4">
                <w:rPr>
                  <w:rStyle w:val="Strong"/>
                  <w:b w:val="0"/>
                  <w:color w:val="auto"/>
                  <w:u w:val="single"/>
                </w:rPr>
                <w:t>VAVBAATL/RO/CNV</w:t>
              </w:r>
            </w:hyperlink>
          </w:p>
        </w:tc>
      </w:tr>
      <w:tr w:rsidR="00490C2A" w:rsidRPr="00E14EB4" w14:paraId="0138C21A" w14:textId="77777777" w:rsidTr="00987574">
        <w:tc>
          <w:tcPr>
            <w:tcW w:w="3076" w:type="dxa"/>
            <w:shd w:val="clear" w:color="auto" w:fill="auto"/>
          </w:tcPr>
          <w:p w14:paraId="59EF8E21" w14:textId="6329B5E2" w:rsidR="00490C2A" w:rsidRPr="00E14EB4" w:rsidRDefault="00490C2A" w:rsidP="00490C2A">
            <w:pPr>
              <w:pStyle w:val="TableText"/>
            </w:pPr>
            <w:r w:rsidRPr="00E14EB4">
              <w:t>Cleveland</w:t>
            </w:r>
          </w:p>
        </w:tc>
        <w:tc>
          <w:tcPr>
            <w:tcW w:w="4660" w:type="dxa"/>
            <w:shd w:val="clear" w:color="auto" w:fill="auto"/>
          </w:tcPr>
          <w:p w14:paraId="562C6C04" w14:textId="52339676" w:rsidR="00490C2A" w:rsidRPr="00E14EB4" w:rsidRDefault="00E14EB4" w:rsidP="00490C2A">
            <w:pPr>
              <w:pStyle w:val="TableText"/>
            </w:pPr>
            <w:hyperlink r:id="rId46" w:history="1">
              <w:r w:rsidR="00490C2A" w:rsidRPr="00E14EB4">
                <w:rPr>
                  <w:rStyle w:val="Hyperlink"/>
                  <w:color w:val="auto"/>
                </w:rPr>
                <w:t>VAVBACLE/RO/SAH</w:t>
              </w:r>
            </w:hyperlink>
            <w:r w:rsidR="00490C2A" w:rsidRPr="00E14EB4">
              <w:rPr>
                <w:rStyle w:val="Hyperlink"/>
                <w:color w:val="auto"/>
              </w:rPr>
              <w:t>325</w:t>
            </w:r>
          </w:p>
        </w:tc>
      </w:tr>
      <w:tr w:rsidR="00490C2A" w:rsidRPr="00E14EB4" w14:paraId="5FDEEE7F" w14:textId="77777777" w:rsidTr="00987574">
        <w:tc>
          <w:tcPr>
            <w:tcW w:w="3076" w:type="dxa"/>
            <w:shd w:val="clear" w:color="auto" w:fill="auto"/>
          </w:tcPr>
          <w:p w14:paraId="797B2174" w14:textId="20201445" w:rsidR="00490C2A" w:rsidRPr="00E14EB4" w:rsidRDefault="00490C2A" w:rsidP="00490C2A">
            <w:pPr>
              <w:pStyle w:val="TableText"/>
            </w:pPr>
            <w:r w:rsidRPr="00E14EB4">
              <w:t>Denver</w:t>
            </w:r>
          </w:p>
        </w:tc>
        <w:tc>
          <w:tcPr>
            <w:tcW w:w="4660" w:type="dxa"/>
            <w:shd w:val="clear" w:color="auto" w:fill="auto"/>
          </w:tcPr>
          <w:p w14:paraId="03BF6052" w14:textId="09B66805" w:rsidR="00490C2A" w:rsidRPr="00E14EB4" w:rsidRDefault="00E14EB4" w:rsidP="00490C2A">
            <w:pPr>
              <w:pStyle w:val="TableText"/>
            </w:pPr>
            <w:hyperlink r:id="rId47" w:history="1">
              <w:r w:rsidR="00490C2A" w:rsidRPr="00E14EB4">
                <w:rPr>
                  <w:rStyle w:val="Hyperlink"/>
                  <w:color w:val="auto"/>
                </w:rPr>
                <w:t>VAVBADEN/RO/SAH</w:t>
              </w:r>
            </w:hyperlink>
          </w:p>
        </w:tc>
      </w:tr>
      <w:tr w:rsidR="00490C2A" w:rsidRPr="00E14EB4" w14:paraId="7D44D970" w14:textId="77777777" w:rsidTr="00987574">
        <w:tc>
          <w:tcPr>
            <w:tcW w:w="3076" w:type="dxa"/>
            <w:shd w:val="clear" w:color="auto" w:fill="auto"/>
          </w:tcPr>
          <w:p w14:paraId="5800BC90" w14:textId="35C15033" w:rsidR="00490C2A" w:rsidRPr="00E14EB4" w:rsidRDefault="00490C2A" w:rsidP="00490C2A">
            <w:pPr>
              <w:pStyle w:val="TableText"/>
            </w:pPr>
            <w:r w:rsidRPr="00E14EB4">
              <w:t>Honolulu</w:t>
            </w:r>
          </w:p>
        </w:tc>
        <w:tc>
          <w:tcPr>
            <w:tcW w:w="4660" w:type="dxa"/>
            <w:shd w:val="clear" w:color="auto" w:fill="auto"/>
          </w:tcPr>
          <w:p w14:paraId="2F4ECE15" w14:textId="542E79D6" w:rsidR="00490C2A" w:rsidRPr="00E14EB4" w:rsidRDefault="00E14EB4" w:rsidP="00490C2A">
            <w:pPr>
              <w:pStyle w:val="TableText"/>
            </w:pPr>
            <w:hyperlink r:id="rId48" w:tooltip="mailto:SAH.VBAHON@VA.GOV" w:history="1">
              <w:r w:rsidR="00490C2A" w:rsidRPr="00E14EB4">
                <w:rPr>
                  <w:rStyle w:val="Hyperlink"/>
                  <w:color w:val="auto"/>
                </w:rPr>
                <w:t>VAVBAHON/RO/SAH</w:t>
              </w:r>
            </w:hyperlink>
          </w:p>
        </w:tc>
      </w:tr>
      <w:tr w:rsidR="00490C2A" w:rsidRPr="00E14EB4" w14:paraId="72E1DF57" w14:textId="77777777" w:rsidTr="00987574">
        <w:tc>
          <w:tcPr>
            <w:tcW w:w="3076" w:type="dxa"/>
            <w:shd w:val="clear" w:color="auto" w:fill="auto"/>
          </w:tcPr>
          <w:p w14:paraId="5002A18F" w14:textId="1604E142" w:rsidR="00490C2A" w:rsidRPr="00E14EB4" w:rsidRDefault="00490C2A" w:rsidP="00490C2A">
            <w:pPr>
              <w:pStyle w:val="TableText"/>
            </w:pPr>
            <w:r w:rsidRPr="00E14EB4">
              <w:t>Houston</w:t>
            </w:r>
          </w:p>
        </w:tc>
        <w:tc>
          <w:tcPr>
            <w:tcW w:w="4660" w:type="dxa"/>
            <w:shd w:val="clear" w:color="auto" w:fill="auto"/>
          </w:tcPr>
          <w:p w14:paraId="0FFCDE1E" w14:textId="544264A3" w:rsidR="00490C2A" w:rsidRPr="00E14EB4" w:rsidRDefault="00E14EB4" w:rsidP="00490C2A">
            <w:pPr>
              <w:pStyle w:val="TableText"/>
            </w:pPr>
            <w:hyperlink r:id="rId49" w:tooltip="mailto:lgysah.vbahou@va.gov" w:history="1">
              <w:r w:rsidR="00490C2A" w:rsidRPr="00E14EB4">
                <w:rPr>
                  <w:rStyle w:val="Hyperlink"/>
                  <w:color w:val="auto"/>
                </w:rPr>
                <w:t>VAVBAHOU/RO/LGYSAH</w:t>
              </w:r>
            </w:hyperlink>
          </w:p>
        </w:tc>
      </w:tr>
      <w:tr w:rsidR="00490C2A" w:rsidRPr="00E14EB4" w14:paraId="550A6461" w14:textId="77777777" w:rsidTr="00987574">
        <w:tc>
          <w:tcPr>
            <w:tcW w:w="3076" w:type="dxa"/>
            <w:shd w:val="clear" w:color="auto" w:fill="auto"/>
          </w:tcPr>
          <w:p w14:paraId="0F7D7835" w14:textId="121B9BE2" w:rsidR="00490C2A" w:rsidRPr="00E14EB4" w:rsidRDefault="00490C2A" w:rsidP="00490C2A">
            <w:pPr>
              <w:pStyle w:val="TableText"/>
            </w:pPr>
            <w:r w:rsidRPr="00E14EB4">
              <w:lastRenderedPageBreak/>
              <w:t>Roanoke</w:t>
            </w:r>
          </w:p>
        </w:tc>
        <w:tc>
          <w:tcPr>
            <w:tcW w:w="4660" w:type="dxa"/>
            <w:shd w:val="clear" w:color="auto" w:fill="auto"/>
          </w:tcPr>
          <w:p w14:paraId="5B793C47" w14:textId="4837D856" w:rsidR="00490C2A" w:rsidRPr="00E14EB4" w:rsidRDefault="00E14EB4" w:rsidP="00490C2A">
            <w:pPr>
              <w:pStyle w:val="TableText"/>
            </w:pPr>
            <w:hyperlink r:id="rId50" w:tooltip="mailto:SAHSHA.Roanoke@VA.GOV" w:history="1">
              <w:r w:rsidR="00490C2A" w:rsidRPr="00E14EB4">
                <w:rPr>
                  <w:rStyle w:val="Hyperlink"/>
                  <w:bCs/>
                  <w:color w:val="auto"/>
                </w:rPr>
                <w:t>SAHSHA</w:t>
              </w:r>
            </w:hyperlink>
          </w:p>
        </w:tc>
      </w:tr>
      <w:tr w:rsidR="00490C2A" w:rsidRPr="00E14EB4" w14:paraId="4AAC6595" w14:textId="77777777" w:rsidTr="00987574">
        <w:tc>
          <w:tcPr>
            <w:tcW w:w="3076" w:type="dxa"/>
            <w:shd w:val="clear" w:color="auto" w:fill="auto"/>
          </w:tcPr>
          <w:p w14:paraId="6AD91426" w14:textId="21732DAA" w:rsidR="00490C2A" w:rsidRPr="00E14EB4" w:rsidRDefault="00490C2A" w:rsidP="00490C2A">
            <w:pPr>
              <w:pStyle w:val="TableText"/>
            </w:pPr>
            <w:r w:rsidRPr="00E14EB4">
              <w:t>Phoenix</w:t>
            </w:r>
          </w:p>
        </w:tc>
        <w:tc>
          <w:tcPr>
            <w:tcW w:w="4660" w:type="dxa"/>
            <w:shd w:val="clear" w:color="auto" w:fill="auto"/>
          </w:tcPr>
          <w:p w14:paraId="24E6F0B0" w14:textId="5AABA51A" w:rsidR="00490C2A" w:rsidRPr="00E14EB4" w:rsidRDefault="00E14EB4" w:rsidP="00490C2A">
            <w:pPr>
              <w:pStyle w:val="TableText"/>
            </w:pPr>
            <w:hyperlink r:id="rId51" w:history="1">
              <w:r w:rsidR="00490C2A" w:rsidRPr="00E14EB4">
                <w:rPr>
                  <w:rStyle w:val="Hyperlink"/>
                  <w:color w:val="auto"/>
                </w:rPr>
                <w:t>VAVBAPHO/45/SAH</w:t>
              </w:r>
            </w:hyperlink>
          </w:p>
        </w:tc>
      </w:tr>
      <w:tr w:rsidR="00490C2A" w:rsidRPr="00E14EB4" w14:paraId="328B637A" w14:textId="77777777" w:rsidTr="00987574">
        <w:tc>
          <w:tcPr>
            <w:tcW w:w="3076" w:type="dxa"/>
            <w:shd w:val="clear" w:color="auto" w:fill="auto"/>
          </w:tcPr>
          <w:p w14:paraId="48823922" w14:textId="05E9C831" w:rsidR="00490C2A" w:rsidRPr="00E14EB4" w:rsidRDefault="00490C2A" w:rsidP="00490C2A">
            <w:pPr>
              <w:pStyle w:val="TableText"/>
            </w:pPr>
            <w:r w:rsidRPr="00E14EB4">
              <w:t>St. Paul</w:t>
            </w:r>
          </w:p>
        </w:tc>
        <w:tc>
          <w:tcPr>
            <w:tcW w:w="4660" w:type="dxa"/>
            <w:shd w:val="clear" w:color="auto" w:fill="auto"/>
          </w:tcPr>
          <w:p w14:paraId="46D69E80" w14:textId="74B1A8EF" w:rsidR="00490C2A" w:rsidRPr="00E14EB4" w:rsidRDefault="00E14EB4" w:rsidP="00490C2A">
            <w:pPr>
              <w:pStyle w:val="TableText"/>
            </w:pPr>
            <w:hyperlink r:id="rId52" w:history="1">
              <w:r w:rsidR="00490C2A" w:rsidRPr="00E14EB4">
                <w:rPr>
                  <w:rStyle w:val="Hyperlink"/>
                  <w:color w:val="auto"/>
                </w:rPr>
                <w:t>VAVBASPL/RLC/SAH</w:t>
              </w:r>
            </w:hyperlink>
          </w:p>
        </w:tc>
      </w:tr>
      <w:tr w:rsidR="00490C2A" w:rsidRPr="00E14EB4" w14:paraId="21AF1A1E" w14:textId="77777777" w:rsidTr="00987574">
        <w:tc>
          <w:tcPr>
            <w:tcW w:w="3076" w:type="dxa"/>
            <w:shd w:val="clear" w:color="auto" w:fill="auto"/>
          </w:tcPr>
          <w:p w14:paraId="6895EDE5" w14:textId="5EAACE4F" w:rsidR="00490C2A" w:rsidRPr="00E14EB4" w:rsidRDefault="00490C2A" w:rsidP="00490C2A">
            <w:pPr>
              <w:pStyle w:val="TableText"/>
            </w:pPr>
            <w:r w:rsidRPr="00E14EB4">
              <w:t>St. Petersburg</w:t>
            </w:r>
          </w:p>
        </w:tc>
        <w:tc>
          <w:tcPr>
            <w:tcW w:w="4660" w:type="dxa"/>
            <w:shd w:val="clear" w:color="auto" w:fill="auto"/>
          </w:tcPr>
          <w:p w14:paraId="5AD46838" w14:textId="59B9A5B5" w:rsidR="00490C2A" w:rsidRPr="00E14EB4" w:rsidRDefault="00E14EB4" w:rsidP="00490C2A">
            <w:pPr>
              <w:pStyle w:val="TableText"/>
            </w:pPr>
            <w:hyperlink r:id="rId53" w:tooltip="mailto:SAH.VBASPT@va.gov" w:history="1">
              <w:r w:rsidR="00490C2A" w:rsidRPr="00E14EB4">
                <w:rPr>
                  <w:rStyle w:val="Strong"/>
                  <w:b w:val="0"/>
                  <w:color w:val="auto"/>
                  <w:u w:val="single"/>
                </w:rPr>
                <w:t>VAVBASPT/RLC/SAH</w:t>
              </w:r>
            </w:hyperlink>
          </w:p>
        </w:tc>
      </w:tr>
    </w:tbl>
    <w:p w14:paraId="62902B9B" w14:textId="5589A858" w:rsidR="00490C2A" w:rsidRPr="00E14EB4" w:rsidRDefault="00490C2A" w:rsidP="00490C2A"/>
    <w:tbl>
      <w:tblPr>
        <w:tblW w:w="7732" w:type="dxa"/>
        <w:tblInd w:w="1728" w:type="dxa"/>
        <w:tblLayout w:type="fixed"/>
        <w:tblLook w:val="0000" w:firstRow="0" w:lastRow="0" w:firstColumn="0" w:lastColumn="0" w:noHBand="0" w:noVBand="0"/>
      </w:tblPr>
      <w:tblGrid>
        <w:gridCol w:w="7732"/>
      </w:tblGrid>
      <w:tr w:rsidR="00490C2A" w:rsidRPr="00E14EB4" w14:paraId="2B4447B3" w14:textId="77777777" w:rsidTr="00490C2A">
        <w:tc>
          <w:tcPr>
            <w:tcW w:w="5000" w:type="pct"/>
            <w:shd w:val="clear" w:color="auto" w:fill="auto"/>
          </w:tcPr>
          <w:p w14:paraId="38EE5BCB" w14:textId="49765384" w:rsidR="00490C2A" w:rsidRPr="00E14EB4" w:rsidRDefault="00490C2A" w:rsidP="00490C2A">
            <w:pPr>
              <w:pStyle w:val="NoteText"/>
            </w:pPr>
            <w:r w:rsidRPr="00E14EB4">
              <w:rPr>
                <w:b/>
                <w:i/>
              </w:rPr>
              <w:t>Reference</w:t>
            </w:r>
            <w:r w:rsidRPr="00E14EB4">
              <w:t xml:space="preserve">:  For information on each RLC’s area of jurisdiction, see </w:t>
            </w:r>
            <w:hyperlink r:id="rId54" w:history="1">
              <w:r w:rsidRPr="00E14EB4">
                <w:rPr>
                  <w:rStyle w:val="Hyperlink"/>
                </w:rPr>
                <w:t>http://vbaw.vba.va.gov/bl/26/rlcmap.htm</w:t>
              </w:r>
            </w:hyperlink>
            <w:r w:rsidRPr="00E14EB4">
              <w:t>.</w:t>
            </w:r>
          </w:p>
        </w:tc>
      </w:tr>
    </w:tbl>
    <w:p w14:paraId="6AAD5164" w14:textId="7CEFC306" w:rsidR="00142EA7" w:rsidRPr="00E14EB4" w:rsidRDefault="00142EA7">
      <w:pPr>
        <w:pStyle w:val="Heading4"/>
      </w:pPr>
    </w:p>
    <w:p w14:paraId="1519C81A" w14:textId="77777777" w:rsidR="00142EA7" w:rsidRPr="00E14EB4" w:rsidRDefault="00142EA7">
      <w:pPr>
        <w:rPr>
          <w:rFonts w:ascii="Arial" w:hAnsi="Arial" w:cs="Arial"/>
          <w:b/>
          <w:sz w:val="32"/>
          <w:szCs w:val="20"/>
        </w:rPr>
      </w:pPr>
      <w:r w:rsidRPr="00E14EB4">
        <w:br w:type="page"/>
      </w:r>
    </w:p>
    <w:p w14:paraId="0C279BA5" w14:textId="07B72784" w:rsidR="00EE5DBB" w:rsidRPr="00E14EB4" w:rsidRDefault="008B07AF">
      <w:pPr>
        <w:pStyle w:val="Heading4"/>
      </w:pPr>
      <w:r w:rsidRPr="00E14EB4">
        <w:lastRenderedPageBreak/>
        <w:t>4</w:t>
      </w:r>
      <w:r w:rsidR="00EE5DBB" w:rsidRPr="00E14EB4">
        <w:t>.  Processing Notices of Disagreement (NODs) or Substantive Appeals</w:t>
      </w:r>
      <w:r w:rsidR="00CB49C3" w:rsidRPr="00E14EB4">
        <w:t xml:space="preserve"> Based Upon the Denial of Basic Eligi</w:t>
      </w:r>
      <w:r w:rsidR="00566B10" w:rsidRPr="00E14EB4">
        <w:t xml:space="preserve">bility </w:t>
      </w:r>
      <w:r w:rsidR="00CB49C3" w:rsidRPr="00E14EB4">
        <w:t>for SAH/SHA</w:t>
      </w:r>
    </w:p>
    <w:p w14:paraId="668AC149" w14:textId="768B28D8" w:rsidR="00EE5DBB" w:rsidRPr="00E14EB4"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E14EB4" w14:paraId="680D5D25" w14:textId="77777777">
        <w:trPr>
          <w:cantSplit/>
        </w:trPr>
        <w:tc>
          <w:tcPr>
            <w:tcW w:w="1728" w:type="dxa"/>
          </w:tcPr>
          <w:p w14:paraId="26AFBBF2" w14:textId="77777777" w:rsidR="00EE5DBB" w:rsidRPr="00E14EB4" w:rsidRDefault="00EE5DBB">
            <w:pPr>
              <w:pStyle w:val="Heading5"/>
            </w:pPr>
            <w:r w:rsidRPr="00E14EB4">
              <w:t>Change Date</w:t>
            </w:r>
          </w:p>
        </w:tc>
        <w:tc>
          <w:tcPr>
            <w:tcW w:w="7740" w:type="dxa"/>
          </w:tcPr>
          <w:p w14:paraId="3ECA0ACE" w14:textId="77050723" w:rsidR="00EE5DBB" w:rsidRPr="00E14EB4" w:rsidRDefault="00CF575E">
            <w:pPr>
              <w:pStyle w:val="BlockText"/>
            </w:pPr>
            <w:r w:rsidRPr="00E14EB4">
              <w:t>July 15, 2015</w:t>
            </w:r>
          </w:p>
        </w:tc>
      </w:tr>
    </w:tbl>
    <w:p w14:paraId="63BB4C40" w14:textId="53AAD4B0" w:rsidR="00EE5DBB" w:rsidRPr="00E14EB4" w:rsidRDefault="00EE5DBB">
      <w:pPr>
        <w:pStyle w:val="BlockLine"/>
      </w:pPr>
    </w:p>
    <w:tbl>
      <w:tblPr>
        <w:tblW w:w="0" w:type="auto"/>
        <w:tblLayout w:type="fixed"/>
        <w:tblLook w:val="0000" w:firstRow="0" w:lastRow="0" w:firstColumn="0" w:lastColumn="0" w:noHBand="0" w:noVBand="0"/>
      </w:tblPr>
      <w:tblGrid>
        <w:gridCol w:w="1728"/>
        <w:gridCol w:w="7740"/>
      </w:tblGrid>
      <w:tr w:rsidR="00EE5DBB" w:rsidRPr="00E14EB4" w14:paraId="46862BFF" w14:textId="77777777" w:rsidTr="008B07AF">
        <w:tc>
          <w:tcPr>
            <w:tcW w:w="1728" w:type="dxa"/>
          </w:tcPr>
          <w:p w14:paraId="23691E1A" w14:textId="30C48EB0" w:rsidR="00EE5DBB" w:rsidRPr="00E14EB4" w:rsidRDefault="00EE5DBB" w:rsidP="00CB49C3">
            <w:pPr>
              <w:pStyle w:val="Heading5"/>
            </w:pPr>
            <w:r w:rsidRPr="00E14EB4">
              <w:t>a.  Filing NODs or Substantive Appeals</w:t>
            </w:r>
            <w:r w:rsidR="00CB49C3" w:rsidRPr="00E14EB4">
              <w:t xml:space="preserve"> Based Upon the Denial of Basic Eligibility for SAH/SHA</w:t>
            </w:r>
          </w:p>
        </w:tc>
        <w:tc>
          <w:tcPr>
            <w:tcW w:w="7740" w:type="dxa"/>
          </w:tcPr>
          <w:p w14:paraId="12B47FAC" w14:textId="00B5F3C9" w:rsidR="00EE5DBB" w:rsidRPr="00E14EB4" w:rsidRDefault="00EE5DBB">
            <w:pPr>
              <w:pStyle w:val="BlockText"/>
            </w:pPr>
            <w:r w:rsidRPr="00E14EB4">
              <w:t>Claimants may file notices of disagreement (NODs) and subsequent substantive appeals based upon the denial of</w:t>
            </w:r>
            <w:r w:rsidR="00F05DAD" w:rsidRPr="00E14EB4">
              <w:t xml:space="preserve"> basic eligibility</w:t>
            </w:r>
            <w:r w:rsidRPr="00E14EB4">
              <w:t xml:space="preserve"> for SAH</w:t>
            </w:r>
            <w:r w:rsidR="00FF7B64" w:rsidRPr="00E14EB4">
              <w:t>/SHA</w:t>
            </w:r>
            <w:r w:rsidRPr="00E14EB4">
              <w:t>.</w:t>
            </w:r>
          </w:p>
          <w:p w14:paraId="3192B41D" w14:textId="77777777" w:rsidR="00EE5DBB" w:rsidRPr="00E14EB4" w:rsidRDefault="00EE5DBB">
            <w:pPr>
              <w:pStyle w:val="BlockText"/>
            </w:pPr>
          </w:p>
          <w:p w14:paraId="0EAE9A87" w14:textId="35CEB31B" w:rsidR="0070587B" w:rsidRPr="00E14EB4" w:rsidRDefault="0070587B" w:rsidP="00D80946">
            <w:pPr>
              <w:pStyle w:val="BulletText1"/>
              <w:numPr>
                <w:ilvl w:val="0"/>
                <w:numId w:val="0"/>
              </w:numPr>
            </w:pPr>
            <w:r w:rsidRPr="00E14EB4">
              <w:t>The VSC is responsible for furnishing the statement of the case (SOC)</w:t>
            </w:r>
            <w:r w:rsidR="00D80946" w:rsidRPr="00E14EB4">
              <w:t xml:space="preserve">, any supplemental SOCs (SSOCs), </w:t>
            </w:r>
            <w:r w:rsidRPr="00E14EB4">
              <w:t>and certification of appeal arising from rating decisions denying basic eligibility.</w:t>
            </w:r>
          </w:p>
          <w:p w14:paraId="4011628E" w14:textId="77777777" w:rsidR="00EE5DBB" w:rsidRPr="00E14EB4" w:rsidRDefault="00EE5DBB" w:rsidP="0070587B">
            <w:pPr>
              <w:pStyle w:val="BlockText"/>
            </w:pPr>
          </w:p>
          <w:p w14:paraId="22593F35" w14:textId="4CE64867" w:rsidR="00D248CA" w:rsidRPr="00E14EB4" w:rsidRDefault="00D248CA" w:rsidP="0070587B">
            <w:pPr>
              <w:pStyle w:val="BlockText"/>
            </w:pPr>
            <w:r w:rsidRPr="00E14EB4">
              <w:t xml:space="preserve">If the claimant files an appeal document with the VSC with a SAH/SHA matter other than on basic eligibility forward the document to the RLC of jurisdiction. </w:t>
            </w:r>
          </w:p>
          <w:p w14:paraId="54DAA21A" w14:textId="77777777" w:rsidR="00D248CA" w:rsidRPr="00E14EB4" w:rsidRDefault="00D248CA" w:rsidP="0070587B">
            <w:pPr>
              <w:pStyle w:val="BlockText"/>
            </w:pPr>
          </w:p>
          <w:p w14:paraId="75FEAED6" w14:textId="48177059" w:rsidR="00EE5DBB" w:rsidRPr="00E14EB4" w:rsidRDefault="00EE5DBB" w:rsidP="00BB1D58">
            <w:pPr>
              <w:pStyle w:val="BlockText"/>
            </w:pPr>
            <w:r w:rsidRPr="00E14EB4">
              <w:rPr>
                <w:b/>
                <w:i/>
              </w:rPr>
              <w:t>Reference</w:t>
            </w:r>
            <w:r w:rsidRPr="00E14EB4">
              <w:t>:  For more information on NODs and SOCs, see M21-1, Part I, 5.</w:t>
            </w:r>
          </w:p>
        </w:tc>
      </w:tr>
    </w:tbl>
    <w:p w14:paraId="1F189C30" w14:textId="77777777" w:rsidR="00D248CA" w:rsidRPr="00E14EB4" w:rsidRDefault="00D248CA" w:rsidP="00D248CA">
      <w:pPr>
        <w:pStyle w:val="BlockLine"/>
      </w:pPr>
    </w:p>
    <w:p w14:paraId="3E923352" w14:textId="65995CD0" w:rsidR="00EE5DBB" w:rsidRDefault="000810D3" w:rsidP="00F05DAD">
      <w:r w:rsidRPr="00E14EB4">
        <w:fldChar w:fldCharType="begin">
          <w:fldData xml:space="preserve">RABvAGMAVABlAG0AcAAxAFYAYQByAFQAcgBhAGQAaQB0AGkAbwBuAGEAbAA=
</w:fldData>
        </w:fldChar>
      </w:r>
      <w:r w:rsidRPr="00E14EB4">
        <w:instrText xml:space="preserve"> ADDIN  \* MERGEFORMAT </w:instrText>
      </w:r>
      <w:r w:rsidRPr="00E14EB4">
        <w:fldChar w:fldCharType="end"/>
      </w:r>
      <w:r w:rsidRPr="00E14EB4">
        <w:fldChar w:fldCharType="begin">
          <w:fldData xml:space="preserve">RgBvAG4AdABTAGUAdABpAG0AaQBzAHQAeQBsAGUAcwAuAHgAbQBsAA==
</w:fldData>
        </w:fldChar>
      </w:r>
      <w:r w:rsidRPr="00E14EB4">
        <w:instrText xml:space="preserve"> ADDIN  \* MERGEFORMAT </w:instrText>
      </w:r>
      <w:r w:rsidRPr="00E14EB4">
        <w:fldChar w:fldCharType="end"/>
      </w:r>
      <w:r w:rsidR="0024179A" w:rsidRPr="00E14EB4">
        <w:fldChar w:fldCharType="begin">
          <w:fldData xml:space="preserve">RABvAGMAVABlAG0AcAAxAFYAYQByAFQAcgBhAGQAaQB0AGkAbwBuAGEAbAA=
</w:fldData>
        </w:fldChar>
      </w:r>
      <w:r w:rsidR="0024179A" w:rsidRPr="00E14EB4">
        <w:instrText xml:space="preserve"> ADDIN  \* MERGEFORMAT </w:instrText>
      </w:r>
      <w:r w:rsidR="0024179A" w:rsidRPr="00E14EB4">
        <w:fldChar w:fldCharType="end"/>
      </w:r>
      <w:r w:rsidR="0024179A" w:rsidRPr="00E14EB4">
        <w:fldChar w:fldCharType="begin">
          <w:fldData xml:space="preserve">RgBvAG4AdABTAGUAdABpAG0AaQBzAHQAeQBsAGUAcwAuAHgAbQBsAA==
</w:fldData>
        </w:fldChar>
      </w:r>
      <w:r w:rsidR="0024179A" w:rsidRPr="00E14EB4">
        <w:instrText xml:space="preserve"> ADDIN  \* MERGEFORMAT </w:instrText>
      </w:r>
      <w:r w:rsidR="0024179A" w:rsidRPr="00E14EB4">
        <w:fldChar w:fldCharType="end"/>
      </w:r>
      <w:r w:rsidR="002C6EC6" w:rsidRPr="00E14EB4">
        <w:fldChar w:fldCharType="begin">
          <w:fldData xml:space="preserve">RABvAGMAVABlAG0AcAAxAFYAYQByAFQAcgBhAGQAaQB0AGkAbwBuAGEAbAA=
</w:fldData>
        </w:fldChar>
      </w:r>
      <w:r w:rsidR="002C6EC6" w:rsidRPr="00E14EB4">
        <w:instrText xml:space="preserve"> ADDIN  \* MERGEFORMAT </w:instrText>
      </w:r>
      <w:r w:rsidR="002C6EC6" w:rsidRPr="00E14EB4">
        <w:fldChar w:fldCharType="end"/>
      </w:r>
      <w:r w:rsidR="002C6EC6" w:rsidRPr="00E14EB4">
        <w:fldChar w:fldCharType="begin">
          <w:fldData xml:space="preserve">RgBvAG4AdABTAGUAdABpAG0AaQBzAHQAeQBsAGUAcwAuAHgAbQBsAA==
</w:fldData>
        </w:fldChar>
      </w:r>
      <w:r w:rsidR="002C6EC6" w:rsidRPr="00E14EB4">
        <w:instrText xml:space="preserve"> ADDIN  \* MERGEFORMAT </w:instrText>
      </w:r>
      <w:r w:rsidR="002C6EC6" w:rsidRPr="00E14EB4">
        <w:fldChar w:fldCharType="end"/>
      </w:r>
      <w:r w:rsidR="00EB62C3" w:rsidRPr="00E14EB4">
        <w:fldChar w:fldCharType="begin">
          <w:fldData xml:space="preserve">RABvAGMAVABlAG0AcAAxAFYAYQByAFQAcgBhAGQAaQB0AGkAbwBuAGEAbAA=
</w:fldData>
        </w:fldChar>
      </w:r>
      <w:r w:rsidR="00EB62C3" w:rsidRPr="00E14EB4">
        <w:instrText xml:space="preserve"> ADDIN  \* MERGEFORMAT </w:instrText>
      </w:r>
      <w:r w:rsidR="00EB62C3" w:rsidRPr="00E14EB4">
        <w:fldChar w:fldCharType="end"/>
      </w:r>
      <w:r w:rsidR="00EB62C3" w:rsidRPr="00E14EB4">
        <w:fldChar w:fldCharType="begin">
          <w:fldData xml:space="preserve">RgBvAG4AdABTAGUAdABpAG0AaQBzAHQAeQBsAGUAcwAuAHgAbQBsAA==
</w:fldData>
        </w:fldChar>
      </w:r>
      <w:r w:rsidR="00EB62C3" w:rsidRPr="00E14EB4">
        <w:instrText xml:space="preserve"> ADDIN  \* MERGEFORMAT </w:instrText>
      </w:r>
      <w:r w:rsidR="00EB62C3" w:rsidRPr="00E14EB4">
        <w:fldChar w:fldCharType="end"/>
      </w:r>
      <w:r w:rsidR="00743BD6" w:rsidRPr="00E14EB4">
        <w:fldChar w:fldCharType="begin">
          <w:fldData xml:space="preserve">RABvAGMAVABlAG0AcAAxAFYAYQByAFQAcgBhAGQAaQB0AGkAbwBuAGEAbAA=
</w:fldData>
        </w:fldChar>
      </w:r>
      <w:r w:rsidR="00743BD6" w:rsidRPr="00E14EB4">
        <w:instrText xml:space="preserve"> ADDIN  \* MERGEFORMAT </w:instrText>
      </w:r>
      <w:r w:rsidR="00743BD6" w:rsidRPr="00E14EB4">
        <w:fldChar w:fldCharType="end"/>
      </w:r>
      <w:r w:rsidR="00743BD6" w:rsidRPr="00E14EB4">
        <w:fldChar w:fldCharType="begin">
          <w:fldData xml:space="preserve">RgBvAG4AdABTAGUAdABGAG8AbgB0AFMAZQB0AGkAbQBpAHMAdAB5AGwAZQBzAC4AeABtAGwA
</w:fldData>
        </w:fldChar>
      </w:r>
      <w:r w:rsidR="00743BD6" w:rsidRPr="00E14EB4">
        <w:instrText xml:space="preserve"> ADDIN  \* MERGEFORMAT </w:instrText>
      </w:r>
      <w:r w:rsidR="00743BD6" w:rsidRPr="00E14EB4">
        <w:fldChar w:fldCharType="end"/>
      </w:r>
      <w:r w:rsidR="00E14EB4">
        <w:fldChar w:fldCharType="begin">
          <w:fldData xml:space="preserve">RABvAGMAVABlAG0AcAAxAFYAYQByAFQAcgBhAGQAaQB0AGkAbwBuAGEAbAA=
</w:fldData>
        </w:fldChar>
      </w:r>
      <w:r w:rsidR="00E14EB4">
        <w:instrText xml:space="preserve"> ADDIN  \* MERGEFORMAT </w:instrText>
      </w:r>
      <w:r w:rsidR="00E14EB4">
        <w:fldChar w:fldCharType="end"/>
      </w:r>
      <w:r w:rsidR="00E14EB4">
        <w:fldChar w:fldCharType="begin">
          <w:fldData xml:space="preserve">RgBvAG4AdABTAGUAdABGAG8AbgB0AFMAZQB0AEYAbwBuAHQAUwBlAHQAaQBtAGkAcwB0AHkAbABl
AHMALgB4AG0AbAA=
</w:fldData>
        </w:fldChar>
      </w:r>
      <w:r w:rsidR="00E14EB4">
        <w:instrText xml:space="preserve"> ADDIN  \* MERGEFORMAT </w:instrText>
      </w:r>
      <w:r w:rsidR="00E14EB4">
        <w:fldChar w:fldCharType="end"/>
      </w:r>
      <w:bookmarkStart w:id="0" w:name="_GoBack"/>
      <w:bookmarkEnd w:id="0"/>
    </w:p>
    <w:sectPr w:rsidR="00EE5DBB" w:rsidSect="00CE38FB">
      <w:headerReference w:type="default" r:id="rId55"/>
      <w:footerReference w:type="even" r:id="rId56"/>
      <w:footerReference w:type="default" r:id="rId57"/>
      <w:type w:val="oddPage"/>
      <w:pgSz w:w="12240" w:h="15840"/>
      <w:pgMar w:top="1008" w:right="1440" w:bottom="1008"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31FF8" w14:textId="77777777" w:rsidR="001847D7" w:rsidRDefault="001847D7">
      <w:r>
        <w:separator/>
      </w:r>
    </w:p>
  </w:endnote>
  <w:endnote w:type="continuationSeparator" w:id="0">
    <w:p w14:paraId="27C9EB32" w14:textId="77777777" w:rsidR="001847D7" w:rsidRDefault="001847D7">
      <w:r>
        <w:continuationSeparator/>
      </w:r>
    </w:p>
  </w:endnote>
  <w:endnote w:type="continuationNotice" w:id="1">
    <w:p w14:paraId="19252E96" w14:textId="77777777" w:rsidR="001847D7" w:rsidRDefault="00184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ECB5" w14:textId="77777777" w:rsidR="001847D7" w:rsidRDefault="001847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789E" w14:textId="030ABC5C" w:rsidR="001847D7" w:rsidRDefault="001847D7" w:rsidP="00BE744B">
    <w:pPr>
      <w:pStyle w:val="Footer"/>
      <w:tabs>
        <w:tab w:val="right" w:pos="9274"/>
        <w:tab w:val="right" w:pos="12960"/>
      </w:tabs>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4CCC9" w14:textId="77777777" w:rsidR="001847D7" w:rsidRDefault="001847D7">
      <w:r>
        <w:separator/>
      </w:r>
    </w:p>
  </w:footnote>
  <w:footnote w:type="continuationSeparator" w:id="0">
    <w:p w14:paraId="41B03929" w14:textId="77777777" w:rsidR="001847D7" w:rsidRDefault="001847D7">
      <w:r>
        <w:continuationSeparator/>
      </w:r>
    </w:p>
  </w:footnote>
  <w:footnote w:type="continuationNotice" w:id="1">
    <w:p w14:paraId="774C03EE" w14:textId="77777777" w:rsidR="001847D7" w:rsidRDefault="001847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1AAB" w14:textId="7D468C6D" w:rsidR="001847D7" w:rsidRDefault="001847D7">
    <w:pPr>
      <w:pStyle w:val="Header"/>
      <w:rPr>
        <w:sz w:val="20"/>
      </w:rP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A10AC"/>
    <w:multiLevelType w:val="hybridMultilevel"/>
    <w:tmpl w:val="9E4C4588"/>
    <w:lvl w:ilvl="0" w:tplc="54AC9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553B"/>
    <w:multiLevelType w:val="hybridMultilevel"/>
    <w:tmpl w:val="1FE6278E"/>
    <w:lvl w:ilvl="0" w:tplc="63D097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639FF"/>
    <w:multiLevelType w:val="hybridMultilevel"/>
    <w:tmpl w:val="39C49BF0"/>
    <w:lvl w:ilvl="0" w:tplc="E2D20C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C0CB9"/>
    <w:multiLevelType w:val="hybridMultilevel"/>
    <w:tmpl w:val="53C62764"/>
    <w:lvl w:ilvl="0" w:tplc="54AC9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65464"/>
    <w:multiLevelType w:val="hybridMultilevel"/>
    <w:tmpl w:val="369A4256"/>
    <w:lvl w:ilvl="0" w:tplc="C11CD6B4">
      <w:start w:val="1"/>
      <w:numFmt w:val="bullet"/>
      <w:lvlRestart w:val="0"/>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AB70D5B"/>
    <w:multiLevelType w:val="hybridMultilevel"/>
    <w:tmpl w:val="077A2F46"/>
    <w:lvl w:ilvl="0" w:tplc="63D097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E2629"/>
    <w:multiLevelType w:val="hybridMultilevel"/>
    <w:tmpl w:val="5B1E2798"/>
    <w:lvl w:ilvl="0" w:tplc="63D097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1756B"/>
    <w:multiLevelType w:val="hybridMultilevel"/>
    <w:tmpl w:val="9296E9F0"/>
    <w:lvl w:ilvl="0" w:tplc="30E66D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B5F28"/>
    <w:multiLevelType w:val="hybridMultilevel"/>
    <w:tmpl w:val="B824CD24"/>
    <w:lvl w:ilvl="0" w:tplc="E95E50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71603"/>
    <w:multiLevelType w:val="hybridMultilevel"/>
    <w:tmpl w:val="687E2F46"/>
    <w:lvl w:ilvl="0" w:tplc="D30861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1503A"/>
    <w:multiLevelType w:val="hybridMultilevel"/>
    <w:tmpl w:val="1598E0E0"/>
    <w:lvl w:ilvl="0" w:tplc="39C22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63314"/>
    <w:multiLevelType w:val="hybridMultilevel"/>
    <w:tmpl w:val="AD701D52"/>
    <w:lvl w:ilvl="0" w:tplc="5B5400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21184"/>
    <w:multiLevelType w:val="hybridMultilevel"/>
    <w:tmpl w:val="45564BC8"/>
    <w:lvl w:ilvl="0" w:tplc="63D097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21690"/>
    <w:multiLevelType w:val="hybridMultilevel"/>
    <w:tmpl w:val="76F06E00"/>
    <w:lvl w:ilvl="0" w:tplc="63D097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909CA"/>
    <w:multiLevelType w:val="hybridMultilevel"/>
    <w:tmpl w:val="5A921C1E"/>
    <w:lvl w:ilvl="0" w:tplc="B0A671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10EEC"/>
    <w:multiLevelType w:val="hybridMultilevel"/>
    <w:tmpl w:val="551218C0"/>
    <w:lvl w:ilvl="0" w:tplc="63D097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B3D68"/>
    <w:multiLevelType w:val="hybridMultilevel"/>
    <w:tmpl w:val="27207C7A"/>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B02AF"/>
    <w:multiLevelType w:val="singleLevel"/>
    <w:tmpl w:val="12C6919C"/>
    <w:lvl w:ilvl="0">
      <w:start w:val="1"/>
      <w:numFmt w:val="bullet"/>
      <w:lvlText w:val=""/>
      <w:lvlJc w:val="left"/>
      <w:pPr>
        <w:tabs>
          <w:tab w:val="num" w:pos="547"/>
        </w:tabs>
        <w:ind w:left="547" w:hanging="360"/>
      </w:pPr>
      <w:rPr>
        <w:rFonts w:ascii="Symbol" w:hAnsi="Symbol" w:hint="default"/>
        <w:color w:val="auto"/>
      </w:rPr>
    </w:lvl>
  </w:abstractNum>
  <w:abstractNum w:abstractNumId="19">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F76229"/>
    <w:multiLevelType w:val="hybridMultilevel"/>
    <w:tmpl w:val="0E5AD228"/>
    <w:lvl w:ilvl="0" w:tplc="E2D20C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22">
    <w:nsid w:val="792023A4"/>
    <w:multiLevelType w:val="hybridMultilevel"/>
    <w:tmpl w:val="82E2ABA4"/>
    <w:lvl w:ilvl="0" w:tplc="53DA61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229B7"/>
    <w:multiLevelType w:val="hybridMultilevel"/>
    <w:tmpl w:val="012C3FD8"/>
    <w:lvl w:ilvl="0" w:tplc="54AC9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913E5"/>
    <w:multiLevelType w:val="hybridMultilevel"/>
    <w:tmpl w:val="6CCC2B9A"/>
    <w:lvl w:ilvl="0" w:tplc="54AC9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0"/>
  </w:num>
  <w:num w:numId="4">
    <w:abstractNumId w:val="19"/>
  </w:num>
  <w:num w:numId="5">
    <w:abstractNumId w:val="11"/>
  </w:num>
  <w:num w:numId="6">
    <w:abstractNumId w:val="15"/>
  </w:num>
  <w:num w:numId="7">
    <w:abstractNumId w:val="5"/>
  </w:num>
  <w:num w:numId="8">
    <w:abstractNumId w:val="22"/>
  </w:num>
  <w:num w:numId="9">
    <w:abstractNumId w:val="9"/>
  </w:num>
  <w:num w:numId="10">
    <w:abstractNumId w:val="10"/>
  </w:num>
  <w:num w:numId="11">
    <w:abstractNumId w:val="12"/>
  </w:num>
  <w:num w:numId="12">
    <w:abstractNumId w:val="2"/>
  </w:num>
  <w:num w:numId="13">
    <w:abstractNumId w:val="14"/>
  </w:num>
  <w:num w:numId="14">
    <w:abstractNumId w:val="13"/>
  </w:num>
  <w:num w:numId="15">
    <w:abstractNumId w:val="7"/>
  </w:num>
  <w:num w:numId="16">
    <w:abstractNumId w:val="16"/>
  </w:num>
  <w:num w:numId="17">
    <w:abstractNumId w:val="6"/>
  </w:num>
  <w:num w:numId="18">
    <w:abstractNumId w:val="18"/>
  </w:num>
  <w:num w:numId="19">
    <w:abstractNumId w:val="8"/>
  </w:num>
  <w:num w:numId="20">
    <w:abstractNumId w:val="23"/>
  </w:num>
  <w:num w:numId="21">
    <w:abstractNumId w:val="24"/>
  </w:num>
  <w:num w:numId="22">
    <w:abstractNumId w:val="1"/>
  </w:num>
  <w:num w:numId="23">
    <w:abstractNumId w:val="4"/>
  </w:num>
  <w:num w:numId="24">
    <w:abstractNumId w:val="3"/>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Pro 4.1\StyleSheets\"/>
    <w:docVar w:name="XSLstylesheet" w:val="Basic.xsl"/>
  </w:docVars>
  <w:rsids>
    <w:rsidRoot w:val="00B23AE4"/>
    <w:rsid w:val="00011E4A"/>
    <w:rsid w:val="000157A5"/>
    <w:rsid w:val="0001599E"/>
    <w:rsid w:val="0002052F"/>
    <w:rsid w:val="000260D2"/>
    <w:rsid w:val="0003459C"/>
    <w:rsid w:val="00035724"/>
    <w:rsid w:val="000360C2"/>
    <w:rsid w:val="00042728"/>
    <w:rsid w:val="000469DC"/>
    <w:rsid w:val="00055C22"/>
    <w:rsid w:val="0006042D"/>
    <w:rsid w:val="00063BE3"/>
    <w:rsid w:val="000731F0"/>
    <w:rsid w:val="000750A5"/>
    <w:rsid w:val="000810D3"/>
    <w:rsid w:val="000823C8"/>
    <w:rsid w:val="000848E4"/>
    <w:rsid w:val="00084C42"/>
    <w:rsid w:val="00087F74"/>
    <w:rsid w:val="00090A3C"/>
    <w:rsid w:val="000934DC"/>
    <w:rsid w:val="000A3DF9"/>
    <w:rsid w:val="000A41E7"/>
    <w:rsid w:val="000A4EAF"/>
    <w:rsid w:val="000A7C39"/>
    <w:rsid w:val="000B17EC"/>
    <w:rsid w:val="000B2DD4"/>
    <w:rsid w:val="000D410C"/>
    <w:rsid w:val="000D589A"/>
    <w:rsid w:val="000D7A5A"/>
    <w:rsid w:val="000E0BA0"/>
    <w:rsid w:val="000E12DD"/>
    <w:rsid w:val="000E308F"/>
    <w:rsid w:val="000E4AFE"/>
    <w:rsid w:val="000F3461"/>
    <w:rsid w:val="001037B9"/>
    <w:rsid w:val="00111585"/>
    <w:rsid w:val="00115308"/>
    <w:rsid w:val="001158FF"/>
    <w:rsid w:val="00116BFB"/>
    <w:rsid w:val="001340FB"/>
    <w:rsid w:val="00134162"/>
    <w:rsid w:val="00135CF4"/>
    <w:rsid w:val="001364FF"/>
    <w:rsid w:val="00142EA7"/>
    <w:rsid w:val="00144DF7"/>
    <w:rsid w:val="00145E7B"/>
    <w:rsid w:val="00153E5B"/>
    <w:rsid w:val="001545A6"/>
    <w:rsid w:val="00154D06"/>
    <w:rsid w:val="00166384"/>
    <w:rsid w:val="00171679"/>
    <w:rsid w:val="00173184"/>
    <w:rsid w:val="00174011"/>
    <w:rsid w:val="00183772"/>
    <w:rsid w:val="00183C7B"/>
    <w:rsid w:val="001847D7"/>
    <w:rsid w:val="0018503E"/>
    <w:rsid w:val="00185200"/>
    <w:rsid w:val="00191BCE"/>
    <w:rsid w:val="00191C9F"/>
    <w:rsid w:val="00194B15"/>
    <w:rsid w:val="00195D08"/>
    <w:rsid w:val="001967AD"/>
    <w:rsid w:val="001A1956"/>
    <w:rsid w:val="001A25F5"/>
    <w:rsid w:val="001A766D"/>
    <w:rsid w:val="001A7BD3"/>
    <w:rsid w:val="001B1804"/>
    <w:rsid w:val="001B1FEA"/>
    <w:rsid w:val="001B68BB"/>
    <w:rsid w:val="001B7994"/>
    <w:rsid w:val="001C0818"/>
    <w:rsid w:val="001C1BB0"/>
    <w:rsid w:val="001C3F19"/>
    <w:rsid w:val="001C6B83"/>
    <w:rsid w:val="001D07A7"/>
    <w:rsid w:val="001D28EC"/>
    <w:rsid w:val="001D7938"/>
    <w:rsid w:val="001E3F07"/>
    <w:rsid w:val="001E48ED"/>
    <w:rsid w:val="001E7F9F"/>
    <w:rsid w:val="001F789F"/>
    <w:rsid w:val="001F7B73"/>
    <w:rsid w:val="00200AB8"/>
    <w:rsid w:val="002047CB"/>
    <w:rsid w:val="00204BCC"/>
    <w:rsid w:val="00212679"/>
    <w:rsid w:val="002142B3"/>
    <w:rsid w:val="0022157F"/>
    <w:rsid w:val="00226956"/>
    <w:rsid w:val="0023116E"/>
    <w:rsid w:val="00237A39"/>
    <w:rsid w:val="0024010E"/>
    <w:rsid w:val="002409FC"/>
    <w:rsid w:val="0024179A"/>
    <w:rsid w:val="00241A10"/>
    <w:rsid w:val="002430E4"/>
    <w:rsid w:val="00261081"/>
    <w:rsid w:val="00261206"/>
    <w:rsid w:val="0026376C"/>
    <w:rsid w:val="0027073F"/>
    <w:rsid w:val="0027383A"/>
    <w:rsid w:val="0027460F"/>
    <w:rsid w:val="002777E2"/>
    <w:rsid w:val="00280080"/>
    <w:rsid w:val="002809FB"/>
    <w:rsid w:val="002927A1"/>
    <w:rsid w:val="002946DF"/>
    <w:rsid w:val="00294D2B"/>
    <w:rsid w:val="002A42BC"/>
    <w:rsid w:val="002A48BC"/>
    <w:rsid w:val="002B18B0"/>
    <w:rsid w:val="002B41AA"/>
    <w:rsid w:val="002B4997"/>
    <w:rsid w:val="002B519D"/>
    <w:rsid w:val="002B51B8"/>
    <w:rsid w:val="002B6C56"/>
    <w:rsid w:val="002B7BF7"/>
    <w:rsid w:val="002C1C81"/>
    <w:rsid w:val="002C53B4"/>
    <w:rsid w:val="002C6EC6"/>
    <w:rsid w:val="002C7639"/>
    <w:rsid w:val="002D2A67"/>
    <w:rsid w:val="002D5024"/>
    <w:rsid w:val="002E1521"/>
    <w:rsid w:val="002E1F6E"/>
    <w:rsid w:val="002E304C"/>
    <w:rsid w:val="002E4860"/>
    <w:rsid w:val="002F153E"/>
    <w:rsid w:val="002F17A6"/>
    <w:rsid w:val="002F4B74"/>
    <w:rsid w:val="002F4FE9"/>
    <w:rsid w:val="002F59AB"/>
    <w:rsid w:val="002F6FE3"/>
    <w:rsid w:val="00304AB9"/>
    <w:rsid w:val="00312B0E"/>
    <w:rsid w:val="0031492D"/>
    <w:rsid w:val="00315662"/>
    <w:rsid w:val="00316CBB"/>
    <w:rsid w:val="003207A6"/>
    <w:rsid w:val="00320E35"/>
    <w:rsid w:val="00331FB1"/>
    <w:rsid w:val="00332F2F"/>
    <w:rsid w:val="00333605"/>
    <w:rsid w:val="003360B1"/>
    <w:rsid w:val="00343640"/>
    <w:rsid w:val="0035305A"/>
    <w:rsid w:val="00357AC9"/>
    <w:rsid w:val="00360609"/>
    <w:rsid w:val="00361C93"/>
    <w:rsid w:val="0036676B"/>
    <w:rsid w:val="00370A68"/>
    <w:rsid w:val="00374426"/>
    <w:rsid w:val="00377573"/>
    <w:rsid w:val="00382E28"/>
    <w:rsid w:val="00384A12"/>
    <w:rsid w:val="00385433"/>
    <w:rsid w:val="00387973"/>
    <w:rsid w:val="003904DC"/>
    <w:rsid w:val="00393AD1"/>
    <w:rsid w:val="003A16AC"/>
    <w:rsid w:val="003A5227"/>
    <w:rsid w:val="003A5FD0"/>
    <w:rsid w:val="003B3694"/>
    <w:rsid w:val="003C0512"/>
    <w:rsid w:val="003C0808"/>
    <w:rsid w:val="003C11A1"/>
    <w:rsid w:val="003C32CF"/>
    <w:rsid w:val="003C38FC"/>
    <w:rsid w:val="003C3AEA"/>
    <w:rsid w:val="003C69A6"/>
    <w:rsid w:val="003C7B03"/>
    <w:rsid w:val="003D166D"/>
    <w:rsid w:val="003D2A9C"/>
    <w:rsid w:val="003D2C1D"/>
    <w:rsid w:val="003D4B6D"/>
    <w:rsid w:val="003D5FD1"/>
    <w:rsid w:val="003D6B1C"/>
    <w:rsid w:val="003D72D4"/>
    <w:rsid w:val="003E288B"/>
    <w:rsid w:val="003E4F28"/>
    <w:rsid w:val="003E5B4E"/>
    <w:rsid w:val="003F0E53"/>
    <w:rsid w:val="003F1C58"/>
    <w:rsid w:val="003F232E"/>
    <w:rsid w:val="004009BD"/>
    <w:rsid w:val="00400D9C"/>
    <w:rsid w:val="0040354F"/>
    <w:rsid w:val="00405358"/>
    <w:rsid w:val="004139BA"/>
    <w:rsid w:val="00414418"/>
    <w:rsid w:val="00415D98"/>
    <w:rsid w:val="00421D97"/>
    <w:rsid w:val="00424580"/>
    <w:rsid w:val="00425441"/>
    <w:rsid w:val="0042624C"/>
    <w:rsid w:val="004278AF"/>
    <w:rsid w:val="00427C2A"/>
    <w:rsid w:val="004308EB"/>
    <w:rsid w:val="00430EF2"/>
    <w:rsid w:val="00434E57"/>
    <w:rsid w:val="00437A6F"/>
    <w:rsid w:val="00442F22"/>
    <w:rsid w:val="00444C9E"/>
    <w:rsid w:val="00446CAA"/>
    <w:rsid w:val="004532CF"/>
    <w:rsid w:val="00455253"/>
    <w:rsid w:val="00455909"/>
    <w:rsid w:val="00455A93"/>
    <w:rsid w:val="00457AC8"/>
    <w:rsid w:val="0046327C"/>
    <w:rsid w:val="0046443D"/>
    <w:rsid w:val="00473DF2"/>
    <w:rsid w:val="00477400"/>
    <w:rsid w:val="0048681C"/>
    <w:rsid w:val="004902A7"/>
    <w:rsid w:val="00490C2A"/>
    <w:rsid w:val="00491079"/>
    <w:rsid w:val="00495E5D"/>
    <w:rsid w:val="004A0C61"/>
    <w:rsid w:val="004A2FC0"/>
    <w:rsid w:val="004A5F1D"/>
    <w:rsid w:val="004B793D"/>
    <w:rsid w:val="004C2BA4"/>
    <w:rsid w:val="004C345A"/>
    <w:rsid w:val="004C5640"/>
    <w:rsid w:val="004C7CA9"/>
    <w:rsid w:val="004D0189"/>
    <w:rsid w:val="004D0D09"/>
    <w:rsid w:val="004D3515"/>
    <w:rsid w:val="004D4979"/>
    <w:rsid w:val="004D626D"/>
    <w:rsid w:val="004E07F8"/>
    <w:rsid w:val="004E5655"/>
    <w:rsid w:val="004E76C3"/>
    <w:rsid w:val="004F03BF"/>
    <w:rsid w:val="004F06CD"/>
    <w:rsid w:val="004F23DE"/>
    <w:rsid w:val="004F48A1"/>
    <w:rsid w:val="004F7534"/>
    <w:rsid w:val="004F7CEC"/>
    <w:rsid w:val="0050026A"/>
    <w:rsid w:val="0050252B"/>
    <w:rsid w:val="00502E89"/>
    <w:rsid w:val="00503583"/>
    <w:rsid w:val="005053EE"/>
    <w:rsid w:val="00505DA9"/>
    <w:rsid w:val="00517F63"/>
    <w:rsid w:val="005213A0"/>
    <w:rsid w:val="005304F5"/>
    <w:rsid w:val="005314D2"/>
    <w:rsid w:val="005406A7"/>
    <w:rsid w:val="0054088D"/>
    <w:rsid w:val="00541916"/>
    <w:rsid w:val="00551F5E"/>
    <w:rsid w:val="00553AA4"/>
    <w:rsid w:val="0056084D"/>
    <w:rsid w:val="00565AE4"/>
    <w:rsid w:val="00565C13"/>
    <w:rsid w:val="00566B10"/>
    <w:rsid w:val="00566BBC"/>
    <w:rsid w:val="00567305"/>
    <w:rsid w:val="005718C7"/>
    <w:rsid w:val="00572259"/>
    <w:rsid w:val="00574824"/>
    <w:rsid w:val="0058256A"/>
    <w:rsid w:val="005832D7"/>
    <w:rsid w:val="00584ECD"/>
    <w:rsid w:val="0058703C"/>
    <w:rsid w:val="0059081C"/>
    <w:rsid w:val="005932D8"/>
    <w:rsid w:val="00593329"/>
    <w:rsid w:val="00596A3E"/>
    <w:rsid w:val="005A2E09"/>
    <w:rsid w:val="005A7E18"/>
    <w:rsid w:val="005B0844"/>
    <w:rsid w:val="005B604C"/>
    <w:rsid w:val="005C3AFB"/>
    <w:rsid w:val="005C6057"/>
    <w:rsid w:val="005C6F07"/>
    <w:rsid w:val="005D0006"/>
    <w:rsid w:val="005D2ECB"/>
    <w:rsid w:val="005D56A3"/>
    <w:rsid w:val="005E05CB"/>
    <w:rsid w:val="005E2DC6"/>
    <w:rsid w:val="005E47C3"/>
    <w:rsid w:val="005E723A"/>
    <w:rsid w:val="005F13E6"/>
    <w:rsid w:val="0060344E"/>
    <w:rsid w:val="006103D8"/>
    <w:rsid w:val="00611B8B"/>
    <w:rsid w:val="00612057"/>
    <w:rsid w:val="00612CA8"/>
    <w:rsid w:val="00613EA7"/>
    <w:rsid w:val="00620038"/>
    <w:rsid w:val="00620832"/>
    <w:rsid w:val="006222A1"/>
    <w:rsid w:val="00625403"/>
    <w:rsid w:val="00630156"/>
    <w:rsid w:val="00632F52"/>
    <w:rsid w:val="006358BC"/>
    <w:rsid w:val="00637FED"/>
    <w:rsid w:val="00641458"/>
    <w:rsid w:val="0064233E"/>
    <w:rsid w:val="00647DFA"/>
    <w:rsid w:val="00652774"/>
    <w:rsid w:val="00655780"/>
    <w:rsid w:val="00663BF1"/>
    <w:rsid w:val="00664E7F"/>
    <w:rsid w:val="006717D0"/>
    <w:rsid w:val="006805A7"/>
    <w:rsid w:val="006821C0"/>
    <w:rsid w:val="006825D0"/>
    <w:rsid w:val="0068279F"/>
    <w:rsid w:val="00683F2B"/>
    <w:rsid w:val="00684925"/>
    <w:rsid w:val="00684BD3"/>
    <w:rsid w:val="00687941"/>
    <w:rsid w:val="00690CCE"/>
    <w:rsid w:val="006930C1"/>
    <w:rsid w:val="0069727D"/>
    <w:rsid w:val="006A0CD3"/>
    <w:rsid w:val="006A13F4"/>
    <w:rsid w:val="006A32FC"/>
    <w:rsid w:val="006A3A82"/>
    <w:rsid w:val="006A7866"/>
    <w:rsid w:val="006B0B7C"/>
    <w:rsid w:val="006B1297"/>
    <w:rsid w:val="006B13C1"/>
    <w:rsid w:val="006B1601"/>
    <w:rsid w:val="006B488D"/>
    <w:rsid w:val="006B6396"/>
    <w:rsid w:val="006C36B2"/>
    <w:rsid w:val="006C7FEB"/>
    <w:rsid w:val="006D0469"/>
    <w:rsid w:val="006D4C48"/>
    <w:rsid w:val="006D5990"/>
    <w:rsid w:val="006E3B45"/>
    <w:rsid w:val="006F621D"/>
    <w:rsid w:val="007003B1"/>
    <w:rsid w:val="00703FCF"/>
    <w:rsid w:val="0070587B"/>
    <w:rsid w:val="007150E1"/>
    <w:rsid w:val="00716252"/>
    <w:rsid w:val="00724758"/>
    <w:rsid w:val="00725443"/>
    <w:rsid w:val="007255DA"/>
    <w:rsid w:val="00725920"/>
    <w:rsid w:val="00725B29"/>
    <w:rsid w:val="00727525"/>
    <w:rsid w:val="00733878"/>
    <w:rsid w:val="00734C9E"/>
    <w:rsid w:val="00743BD6"/>
    <w:rsid w:val="007455B2"/>
    <w:rsid w:val="00746046"/>
    <w:rsid w:val="00761AB2"/>
    <w:rsid w:val="0077077B"/>
    <w:rsid w:val="00774FD7"/>
    <w:rsid w:val="00775C76"/>
    <w:rsid w:val="0078265F"/>
    <w:rsid w:val="0078379D"/>
    <w:rsid w:val="00785F12"/>
    <w:rsid w:val="007906AF"/>
    <w:rsid w:val="007911EB"/>
    <w:rsid w:val="00791954"/>
    <w:rsid w:val="00792172"/>
    <w:rsid w:val="00794217"/>
    <w:rsid w:val="0079551E"/>
    <w:rsid w:val="007A2A6A"/>
    <w:rsid w:val="007A2A7F"/>
    <w:rsid w:val="007A4C07"/>
    <w:rsid w:val="007A5834"/>
    <w:rsid w:val="007A6DE9"/>
    <w:rsid w:val="007B198C"/>
    <w:rsid w:val="007B68E2"/>
    <w:rsid w:val="007C1143"/>
    <w:rsid w:val="007C13C4"/>
    <w:rsid w:val="007C45E7"/>
    <w:rsid w:val="007D2AA2"/>
    <w:rsid w:val="007D7871"/>
    <w:rsid w:val="007E2D05"/>
    <w:rsid w:val="007E4AA3"/>
    <w:rsid w:val="007F5D66"/>
    <w:rsid w:val="00802852"/>
    <w:rsid w:val="00803407"/>
    <w:rsid w:val="0080544C"/>
    <w:rsid w:val="00805961"/>
    <w:rsid w:val="008062E1"/>
    <w:rsid w:val="00806FBE"/>
    <w:rsid w:val="00807B27"/>
    <w:rsid w:val="00807F22"/>
    <w:rsid w:val="00821866"/>
    <w:rsid w:val="00825974"/>
    <w:rsid w:val="00827111"/>
    <w:rsid w:val="00830AC2"/>
    <w:rsid w:val="00833AF1"/>
    <w:rsid w:val="0083483F"/>
    <w:rsid w:val="00835DF8"/>
    <w:rsid w:val="00836BD8"/>
    <w:rsid w:val="00837EEE"/>
    <w:rsid w:val="0085068E"/>
    <w:rsid w:val="00851D5B"/>
    <w:rsid w:val="00852E16"/>
    <w:rsid w:val="00856359"/>
    <w:rsid w:val="00856806"/>
    <w:rsid w:val="00865DF5"/>
    <w:rsid w:val="00870124"/>
    <w:rsid w:val="00873686"/>
    <w:rsid w:val="008765E0"/>
    <w:rsid w:val="008807E1"/>
    <w:rsid w:val="00880D9F"/>
    <w:rsid w:val="0088737C"/>
    <w:rsid w:val="00894211"/>
    <w:rsid w:val="008A2B6D"/>
    <w:rsid w:val="008A4850"/>
    <w:rsid w:val="008A71FD"/>
    <w:rsid w:val="008B07AF"/>
    <w:rsid w:val="008B1FCB"/>
    <w:rsid w:val="008B22C3"/>
    <w:rsid w:val="008B2E3B"/>
    <w:rsid w:val="008B43C7"/>
    <w:rsid w:val="008B53EF"/>
    <w:rsid w:val="008C1A23"/>
    <w:rsid w:val="008D0D39"/>
    <w:rsid w:val="008D3504"/>
    <w:rsid w:val="008D5453"/>
    <w:rsid w:val="008D6A8C"/>
    <w:rsid w:val="008D7AB7"/>
    <w:rsid w:val="008D7AD8"/>
    <w:rsid w:val="008E2B3B"/>
    <w:rsid w:val="008E3B65"/>
    <w:rsid w:val="008E57FA"/>
    <w:rsid w:val="008E6D3B"/>
    <w:rsid w:val="008E6EEF"/>
    <w:rsid w:val="008F447F"/>
    <w:rsid w:val="0090078B"/>
    <w:rsid w:val="00902235"/>
    <w:rsid w:val="00902852"/>
    <w:rsid w:val="00902FCD"/>
    <w:rsid w:val="009049CF"/>
    <w:rsid w:val="0091024C"/>
    <w:rsid w:val="009130F0"/>
    <w:rsid w:val="0091341C"/>
    <w:rsid w:val="009165D6"/>
    <w:rsid w:val="00921C4D"/>
    <w:rsid w:val="009237F9"/>
    <w:rsid w:val="00926141"/>
    <w:rsid w:val="00926B01"/>
    <w:rsid w:val="00930879"/>
    <w:rsid w:val="009308CE"/>
    <w:rsid w:val="00932C7F"/>
    <w:rsid w:val="00934454"/>
    <w:rsid w:val="00934BC0"/>
    <w:rsid w:val="00937CD5"/>
    <w:rsid w:val="0094129F"/>
    <w:rsid w:val="00941BB8"/>
    <w:rsid w:val="00941E65"/>
    <w:rsid w:val="00945E3D"/>
    <w:rsid w:val="0094773F"/>
    <w:rsid w:val="00947CE4"/>
    <w:rsid w:val="00953CDE"/>
    <w:rsid w:val="00957D3A"/>
    <w:rsid w:val="00960035"/>
    <w:rsid w:val="00966BB1"/>
    <w:rsid w:val="00967440"/>
    <w:rsid w:val="00970BB3"/>
    <w:rsid w:val="00974311"/>
    <w:rsid w:val="00977567"/>
    <w:rsid w:val="009778F0"/>
    <w:rsid w:val="00983C8C"/>
    <w:rsid w:val="0098466A"/>
    <w:rsid w:val="009859C0"/>
    <w:rsid w:val="00987574"/>
    <w:rsid w:val="009923DB"/>
    <w:rsid w:val="00992D07"/>
    <w:rsid w:val="009A03BC"/>
    <w:rsid w:val="009A736A"/>
    <w:rsid w:val="009A74A7"/>
    <w:rsid w:val="009B00FB"/>
    <w:rsid w:val="009B1E97"/>
    <w:rsid w:val="009B5714"/>
    <w:rsid w:val="009B7949"/>
    <w:rsid w:val="009C019F"/>
    <w:rsid w:val="009C020C"/>
    <w:rsid w:val="009C230E"/>
    <w:rsid w:val="009C248A"/>
    <w:rsid w:val="009C28C7"/>
    <w:rsid w:val="009C2FD4"/>
    <w:rsid w:val="009C5CC6"/>
    <w:rsid w:val="009D4B25"/>
    <w:rsid w:val="009D5A3B"/>
    <w:rsid w:val="009E3348"/>
    <w:rsid w:val="009E4781"/>
    <w:rsid w:val="009E5005"/>
    <w:rsid w:val="009E58AE"/>
    <w:rsid w:val="009E5BC9"/>
    <w:rsid w:val="009F1582"/>
    <w:rsid w:val="009F4430"/>
    <w:rsid w:val="009F5F5D"/>
    <w:rsid w:val="009F6AF8"/>
    <w:rsid w:val="00A10290"/>
    <w:rsid w:val="00A11C0F"/>
    <w:rsid w:val="00A16E86"/>
    <w:rsid w:val="00A17305"/>
    <w:rsid w:val="00A204B4"/>
    <w:rsid w:val="00A239D7"/>
    <w:rsid w:val="00A3071D"/>
    <w:rsid w:val="00A33D2C"/>
    <w:rsid w:val="00A407C3"/>
    <w:rsid w:val="00A41C78"/>
    <w:rsid w:val="00A426B9"/>
    <w:rsid w:val="00A44369"/>
    <w:rsid w:val="00A4681E"/>
    <w:rsid w:val="00A47984"/>
    <w:rsid w:val="00A47C79"/>
    <w:rsid w:val="00A51E65"/>
    <w:rsid w:val="00A533FE"/>
    <w:rsid w:val="00A53997"/>
    <w:rsid w:val="00A55744"/>
    <w:rsid w:val="00A563D0"/>
    <w:rsid w:val="00A60D41"/>
    <w:rsid w:val="00A62EB1"/>
    <w:rsid w:val="00A672E4"/>
    <w:rsid w:val="00A7166C"/>
    <w:rsid w:val="00A71F57"/>
    <w:rsid w:val="00A76D48"/>
    <w:rsid w:val="00A837CF"/>
    <w:rsid w:val="00A83B4E"/>
    <w:rsid w:val="00A86AA1"/>
    <w:rsid w:val="00A903C9"/>
    <w:rsid w:val="00A97AB2"/>
    <w:rsid w:val="00AA079A"/>
    <w:rsid w:val="00AA3003"/>
    <w:rsid w:val="00AA5C33"/>
    <w:rsid w:val="00AA6A42"/>
    <w:rsid w:val="00AA6DF1"/>
    <w:rsid w:val="00AB59F2"/>
    <w:rsid w:val="00AB5EE3"/>
    <w:rsid w:val="00AC05B2"/>
    <w:rsid w:val="00AC12AC"/>
    <w:rsid w:val="00AC2FC7"/>
    <w:rsid w:val="00AC48B3"/>
    <w:rsid w:val="00AC7B66"/>
    <w:rsid w:val="00AE058A"/>
    <w:rsid w:val="00AE3586"/>
    <w:rsid w:val="00AF06CB"/>
    <w:rsid w:val="00B068B6"/>
    <w:rsid w:val="00B12A30"/>
    <w:rsid w:val="00B139E5"/>
    <w:rsid w:val="00B157D8"/>
    <w:rsid w:val="00B16D31"/>
    <w:rsid w:val="00B1776B"/>
    <w:rsid w:val="00B23AE4"/>
    <w:rsid w:val="00B31245"/>
    <w:rsid w:val="00B33117"/>
    <w:rsid w:val="00B33366"/>
    <w:rsid w:val="00B33673"/>
    <w:rsid w:val="00B34D80"/>
    <w:rsid w:val="00B376CA"/>
    <w:rsid w:val="00B42DB1"/>
    <w:rsid w:val="00B42F14"/>
    <w:rsid w:val="00B43B12"/>
    <w:rsid w:val="00B46BA2"/>
    <w:rsid w:val="00B46E41"/>
    <w:rsid w:val="00B4725D"/>
    <w:rsid w:val="00B477A9"/>
    <w:rsid w:val="00B501E6"/>
    <w:rsid w:val="00B5309B"/>
    <w:rsid w:val="00B533AE"/>
    <w:rsid w:val="00B54CAA"/>
    <w:rsid w:val="00B55EB8"/>
    <w:rsid w:val="00B63B91"/>
    <w:rsid w:val="00B64322"/>
    <w:rsid w:val="00B67EEE"/>
    <w:rsid w:val="00B71305"/>
    <w:rsid w:val="00B74C08"/>
    <w:rsid w:val="00B778B3"/>
    <w:rsid w:val="00B81DCE"/>
    <w:rsid w:val="00B8385F"/>
    <w:rsid w:val="00B863D2"/>
    <w:rsid w:val="00BA046F"/>
    <w:rsid w:val="00BA4714"/>
    <w:rsid w:val="00BA5CDE"/>
    <w:rsid w:val="00BA72B9"/>
    <w:rsid w:val="00BA73E1"/>
    <w:rsid w:val="00BB121C"/>
    <w:rsid w:val="00BB1D58"/>
    <w:rsid w:val="00BB474E"/>
    <w:rsid w:val="00BB6780"/>
    <w:rsid w:val="00BC1740"/>
    <w:rsid w:val="00BC2A2C"/>
    <w:rsid w:val="00BC320A"/>
    <w:rsid w:val="00BC3E55"/>
    <w:rsid w:val="00BC54E1"/>
    <w:rsid w:val="00BC61A0"/>
    <w:rsid w:val="00BC6C07"/>
    <w:rsid w:val="00BD6829"/>
    <w:rsid w:val="00BD7306"/>
    <w:rsid w:val="00BE11A6"/>
    <w:rsid w:val="00BE43AE"/>
    <w:rsid w:val="00BE744B"/>
    <w:rsid w:val="00BF11D5"/>
    <w:rsid w:val="00BF3F9C"/>
    <w:rsid w:val="00BF6CA4"/>
    <w:rsid w:val="00C002FC"/>
    <w:rsid w:val="00C05183"/>
    <w:rsid w:val="00C0751F"/>
    <w:rsid w:val="00C07ADD"/>
    <w:rsid w:val="00C10D19"/>
    <w:rsid w:val="00C14394"/>
    <w:rsid w:val="00C1480F"/>
    <w:rsid w:val="00C21560"/>
    <w:rsid w:val="00C245B9"/>
    <w:rsid w:val="00C25C41"/>
    <w:rsid w:val="00C37F94"/>
    <w:rsid w:val="00C42489"/>
    <w:rsid w:val="00C431B9"/>
    <w:rsid w:val="00C536F5"/>
    <w:rsid w:val="00C54DA5"/>
    <w:rsid w:val="00C569B7"/>
    <w:rsid w:val="00C61943"/>
    <w:rsid w:val="00C6266F"/>
    <w:rsid w:val="00C646C4"/>
    <w:rsid w:val="00C65DD5"/>
    <w:rsid w:val="00C70A6E"/>
    <w:rsid w:val="00C8419E"/>
    <w:rsid w:val="00C84D2B"/>
    <w:rsid w:val="00C867CC"/>
    <w:rsid w:val="00C86B55"/>
    <w:rsid w:val="00C92EB9"/>
    <w:rsid w:val="00C9792A"/>
    <w:rsid w:val="00CA519A"/>
    <w:rsid w:val="00CB05E5"/>
    <w:rsid w:val="00CB161D"/>
    <w:rsid w:val="00CB49C3"/>
    <w:rsid w:val="00CB5BA6"/>
    <w:rsid w:val="00CB7B5F"/>
    <w:rsid w:val="00CC0A1E"/>
    <w:rsid w:val="00CC0F7A"/>
    <w:rsid w:val="00CC2028"/>
    <w:rsid w:val="00CC2582"/>
    <w:rsid w:val="00CC2D60"/>
    <w:rsid w:val="00CC3839"/>
    <w:rsid w:val="00CD0A18"/>
    <w:rsid w:val="00CD0C08"/>
    <w:rsid w:val="00CD55F3"/>
    <w:rsid w:val="00CE38FB"/>
    <w:rsid w:val="00CE3B10"/>
    <w:rsid w:val="00CF575E"/>
    <w:rsid w:val="00D0790A"/>
    <w:rsid w:val="00D12B7C"/>
    <w:rsid w:val="00D13691"/>
    <w:rsid w:val="00D17C3B"/>
    <w:rsid w:val="00D209F9"/>
    <w:rsid w:val="00D215EC"/>
    <w:rsid w:val="00D248CA"/>
    <w:rsid w:val="00D2571F"/>
    <w:rsid w:val="00D25EBD"/>
    <w:rsid w:val="00D26624"/>
    <w:rsid w:val="00D3306B"/>
    <w:rsid w:val="00D35D81"/>
    <w:rsid w:val="00D37737"/>
    <w:rsid w:val="00D51D6F"/>
    <w:rsid w:val="00D524B9"/>
    <w:rsid w:val="00D55D0B"/>
    <w:rsid w:val="00D56074"/>
    <w:rsid w:val="00D57035"/>
    <w:rsid w:val="00D57DAA"/>
    <w:rsid w:val="00D641F8"/>
    <w:rsid w:val="00D65D0D"/>
    <w:rsid w:val="00D668D9"/>
    <w:rsid w:val="00D711E9"/>
    <w:rsid w:val="00D72176"/>
    <w:rsid w:val="00D75B11"/>
    <w:rsid w:val="00D76183"/>
    <w:rsid w:val="00D80946"/>
    <w:rsid w:val="00D80CE8"/>
    <w:rsid w:val="00D819B2"/>
    <w:rsid w:val="00D8331B"/>
    <w:rsid w:val="00D83799"/>
    <w:rsid w:val="00D91703"/>
    <w:rsid w:val="00D91DD9"/>
    <w:rsid w:val="00D93BDA"/>
    <w:rsid w:val="00D97BC2"/>
    <w:rsid w:val="00DA1DCE"/>
    <w:rsid w:val="00DA32C0"/>
    <w:rsid w:val="00DA34FD"/>
    <w:rsid w:val="00DA70E1"/>
    <w:rsid w:val="00DA7298"/>
    <w:rsid w:val="00DB04BE"/>
    <w:rsid w:val="00DB1519"/>
    <w:rsid w:val="00DB1A91"/>
    <w:rsid w:val="00DB2888"/>
    <w:rsid w:val="00DB4DB3"/>
    <w:rsid w:val="00DC5081"/>
    <w:rsid w:val="00DD2B04"/>
    <w:rsid w:val="00DD3F2D"/>
    <w:rsid w:val="00DD4EE4"/>
    <w:rsid w:val="00DE13ED"/>
    <w:rsid w:val="00DE1E19"/>
    <w:rsid w:val="00DE3438"/>
    <w:rsid w:val="00DE64B4"/>
    <w:rsid w:val="00DE7E9B"/>
    <w:rsid w:val="00DE7EF1"/>
    <w:rsid w:val="00DF0C26"/>
    <w:rsid w:val="00DF392B"/>
    <w:rsid w:val="00DF52EC"/>
    <w:rsid w:val="00DF7586"/>
    <w:rsid w:val="00E0317D"/>
    <w:rsid w:val="00E038C0"/>
    <w:rsid w:val="00E0789E"/>
    <w:rsid w:val="00E11773"/>
    <w:rsid w:val="00E12064"/>
    <w:rsid w:val="00E14EB4"/>
    <w:rsid w:val="00E16AC8"/>
    <w:rsid w:val="00E17A15"/>
    <w:rsid w:val="00E17C9A"/>
    <w:rsid w:val="00E17FE1"/>
    <w:rsid w:val="00E223FC"/>
    <w:rsid w:val="00E2313F"/>
    <w:rsid w:val="00E25A3F"/>
    <w:rsid w:val="00E261AE"/>
    <w:rsid w:val="00E27D02"/>
    <w:rsid w:val="00E31599"/>
    <w:rsid w:val="00E35C19"/>
    <w:rsid w:val="00E40C1A"/>
    <w:rsid w:val="00E40F54"/>
    <w:rsid w:val="00E4100E"/>
    <w:rsid w:val="00E43016"/>
    <w:rsid w:val="00E47426"/>
    <w:rsid w:val="00E5142B"/>
    <w:rsid w:val="00E5459F"/>
    <w:rsid w:val="00E56B29"/>
    <w:rsid w:val="00E60C64"/>
    <w:rsid w:val="00E630BC"/>
    <w:rsid w:val="00E63ABC"/>
    <w:rsid w:val="00E664D8"/>
    <w:rsid w:val="00E74BF0"/>
    <w:rsid w:val="00E848E1"/>
    <w:rsid w:val="00E85289"/>
    <w:rsid w:val="00E85825"/>
    <w:rsid w:val="00E8643C"/>
    <w:rsid w:val="00E86456"/>
    <w:rsid w:val="00E92F3F"/>
    <w:rsid w:val="00E941CA"/>
    <w:rsid w:val="00E950B6"/>
    <w:rsid w:val="00EA0547"/>
    <w:rsid w:val="00EA1FC7"/>
    <w:rsid w:val="00EA1FE3"/>
    <w:rsid w:val="00EA266B"/>
    <w:rsid w:val="00EA55F6"/>
    <w:rsid w:val="00EA7154"/>
    <w:rsid w:val="00EB2641"/>
    <w:rsid w:val="00EB487F"/>
    <w:rsid w:val="00EB4D5B"/>
    <w:rsid w:val="00EB62C3"/>
    <w:rsid w:val="00ED0287"/>
    <w:rsid w:val="00ED287F"/>
    <w:rsid w:val="00ED3FF1"/>
    <w:rsid w:val="00ED69E0"/>
    <w:rsid w:val="00ED7B83"/>
    <w:rsid w:val="00EE3116"/>
    <w:rsid w:val="00EE5DBB"/>
    <w:rsid w:val="00EF372D"/>
    <w:rsid w:val="00EF3AD5"/>
    <w:rsid w:val="00EF46F4"/>
    <w:rsid w:val="00EF6E64"/>
    <w:rsid w:val="00F04B84"/>
    <w:rsid w:val="00F05DAD"/>
    <w:rsid w:val="00F101CE"/>
    <w:rsid w:val="00F112C8"/>
    <w:rsid w:val="00F12DA8"/>
    <w:rsid w:val="00F13E09"/>
    <w:rsid w:val="00F16172"/>
    <w:rsid w:val="00F17D38"/>
    <w:rsid w:val="00F21330"/>
    <w:rsid w:val="00F21AE1"/>
    <w:rsid w:val="00F23F23"/>
    <w:rsid w:val="00F3343A"/>
    <w:rsid w:val="00F344F3"/>
    <w:rsid w:val="00F34F93"/>
    <w:rsid w:val="00F449E3"/>
    <w:rsid w:val="00F44DBB"/>
    <w:rsid w:val="00F52938"/>
    <w:rsid w:val="00F53D7F"/>
    <w:rsid w:val="00F55048"/>
    <w:rsid w:val="00F56045"/>
    <w:rsid w:val="00F5651F"/>
    <w:rsid w:val="00F612A5"/>
    <w:rsid w:val="00F65B0F"/>
    <w:rsid w:val="00F701A4"/>
    <w:rsid w:val="00F71E87"/>
    <w:rsid w:val="00F73AB6"/>
    <w:rsid w:val="00F7562C"/>
    <w:rsid w:val="00F75884"/>
    <w:rsid w:val="00F8031D"/>
    <w:rsid w:val="00F91560"/>
    <w:rsid w:val="00FA147D"/>
    <w:rsid w:val="00FA2221"/>
    <w:rsid w:val="00FA75DE"/>
    <w:rsid w:val="00FA7CEA"/>
    <w:rsid w:val="00FC609C"/>
    <w:rsid w:val="00FC677C"/>
    <w:rsid w:val="00FC67B8"/>
    <w:rsid w:val="00FD394A"/>
    <w:rsid w:val="00FF0C6B"/>
    <w:rsid w:val="00FF1632"/>
    <w:rsid w:val="00FF3095"/>
    <w:rsid w:val="00FF674A"/>
    <w:rsid w:val="00FF6B5D"/>
    <w:rsid w:val="00FF7B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CB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5443"/>
    <w:rPr>
      <w:color w:val="000000"/>
      <w:sz w:val="24"/>
      <w:szCs w:val="24"/>
    </w:rPr>
  </w:style>
  <w:style w:type="paragraph" w:styleId="Heading1">
    <w:name w:val="heading 1"/>
    <w:aliases w:val="Part Title,Part"/>
    <w:basedOn w:val="Normal"/>
    <w:next w:val="Heading4"/>
    <w:link w:val="Heading1Char"/>
    <w:uiPriority w:val="99"/>
    <w:qFormat/>
    <w:rsid w:val="00725443"/>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725443"/>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725443"/>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725443"/>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725443"/>
    <w:pPr>
      <w:outlineLvl w:val="4"/>
    </w:pPr>
    <w:rPr>
      <w:b/>
      <w:sz w:val="22"/>
      <w:szCs w:val="20"/>
    </w:rPr>
  </w:style>
  <w:style w:type="paragraph" w:styleId="Heading6">
    <w:name w:val="heading 6"/>
    <w:aliases w:val="Sub Label"/>
    <w:basedOn w:val="Heading5"/>
    <w:next w:val="BlockText"/>
    <w:link w:val="Heading6Char"/>
    <w:uiPriority w:val="99"/>
    <w:qFormat/>
    <w:rsid w:val="00725443"/>
    <w:pPr>
      <w:spacing w:before="240" w:after="60"/>
      <w:outlineLvl w:val="5"/>
    </w:pPr>
    <w:rPr>
      <w:i/>
    </w:rPr>
  </w:style>
  <w:style w:type="paragraph" w:styleId="Heading7">
    <w:name w:val="heading 7"/>
    <w:basedOn w:val="Normal"/>
    <w:next w:val="Normal"/>
    <w:link w:val="Heading7Char"/>
    <w:uiPriority w:val="99"/>
    <w:qFormat/>
    <w:rsid w:val="006930C1"/>
    <w:pPr>
      <w:spacing w:before="240" w:after="60"/>
      <w:outlineLvl w:val="6"/>
    </w:pPr>
    <w:rPr>
      <w:rFonts w:ascii="Arial" w:hAnsi="Arial"/>
    </w:rPr>
  </w:style>
  <w:style w:type="paragraph" w:styleId="Heading8">
    <w:name w:val="heading 8"/>
    <w:basedOn w:val="Normal"/>
    <w:next w:val="Normal"/>
    <w:link w:val="Heading8Char"/>
    <w:uiPriority w:val="99"/>
    <w:qFormat/>
    <w:rsid w:val="006930C1"/>
    <w:pPr>
      <w:spacing w:before="240" w:after="60"/>
      <w:outlineLvl w:val="7"/>
    </w:pPr>
    <w:rPr>
      <w:rFonts w:ascii="Arial" w:hAnsi="Arial"/>
      <w:i/>
    </w:rPr>
  </w:style>
  <w:style w:type="paragraph" w:styleId="Heading9">
    <w:name w:val="heading 9"/>
    <w:basedOn w:val="Normal"/>
    <w:next w:val="Normal"/>
    <w:link w:val="Heading9Char"/>
    <w:uiPriority w:val="99"/>
    <w:qFormat/>
    <w:rsid w:val="006930C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Part Char"/>
    <w:basedOn w:val="DefaultParagraphFont"/>
    <w:link w:val="Heading1"/>
    <w:uiPriority w:val="99"/>
    <w:locked/>
    <w:rsid w:val="004F7CEC"/>
    <w:rPr>
      <w:rFonts w:ascii="Cambria" w:hAnsi="Cambria" w:cs="Times New Roman"/>
      <w:b/>
      <w:bCs/>
      <w:color w:val="000000"/>
      <w:kern w:val="32"/>
      <w:sz w:val="32"/>
      <w:szCs w:val="32"/>
    </w:rPr>
  </w:style>
  <w:style w:type="character" w:customStyle="1" w:styleId="Heading2Char">
    <w:name w:val="Heading 2 Char"/>
    <w:aliases w:val="Chapter Title Char"/>
    <w:basedOn w:val="DefaultParagraphFont"/>
    <w:link w:val="Heading2"/>
    <w:uiPriority w:val="99"/>
    <w:semiHidden/>
    <w:locked/>
    <w:rsid w:val="004F7CEC"/>
    <w:rPr>
      <w:rFonts w:ascii="Cambria" w:hAnsi="Cambria" w:cs="Times New Roman"/>
      <w:b/>
      <w:bCs/>
      <w:i/>
      <w:iCs/>
      <w:color w:val="000000"/>
      <w:sz w:val="28"/>
      <w:szCs w:val="28"/>
    </w:rPr>
  </w:style>
  <w:style w:type="character" w:customStyle="1" w:styleId="Heading3Char">
    <w:name w:val="Heading 3 Char"/>
    <w:aliases w:val="Section Title Char,Section Char"/>
    <w:basedOn w:val="DefaultParagraphFont"/>
    <w:link w:val="Heading3"/>
    <w:uiPriority w:val="99"/>
    <w:semiHidden/>
    <w:locked/>
    <w:rsid w:val="004F7CEC"/>
    <w:rPr>
      <w:rFonts w:ascii="Cambria" w:hAnsi="Cambria" w:cs="Times New Roman"/>
      <w:b/>
      <w:bCs/>
      <w:color w:val="000000"/>
      <w:sz w:val="26"/>
      <w:szCs w:val="26"/>
    </w:rPr>
  </w:style>
  <w:style w:type="character" w:customStyle="1" w:styleId="Heading4Char">
    <w:name w:val="Heading 4 Char"/>
    <w:aliases w:val="Map Title Char"/>
    <w:basedOn w:val="DefaultParagraphFont"/>
    <w:link w:val="Heading4"/>
    <w:uiPriority w:val="99"/>
    <w:semiHidden/>
    <w:locked/>
    <w:rsid w:val="004F7CEC"/>
    <w:rPr>
      <w:rFonts w:ascii="Calibri" w:hAnsi="Calibri" w:cs="Times New Roman"/>
      <w:b/>
      <w:bCs/>
      <w:color w:val="000000"/>
      <w:sz w:val="28"/>
      <w:szCs w:val="28"/>
    </w:rPr>
  </w:style>
  <w:style w:type="character" w:customStyle="1" w:styleId="Heading5Char">
    <w:name w:val="Heading 5 Char"/>
    <w:aliases w:val="Block Label Char"/>
    <w:basedOn w:val="DefaultParagraphFont"/>
    <w:link w:val="Heading5"/>
    <w:uiPriority w:val="99"/>
    <w:semiHidden/>
    <w:locked/>
    <w:rsid w:val="004F7CEC"/>
    <w:rPr>
      <w:rFonts w:ascii="Calibri" w:hAnsi="Calibri" w:cs="Times New Roman"/>
      <w:b/>
      <w:bCs/>
      <w:i/>
      <w:iCs/>
      <w:color w:val="000000"/>
      <w:sz w:val="26"/>
      <w:szCs w:val="26"/>
    </w:rPr>
  </w:style>
  <w:style w:type="character" w:customStyle="1" w:styleId="Heading6Char">
    <w:name w:val="Heading 6 Char"/>
    <w:aliases w:val="Sub Label Char"/>
    <w:basedOn w:val="DefaultParagraphFont"/>
    <w:link w:val="Heading6"/>
    <w:uiPriority w:val="99"/>
    <w:semiHidden/>
    <w:locked/>
    <w:rsid w:val="004F7CEC"/>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4F7CEC"/>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4F7CEC"/>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4F7CEC"/>
    <w:rPr>
      <w:rFonts w:ascii="Cambria" w:hAnsi="Cambria" w:cs="Times New Roman"/>
      <w:color w:val="000000"/>
    </w:rPr>
  </w:style>
  <w:style w:type="paragraph" w:styleId="BlockText">
    <w:name w:val="Block Text"/>
    <w:basedOn w:val="Normal"/>
    <w:uiPriority w:val="99"/>
    <w:rsid w:val="00725443"/>
  </w:style>
  <w:style w:type="paragraph" w:customStyle="1" w:styleId="BlockLine">
    <w:name w:val="Block Line"/>
    <w:basedOn w:val="Normal"/>
    <w:next w:val="Normal"/>
    <w:uiPriority w:val="99"/>
    <w:rsid w:val="00725443"/>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725443"/>
    <w:pPr>
      <w:numPr>
        <w:numId w:val="2"/>
      </w:numPr>
    </w:pPr>
    <w:rPr>
      <w:szCs w:val="20"/>
    </w:rPr>
  </w:style>
  <w:style w:type="paragraph" w:customStyle="1" w:styleId="BulletText2">
    <w:name w:val="Bullet Text 2"/>
    <w:basedOn w:val="Normal"/>
    <w:uiPriority w:val="99"/>
    <w:rsid w:val="00725443"/>
    <w:pPr>
      <w:numPr>
        <w:numId w:val="3"/>
      </w:numPr>
    </w:pPr>
    <w:rPr>
      <w:szCs w:val="20"/>
    </w:rPr>
  </w:style>
  <w:style w:type="paragraph" w:styleId="Caption">
    <w:name w:val="caption"/>
    <w:basedOn w:val="Normal"/>
    <w:next w:val="Normal"/>
    <w:uiPriority w:val="99"/>
    <w:qFormat/>
    <w:rsid w:val="006930C1"/>
    <w:pPr>
      <w:spacing w:before="120" w:after="120"/>
    </w:pPr>
    <w:rPr>
      <w:b/>
    </w:rPr>
  </w:style>
  <w:style w:type="character" w:customStyle="1" w:styleId="Continued">
    <w:name w:val="Continued"/>
    <w:basedOn w:val="DefaultParagraphFont"/>
    <w:uiPriority w:val="99"/>
    <w:rsid w:val="006930C1"/>
    <w:rPr>
      <w:rFonts w:ascii="Arial" w:hAnsi="Arial" w:cs="Times New Roman"/>
      <w:sz w:val="24"/>
    </w:rPr>
  </w:style>
  <w:style w:type="paragraph" w:customStyle="1" w:styleId="ContinuedBlockLabel">
    <w:name w:val="Continued Block Label"/>
    <w:basedOn w:val="Normal"/>
    <w:next w:val="Normal"/>
    <w:uiPriority w:val="99"/>
    <w:rsid w:val="00725443"/>
    <w:pPr>
      <w:spacing w:after="240"/>
    </w:pPr>
    <w:rPr>
      <w:b/>
      <w:sz w:val="22"/>
      <w:szCs w:val="20"/>
    </w:rPr>
  </w:style>
  <w:style w:type="paragraph" w:customStyle="1" w:styleId="ContinuedOnNextPa">
    <w:name w:val="Continued On Next Pa"/>
    <w:basedOn w:val="Normal"/>
    <w:next w:val="Normal"/>
    <w:uiPriority w:val="99"/>
    <w:rsid w:val="00725443"/>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725443"/>
    <w:pPr>
      <w:spacing w:after="240"/>
    </w:pPr>
    <w:rPr>
      <w:b/>
      <w:sz w:val="22"/>
      <w:szCs w:val="20"/>
    </w:rPr>
  </w:style>
  <w:style w:type="paragraph" w:customStyle="1" w:styleId="TableText">
    <w:name w:val="Table Text"/>
    <w:basedOn w:val="Normal"/>
    <w:uiPriority w:val="99"/>
    <w:rsid w:val="00725443"/>
    <w:rPr>
      <w:szCs w:val="20"/>
    </w:rPr>
  </w:style>
  <w:style w:type="paragraph" w:customStyle="1" w:styleId="EmbeddedText">
    <w:name w:val="Embedded Text"/>
    <w:basedOn w:val="Normal"/>
    <w:uiPriority w:val="99"/>
    <w:rsid w:val="00725443"/>
    <w:rPr>
      <w:szCs w:val="20"/>
    </w:rPr>
  </w:style>
  <w:style w:type="paragraph" w:styleId="Footer">
    <w:name w:val="footer"/>
    <w:basedOn w:val="Normal"/>
    <w:link w:val="FooterChar"/>
    <w:uiPriority w:val="99"/>
    <w:rsid w:val="00725443"/>
    <w:pPr>
      <w:tabs>
        <w:tab w:val="center" w:pos="4680"/>
        <w:tab w:val="right" w:pos="9360"/>
      </w:tabs>
    </w:pPr>
    <w:rPr>
      <w:color w:val="auto"/>
    </w:rPr>
  </w:style>
  <w:style w:type="character" w:customStyle="1" w:styleId="FooterChar">
    <w:name w:val="Footer Char"/>
    <w:basedOn w:val="DefaultParagraphFont"/>
    <w:link w:val="Footer"/>
    <w:uiPriority w:val="99"/>
    <w:locked/>
    <w:rsid w:val="00725443"/>
    <w:rPr>
      <w:rFonts w:cs="Times New Roman"/>
      <w:sz w:val="24"/>
    </w:rPr>
  </w:style>
  <w:style w:type="paragraph" w:styleId="Header">
    <w:name w:val="header"/>
    <w:basedOn w:val="Normal"/>
    <w:link w:val="HeaderChar"/>
    <w:uiPriority w:val="99"/>
    <w:rsid w:val="00725443"/>
    <w:pPr>
      <w:tabs>
        <w:tab w:val="center" w:pos="4680"/>
        <w:tab w:val="right" w:pos="9360"/>
      </w:tabs>
    </w:pPr>
    <w:rPr>
      <w:color w:val="auto"/>
    </w:rPr>
  </w:style>
  <w:style w:type="character" w:customStyle="1" w:styleId="HeaderChar">
    <w:name w:val="Header Char"/>
    <w:basedOn w:val="DefaultParagraphFont"/>
    <w:link w:val="Header"/>
    <w:uiPriority w:val="99"/>
    <w:locked/>
    <w:rsid w:val="00725443"/>
    <w:rPr>
      <w:rFonts w:cs="Times New Roman"/>
      <w:sz w:val="24"/>
    </w:rPr>
  </w:style>
  <w:style w:type="character" w:customStyle="1" w:styleId="Jump">
    <w:name w:val="Jump"/>
    <w:basedOn w:val="DefaultParagraphFont"/>
    <w:uiPriority w:val="99"/>
    <w:rsid w:val="006930C1"/>
    <w:rPr>
      <w:rFonts w:cs="Times New Roman"/>
      <w:color w:val="FF0000"/>
    </w:rPr>
  </w:style>
  <w:style w:type="paragraph" w:styleId="MacroText">
    <w:name w:val="macro"/>
    <w:link w:val="MacroTextChar"/>
    <w:uiPriority w:val="99"/>
    <w:semiHidden/>
    <w:rsid w:val="00693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7CEC"/>
    <w:rPr>
      <w:rFonts w:ascii="Courier New" w:hAnsi="Courier New" w:cs="Times New Roman"/>
      <w:lang w:val="en-US" w:eastAsia="en-US" w:bidi="ar-SA"/>
    </w:rPr>
  </w:style>
  <w:style w:type="paragraph" w:customStyle="1" w:styleId="MapTitleContinued">
    <w:name w:val="Map Title. Continued"/>
    <w:basedOn w:val="Normal"/>
    <w:next w:val="Normal"/>
    <w:uiPriority w:val="99"/>
    <w:rsid w:val="00725443"/>
    <w:pPr>
      <w:spacing w:after="240"/>
    </w:pPr>
    <w:rPr>
      <w:rFonts w:ascii="Arial" w:hAnsi="Arial" w:cs="Arial"/>
      <w:b/>
      <w:sz w:val="32"/>
      <w:szCs w:val="20"/>
    </w:rPr>
  </w:style>
  <w:style w:type="paragraph" w:customStyle="1" w:styleId="MemoLine">
    <w:name w:val="Memo Line"/>
    <w:basedOn w:val="BlockLine"/>
    <w:next w:val="Normal"/>
    <w:uiPriority w:val="99"/>
    <w:rsid w:val="00725443"/>
  </w:style>
  <w:style w:type="paragraph" w:customStyle="1" w:styleId="NoteText">
    <w:name w:val="Note Text"/>
    <w:basedOn w:val="Normal"/>
    <w:uiPriority w:val="99"/>
    <w:rsid w:val="00725443"/>
    <w:rPr>
      <w:szCs w:val="20"/>
    </w:rPr>
  </w:style>
  <w:style w:type="character" w:styleId="PageNumber">
    <w:name w:val="page number"/>
    <w:basedOn w:val="DefaultParagraphFont"/>
    <w:uiPriority w:val="99"/>
    <w:semiHidden/>
    <w:rsid w:val="006930C1"/>
    <w:rPr>
      <w:rFonts w:cs="Times New Roman"/>
    </w:rPr>
  </w:style>
  <w:style w:type="paragraph" w:customStyle="1" w:styleId="PublicationTitle">
    <w:name w:val="Publication Title"/>
    <w:basedOn w:val="Normal"/>
    <w:next w:val="Heading4"/>
    <w:uiPriority w:val="99"/>
    <w:rsid w:val="00725443"/>
    <w:pPr>
      <w:spacing w:after="240"/>
      <w:jc w:val="center"/>
    </w:pPr>
    <w:rPr>
      <w:rFonts w:ascii="Arial" w:hAnsi="Arial" w:cs="Arial"/>
      <w:b/>
      <w:sz w:val="32"/>
      <w:szCs w:val="20"/>
    </w:rPr>
  </w:style>
  <w:style w:type="paragraph" w:customStyle="1" w:styleId="TableHeaderText">
    <w:name w:val="Table Header Text"/>
    <w:basedOn w:val="Normal"/>
    <w:uiPriority w:val="99"/>
    <w:rsid w:val="00725443"/>
    <w:pPr>
      <w:jc w:val="center"/>
    </w:pPr>
    <w:rPr>
      <w:b/>
      <w:szCs w:val="20"/>
    </w:rPr>
  </w:style>
  <w:style w:type="paragraph" w:styleId="TOC1">
    <w:name w:val="toc 1"/>
    <w:basedOn w:val="Normal"/>
    <w:next w:val="Normal"/>
    <w:autoRedefine/>
    <w:uiPriority w:val="99"/>
    <w:semiHidden/>
    <w:rsid w:val="006930C1"/>
    <w:pPr>
      <w:ind w:left="57"/>
    </w:pPr>
  </w:style>
  <w:style w:type="paragraph" w:customStyle="1" w:styleId="TOCTitle">
    <w:name w:val="TOC Title"/>
    <w:basedOn w:val="Normal"/>
    <w:uiPriority w:val="99"/>
    <w:rsid w:val="00725443"/>
    <w:pPr>
      <w:widowControl w:val="0"/>
    </w:pPr>
    <w:rPr>
      <w:rFonts w:ascii="Arial" w:hAnsi="Arial" w:cs="Arial"/>
      <w:b/>
      <w:sz w:val="32"/>
      <w:szCs w:val="20"/>
    </w:rPr>
  </w:style>
  <w:style w:type="paragraph" w:customStyle="1" w:styleId="TOCItem">
    <w:name w:val="TOCItem"/>
    <w:basedOn w:val="Normal"/>
    <w:uiPriority w:val="99"/>
    <w:rsid w:val="00725443"/>
    <w:pPr>
      <w:tabs>
        <w:tab w:val="left" w:leader="dot" w:pos="7061"/>
        <w:tab w:val="right" w:pos="7524"/>
      </w:tabs>
      <w:spacing w:before="60" w:after="60"/>
      <w:ind w:right="465"/>
    </w:pPr>
    <w:rPr>
      <w:szCs w:val="20"/>
    </w:rPr>
  </w:style>
  <w:style w:type="paragraph" w:customStyle="1" w:styleId="TOCStem">
    <w:name w:val="TOCStem"/>
    <w:basedOn w:val="Normal"/>
    <w:uiPriority w:val="99"/>
    <w:rsid w:val="00725443"/>
    <w:rPr>
      <w:szCs w:val="20"/>
    </w:rPr>
  </w:style>
  <w:style w:type="character" w:styleId="Hyperlink">
    <w:name w:val="Hyperlink"/>
    <w:basedOn w:val="DefaultParagraphFont"/>
    <w:uiPriority w:val="99"/>
    <w:rsid w:val="00725443"/>
    <w:rPr>
      <w:rFonts w:cs="Times New Roman"/>
      <w:color w:val="0000FF"/>
      <w:u w:val="single"/>
    </w:rPr>
  </w:style>
  <w:style w:type="character" w:styleId="FollowedHyperlink">
    <w:name w:val="FollowedHyperlink"/>
    <w:basedOn w:val="DefaultParagraphFont"/>
    <w:uiPriority w:val="99"/>
    <w:rsid w:val="00725443"/>
    <w:rPr>
      <w:rFonts w:cs="Times New Roman"/>
      <w:color w:val="800080"/>
      <w:u w:val="single"/>
    </w:rPr>
  </w:style>
  <w:style w:type="paragraph" w:styleId="BalloonText">
    <w:name w:val="Balloon Text"/>
    <w:basedOn w:val="Normal"/>
    <w:link w:val="BalloonTextChar"/>
    <w:uiPriority w:val="99"/>
    <w:semiHidden/>
    <w:rsid w:val="00725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87F"/>
    <w:rPr>
      <w:rFonts w:ascii="Tahoma" w:hAnsi="Tahoma" w:cs="Tahoma"/>
      <w:color w:val="000000"/>
      <w:sz w:val="16"/>
      <w:szCs w:val="16"/>
    </w:rPr>
  </w:style>
  <w:style w:type="paragraph" w:customStyle="1" w:styleId="BulletText3">
    <w:name w:val="Bullet Text 3"/>
    <w:basedOn w:val="Normal"/>
    <w:uiPriority w:val="99"/>
    <w:rsid w:val="00725443"/>
    <w:pPr>
      <w:numPr>
        <w:numId w:val="4"/>
      </w:numPr>
      <w:tabs>
        <w:tab w:val="clear" w:pos="173"/>
      </w:tabs>
      <w:ind w:left="533" w:hanging="173"/>
    </w:pPr>
    <w:rPr>
      <w:szCs w:val="20"/>
    </w:rPr>
  </w:style>
  <w:style w:type="character" w:styleId="HTMLAcronym">
    <w:name w:val="HTML Acronym"/>
    <w:basedOn w:val="DefaultParagraphFont"/>
    <w:uiPriority w:val="99"/>
    <w:rsid w:val="00725443"/>
    <w:rPr>
      <w:rFonts w:cs="Times New Roman"/>
    </w:rPr>
  </w:style>
  <w:style w:type="paragraph" w:customStyle="1" w:styleId="IMTOC">
    <w:name w:val="IMTOC"/>
    <w:uiPriority w:val="99"/>
    <w:rsid w:val="00725443"/>
    <w:rPr>
      <w:sz w:val="24"/>
      <w:szCs w:val="20"/>
    </w:rPr>
  </w:style>
  <w:style w:type="table" w:styleId="TableGrid">
    <w:name w:val="Table Grid"/>
    <w:basedOn w:val="TableNormal"/>
    <w:uiPriority w:val="99"/>
    <w:rsid w:val="0072544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uiPriority w:val="99"/>
    <w:rsid w:val="009B7949"/>
    <w:rPr>
      <w:sz w:val="24"/>
    </w:rPr>
  </w:style>
  <w:style w:type="character" w:customStyle="1" w:styleId="CharChar4">
    <w:name w:val="Char Char4"/>
    <w:uiPriority w:val="99"/>
    <w:rsid w:val="009B7949"/>
    <w:rPr>
      <w:sz w:val="24"/>
    </w:rPr>
  </w:style>
  <w:style w:type="paragraph" w:styleId="TOC3">
    <w:name w:val="toc 3"/>
    <w:basedOn w:val="Normal"/>
    <w:next w:val="Normal"/>
    <w:autoRedefine/>
    <w:uiPriority w:val="99"/>
    <w:rsid w:val="00725443"/>
    <w:pPr>
      <w:ind w:left="480"/>
    </w:pPr>
  </w:style>
  <w:style w:type="paragraph" w:styleId="TOC4">
    <w:name w:val="toc 4"/>
    <w:basedOn w:val="Normal"/>
    <w:next w:val="Normal"/>
    <w:autoRedefine/>
    <w:uiPriority w:val="99"/>
    <w:rsid w:val="00725443"/>
    <w:pPr>
      <w:ind w:left="720"/>
    </w:pPr>
  </w:style>
  <w:style w:type="paragraph" w:styleId="BodyTextIndent2">
    <w:name w:val="Body Text Indent 2"/>
    <w:basedOn w:val="Normal"/>
    <w:link w:val="BodyTextIndent2Char"/>
    <w:uiPriority w:val="99"/>
    <w:rsid w:val="00517F63"/>
    <w:pPr>
      <w:ind w:left="180"/>
    </w:pPr>
    <w:rPr>
      <w:color w:val="auto"/>
    </w:rPr>
  </w:style>
  <w:style w:type="character" w:customStyle="1" w:styleId="BodyTextIndent2Char">
    <w:name w:val="Body Text Indent 2 Char"/>
    <w:basedOn w:val="DefaultParagraphFont"/>
    <w:link w:val="BodyTextIndent2"/>
    <w:uiPriority w:val="99"/>
    <w:semiHidden/>
    <w:locked/>
    <w:rsid w:val="004F7CEC"/>
    <w:rPr>
      <w:rFonts w:cs="Times New Roman"/>
      <w:color w:val="000000"/>
      <w:sz w:val="24"/>
      <w:szCs w:val="24"/>
    </w:rPr>
  </w:style>
  <w:style w:type="paragraph" w:customStyle="1" w:styleId="RFWParagraph">
    <w:name w:val="RFW Paragraph"/>
    <w:basedOn w:val="Normal"/>
    <w:uiPriority w:val="99"/>
    <w:rsid w:val="00517F63"/>
    <w:pPr>
      <w:widowControl w:val="0"/>
      <w:ind w:left="288"/>
    </w:pPr>
    <w:rPr>
      <w:color w:val="auto"/>
      <w:szCs w:val="20"/>
    </w:rPr>
  </w:style>
  <w:style w:type="character" w:styleId="Strong">
    <w:name w:val="Strong"/>
    <w:basedOn w:val="DefaultParagraphFont"/>
    <w:uiPriority w:val="99"/>
    <w:qFormat/>
    <w:rsid w:val="005E723A"/>
    <w:rPr>
      <w:rFonts w:cs="Times New Roman"/>
      <w:b/>
      <w:bCs/>
    </w:rPr>
  </w:style>
  <w:style w:type="paragraph" w:customStyle="1" w:styleId="Default">
    <w:name w:val="Default"/>
    <w:uiPriority w:val="99"/>
    <w:rsid w:val="003D2C1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3D2C1D"/>
    <w:pPr>
      <w:spacing w:after="120"/>
    </w:pPr>
    <w:rPr>
      <w:color w:val="auto"/>
    </w:rPr>
  </w:style>
  <w:style w:type="character" w:customStyle="1" w:styleId="BodyTextChar">
    <w:name w:val="Body Text Char"/>
    <w:basedOn w:val="DefaultParagraphFont"/>
    <w:link w:val="BodyText"/>
    <w:uiPriority w:val="99"/>
    <w:semiHidden/>
    <w:locked/>
    <w:rsid w:val="004F7CEC"/>
    <w:rPr>
      <w:rFonts w:cs="Times New Roman"/>
      <w:color w:val="000000"/>
      <w:sz w:val="24"/>
      <w:szCs w:val="24"/>
    </w:rPr>
  </w:style>
  <w:style w:type="paragraph" w:styleId="ListParagraph">
    <w:name w:val="List Paragraph"/>
    <w:basedOn w:val="Normal"/>
    <w:uiPriority w:val="99"/>
    <w:qFormat/>
    <w:rsid w:val="00F344F3"/>
    <w:pPr>
      <w:ind w:left="720"/>
    </w:pPr>
  </w:style>
  <w:style w:type="character" w:styleId="CommentReference">
    <w:name w:val="annotation reference"/>
    <w:basedOn w:val="DefaultParagraphFont"/>
    <w:uiPriority w:val="99"/>
    <w:semiHidden/>
    <w:rsid w:val="004A5F1D"/>
    <w:rPr>
      <w:rFonts w:cs="Times New Roman"/>
      <w:sz w:val="16"/>
      <w:szCs w:val="16"/>
    </w:rPr>
  </w:style>
  <w:style w:type="paragraph" w:styleId="CommentText">
    <w:name w:val="annotation text"/>
    <w:basedOn w:val="Normal"/>
    <w:link w:val="CommentTextChar"/>
    <w:uiPriority w:val="99"/>
    <w:semiHidden/>
    <w:rsid w:val="004A5F1D"/>
    <w:rPr>
      <w:sz w:val="20"/>
      <w:szCs w:val="20"/>
    </w:rPr>
  </w:style>
  <w:style w:type="character" w:customStyle="1" w:styleId="CommentTextChar">
    <w:name w:val="Comment Text Char"/>
    <w:basedOn w:val="DefaultParagraphFont"/>
    <w:link w:val="CommentText"/>
    <w:uiPriority w:val="99"/>
    <w:semiHidden/>
    <w:locked/>
    <w:rsid w:val="004F7CEC"/>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basedOn w:val="CommentTextChar"/>
    <w:link w:val="CommentSubject"/>
    <w:uiPriority w:val="99"/>
    <w:semiHidden/>
    <w:locked/>
    <w:rsid w:val="004F7CEC"/>
    <w:rPr>
      <w:rFonts w:cs="Times New Roman"/>
      <w:b/>
      <w:bCs/>
      <w:color w:val="000000"/>
      <w:sz w:val="20"/>
      <w:szCs w:val="20"/>
    </w:rPr>
  </w:style>
  <w:style w:type="paragraph" w:styleId="Revision">
    <w:name w:val="Revision"/>
    <w:hidden/>
    <w:uiPriority w:val="99"/>
    <w:semiHidden/>
    <w:rsid w:val="00BB474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5443"/>
    <w:rPr>
      <w:color w:val="000000"/>
      <w:sz w:val="24"/>
      <w:szCs w:val="24"/>
    </w:rPr>
  </w:style>
  <w:style w:type="paragraph" w:styleId="Heading1">
    <w:name w:val="heading 1"/>
    <w:aliases w:val="Part Title,Part"/>
    <w:basedOn w:val="Normal"/>
    <w:next w:val="Heading4"/>
    <w:link w:val="Heading1Char"/>
    <w:uiPriority w:val="99"/>
    <w:qFormat/>
    <w:rsid w:val="00725443"/>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725443"/>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uiPriority w:val="99"/>
    <w:qFormat/>
    <w:rsid w:val="00725443"/>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725443"/>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725443"/>
    <w:pPr>
      <w:outlineLvl w:val="4"/>
    </w:pPr>
    <w:rPr>
      <w:b/>
      <w:sz w:val="22"/>
      <w:szCs w:val="20"/>
    </w:rPr>
  </w:style>
  <w:style w:type="paragraph" w:styleId="Heading6">
    <w:name w:val="heading 6"/>
    <w:aliases w:val="Sub Label"/>
    <w:basedOn w:val="Heading5"/>
    <w:next w:val="BlockText"/>
    <w:link w:val="Heading6Char"/>
    <w:uiPriority w:val="99"/>
    <w:qFormat/>
    <w:rsid w:val="00725443"/>
    <w:pPr>
      <w:spacing w:before="240" w:after="60"/>
      <w:outlineLvl w:val="5"/>
    </w:pPr>
    <w:rPr>
      <w:i/>
    </w:rPr>
  </w:style>
  <w:style w:type="paragraph" w:styleId="Heading7">
    <w:name w:val="heading 7"/>
    <w:basedOn w:val="Normal"/>
    <w:next w:val="Normal"/>
    <w:link w:val="Heading7Char"/>
    <w:uiPriority w:val="99"/>
    <w:qFormat/>
    <w:rsid w:val="006930C1"/>
    <w:pPr>
      <w:spacing w:before="240" w:after="60"/>
      <w:outlineLvl w:val="6"/>
    </w:pPr>
    <w:rPr>
      <w:rFonts w:ascii="Arial" w:hAnsi="Arial"/>
    </w:rPr>
  </w:style>
  <w:style w:type="paragraph" w:styleId="Heading8">
    <w:name w:val="heading 8"/>
    <w:basedOn w:val="Normal"/>
    <w:next w:val="Normal"/>
    <w:link w:val="Heading8Char"/>
    <w:uiPriority w:val="99"/>
    <w:qFormat/>
    <w:rsid w:val="006930C1"/>
    <w:pPr>
      <w:spacing w:before="240" w:after="60"/>
      <w:outlineLvl w:val="7"/>
    </w:pPr>
    <w:rPr>
      <w:rFonts w:ascii="Arial" w:hAnsi="Arial"/>
      <w:i/>
    </w:rPr>
  </w:style>
  <w:style w:type="paragraph" w:styleId="Heading9">
    <w:name w:val="heading 9"/>
    <w:basedOn w:val="Normal"/>
    <w:next w:val="Normal"/>
    <w:link w:val="Heading9Char"/>
    <w:uiPriority w:val="99"/>
    <w:qFormat/>
    <w:rsid w:val="006930C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Part Char"/>
    <w:basedOn w:val="DefaultParagraphFont"/>
    <w:link w:val="Heading1"/>
    <w:uiPriority w:val="99"/>
    <w:locked/>
    <w:rsid w:val="004F7CEC"/>
    <w:rPr>
      <w:rFonts w:ascii="Cambria" w:hAnsi="Cambria" w:cs="Times New Roman"/>
      <w:b/>
      <w:bCs/>
      <w:color w:val="000000"/>
      <w:kern w:val="32"/>
      <w:sz w:val="32"/>
      <w:szCs w:val="32"/>
    </w:rPr>
  </w:style>
  <w:style w:type="character" w:customStyle="1" w:styleId="Heading2Char">
    <w:name w:val="Heading 2 Char"/>
    <w:aliases w:val="Chapter Title Char"/>
    <w:basedOn w:val="DefaultParagraphFont"/>
    <w:link w:val="Heading2"/>
    <w:uiPriority w:val="99"/>
    <w:semiHidden/>
    <w:locked/>
    <w:rsid w:val="004F7CEC"/>
    <w:rPr>
      <w:rFonts w:ascii="Cambria" w:hAnsi="Cambria" w:cs="Times New Roman"/>
      <w:b/>
      <w:bCs/>
      <w:i/>
      <w:iCs/>
      <w:color w:val="000000"/>
      <w:sz w:val="28"/>
      <w:szCs w:val="28"/>
    </w:rPr>
  </w:style>
  <w:style w:type="character" w:customStyle="1" w:styleId="Heading3Char">
    <w:name w:val="Heading 3 Char"/>
    <w:aliases w:val="Section Title Char,Section Char"/>
    <w:basedOn w:val="DefaultParagraphFont"/>
    <w:link w:val="Heading3"/>
    <w:uiPriority w:val="99"/>
    <w:semiHidden/>
    <w:locked/>
    <w:rsid w:val="004F7CEC"/>
    <w:rPr>
      <w:rFonts w:ascii="Cambria" w:hAnsi="Cambria" w:cs="Times New Roman"/>
      <w:b/>
      <w:bCs/>
      <w:color w:val="000000"/>
      <w:sz w:val="26"/>
      <w:szCs w:val="26"/>
    </w:rPr>
  </w:style>
  <w:style w:type="character" w:customStyle="1" w:styleId="Heading4Char">
    <w:name w:val="Heading 4 Char"/>
    <w:aliases w:val="Map Title Char"/>
    <w:basedOn w:val="DefaultParagraphFont"/>
    <w:link w:val="Heading4"/>
    <w:uiPriority w:val="99"/>
    <w:semiHidden/>
    <w:locked/>
    <w:rsid w:val="004F7CEC"/>
    <w:rPr>
      <w:rFonts w:ascii="Calibri" w:hAnsi="Calibri" w:cs="Times New Roman"/>
      <w:b/>
      <w:bCs/>
      <w:color w:val="000000"/>
      <w:sz w:val="28"/>
      <w:szCs w:val="28"/>
    </w:rPr>
  </w:style>
  <w:style w:type="character" w:customStyle="1" w:styleId="Heading5Char">
    <w:name w:val="Heading 5 Char"/>
    <w:aliases w:val="Block Label Char"/>
    <w:basedOn w:val="DefaultParagraphFont"/>
    <w:link w:val="Heading5"/>
    <w:uiPriority w:val="99"/>
    <w:semiHidden/>
    <w:locked/>
    <w:rsid w:val="004F7CEC"/>
    <w:rPr>
      <w:rFonts w:ascii="Calibri" w:hAnsi="Calibri" w:cs="Times New Roman"/>
      <w:b/>
      <w:bCs/>
      <w:i/>
      <w:iCs/>
      <w:color w:val="000000"/>
      <w:sz w:val="26"/>
      <w:szCs w:val="26"/>
    </w:rPr>
  </w:style>
  <w:style w:type="character" w:customStyle="1" w:styleId="Heading6Char">
    <w:name w:val="Heading 6 Char"/>
    <w:aliases w:val="Sub Label Char"/>
    <w:basedOn w:val="DefaultParagraphFont"/>
    <w:link w:val="Heading6"/>
    <w:uiPriority w:val="99"/>
    <w:semiHidden/>
    <w:locked/>
    <w:rsid w:val="004F7CEC"/>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4F7CEC"/>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4F7CEC"/>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4F7CEC"/>
    <w:rPr>
      <w:rFonts w:ascii="Cambria" w:hAnsi="Cambria" w:cs="Times New Roman"/>
      <w:color w:val="000000"/>
    </w:rPr>
  </w:style>
  <w:style w:type="paragraph" w:styleId="BlockText">
    <w:name w:val="Block Text"/>
    <w:basedOn w:val="Normal"/>
    <w:uiPriority w:val="99"/>
    <w:rsid w:val="00725443"/>
  </w:style>
  <w:style w:type="paragraph" w:customStyle="1" w:styleId="BlockLine">
    <w:name w:val="Block Line"/>
    <w:basedOn w:val="Normal"/>
    <w:next w:val="Normal"/>
    <w:uiPriority w:val="99"/>
    <w:rsid w:val="00725443"/>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725443"/>
    <w:pPr>
      <w:numPr>
        <w:numId w:val="2"/>
      </w:numPr>
    </w:pPr>
    <w:rPr>
      <w:szCs w:val="20"/>
    </w:rPr>
  </w:style>
  <w:style w:type="paragraph" w:customStyle="1" w:styleId="BulletText2">
    <w:name w:val="Bullet Text 2"/>
    <w:basedOn w:val="Normal"/>
    <w:uiPriority w:val="99"/>
    <w:rsid w:val="00725443"/>
    <w:pPr>
      <w:numPr>
        <w:numId w:val="3"/>
      </w:numPr>
    </w:pPr>
    <w:rPr>
      <w:szCs w:val="20"/>
    </w:rPr>
  </w:style>
  <w:style w:type="paragraph" w:styleId="Caption">
    <w:name w:val="caption"/>
    <w:basedOn w:val="Normal"/>
    <w:next w:val="Normal"/>
    <w:uiPriority w:val="99"/>
    <w:qFormat/>
    <w:rsid w:val="006930C1"/>
    <w:pPr>
      <w:spacing w:before="120" w:after="120"/>
    </w:pPr>
    <w:rPr>
      <w:b/>
    </w:rPr>
  </w:style>
  <w:style w:type="character" w:customStyle="1" w:styleId="Continued">
    <w:name w:val="Continued"/>
    <w:basedOn w:val="DefaultParagraphFont"/>
    <w:uiPriority w:val="99"/>
    <w:rsid w:val="006930C1"/>
    <w:rPr>
      <w:rFonts w:ascii="Arial" w:hAnsi="Arial" w:cs="Times New Roman"/>
      <w:sz w:val="24"/>
    </w:rPr>
  </w:style>
  <w:style w:type="paragraph" w:customStyle="1" w:styleId="ContinuedBlockLabel">
    <w:name w:val="Continued Block Label"/>
    <w:basedOn w:val="Normal"/>
    <w:next w:val="Normal"/>
    <w:uiPriority w:val="99"/>
    <w:rsid w:val="00725443"/>
    <w:pPr>
      <w:spacing w:after="240"/>
    </w:pPr>
    <w:rPr>
      <w:b/>
      <w:sz w:val="22"/>
      <w:szCs w:val="20"/>
    </w:rPr>
  </w:style>
  <w:style w:type="paragraph" w:customStyle="1" w:styleId="ContinuedOnNextPa">
    <w:name w:val="Continued On Next Pa"/>
    <w:basedOn w:val="Normal"/>
    <w:next w:val="Normal"/>
    <w:uiPriority w:val="99"/>
    <w:rsid w:val="00725443"/>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725443"/>
    <w:pPr>
      <w:spacing w:after="240"/>
    </w:pPr>
    <w:rPr>
      <w:b/>
      <w:sz w:val="22"/>
      <w:szCs w:val="20"/>
    </w:rPr>
  </w:style>
  <w:style w:type="paragraph" w:customStyle="1" w:styleId="TableText">
    <w:name w:val="Table Text"/>
    <w:basedOn w:val="Normal"/>
    <w:uiPriority w:val="99"/>
    <w:rsid w:val="00725443"/>
    <w:rPr>
      <w:szCs w:val="20"/>
    </w:rPr>
  </w:style>
  <w:style w:type="paragraph" w:customStyle="1" w:styleId="EmbeddedText">
    <w:name w:val="Embedded Text"/>
    <w:basedOn w:val="Normal"/>
    <w:uiPriority w:val="99"/>
    <w:rsid w:val="00725443"/>
    <w:rPr>
      <w:szCs w:val="20"/>
    </w:rPr>
  </w:style>
  <w:style w:type="paragraph" w:styleId="Footer">
    <w:name w:val="footer"/>
    <w:basedOn w:val="Normal"/>
    <w:link w:val="FooterChar"/>
    <w:uiPriority w:val="99"/>
    <w:rsid w:val="00725443"/>
    <w:pPr>
      <w:tabs>
        <w:tab w:val="center" w:pos="4680"/>
        <w:tab w:val="right" w:pos="9360"/>
      </w:tabs>
    </w:pPr>
    <w:rPr>
      <w:color w:val="auto"/>
    </w:rPr>
  </w:style>
  <w:style w:type="character" w:customStyle="1" w:styleId="FooterChar">
    <w:name w:val="Footer Char"/>
    <w:basedOn w:val="DefaultParagraphFont"/>
    <w:link w:val="Footer"/>
    <w:uiPriority w:val="99"/>
    <w:locked/>
    <w:rsid w:val="00725443"/>
    <w:rPr>
      <w:rFonts w:cs="Times New Roman"/>
      <w:sz w:val="24"/>
    </w:rPr>
  </w:style>
  <w:style w:type="paragraph" w:styleId="Header">
    <w:name w:val="header"/>
    <w:basedOn w:val="Normal"/>
    <w:link w:val="HeaderChar"/>
    <w:uiPriority w:val="99"/>
    <w:rsid w:val="00725443"/>
    <w:pPr>
      <w:tabs>
        <w:tab w:val="center" w:pos="4680"/>
        <w:tab w:val="right" w:pos="9360"/>
      </w:tabs>
    </w:pPr>
    <w:rPr>
      <w:color w:val="auto"/>
    </w:rPr>
  </w:style>
  <w:style w:type="character" w:customStyle="1" w:styleId="HeaderChar">
    <w:name w:val="Header Char"/>
    <w:basedOn w:val="DefaultParagraphFont"/>
    <w:link w:val="Header"/>
    <w:uiPriority w:val="99"/>
    <w:locked/>
    <w:rsid w:val="00725443"/>
    <w:rPr>
      <w:rFonts w:cs="Times New Roman"/>
      <w:sz w:val="24"/>
    </w:rPr>
  </w:style>
  <w:style w:type="character" w:customStyle="1" w:styleId="Jump">
    <w:name w:val="Jump"/>
    <w:basedOn w:val="DefaultParagraphFont"/>
    <w:uiPriority w:val="99"/>
    <w:rsid w:val="006930C1"/>
    <w:rPr>
      <w:rFonts w:cs="Times New Roman"/>
      <w:color w:val="FF0000"/>
    </w:rPr>
  </w:style>
  <w:style w:type="paragraph" w:styleId="MacroText">
    <w:name w:val="macro"/>
    <w:link w:val="MacroTextChar"/>
    <w:uiPriority w:val="99"/>
    <w:semiHidden/>
    <w:rsid w:val="00693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7CEC"/>
    <w:rPr>
      <w:rFonts w:ascii="Courier New" w:hAnsi="Courier New" w:cs="Times New Roman"/>
      <w:lang w:val="en-US" w:eastAsia="en-US" w:bidi="ar-SA"/>
    </w:rPr>
  </w:style>
  <w:style w:type="paragraph" w:customStyle="1" w:styleId="MapTitleContinued">
    <w:name w:val="Map Title. Continued"/>
    <w:basedOn w:val="Normal"/>
    <w:next w:val="Normal"/>
    <w:uiPriority w:val="99"/>
    <w:rsid w:val="00725443"/>
    <w:pPr>
      <w:spacing w:after="240"/>
    </w:pPr>
    <w:rPr>
      <w:rFonts w:ascii="Arial" w:hAnsi="Arial" w:cs="Arial"/>
      <w:b/>
      <w:sz w:val="32"/>
      <w:szCs w:val="20"/>
    </w:rPr>
  </w:style>
  <w:style w:type="paragraph" w:customStyle="1" w:styleId="MemoLine">
    <w:name w:val="Memo Line"/>
    <w:basedOn w:val="BlockLine"/>
    <w:next w:val="Normal"/>
    <w:uiPriority w:val="99"/>
    <w:rsid w:val="00725443"/>
  </w:style>
  <w:style w:type="paragraph" w:customStyle="1" w:styleId="NoteText">
    <w:name w:val="Note Text"/>
    <w:basedOn w:val="Normal"/>
    <w:uiPriority w:val="99"/>
    <w:rsid w:val="00725443"/>
    <w:rPr>
      <w:szCs w:val="20"/>
    </w:rPr>
  </w:style>
  <w:style w:type="character" w:styleId="PageNumber">
    <w:name w:val="page number"/>
    <w:basedOn w:val="DefaultParagraphFont"/>
    <w:uiPriority w:val="99"/>
    <w:semiHidden/>
    <w:rsid w:val="006930C1"/>
    <w:rPr>
      <w:rFonts w:cs="Times New Roman"/>
    </w:rPr>
  </w:style>
  <w:style w:type="paragraph" w:customStyle="1" w:styleId="PublicationTitle">
    <w:name w:val="Publication Title"/>
    <w:basedOn w:val="Normal"/>
    <w:next w:val="Heading4"/>
    <w:uiPriority w:val="99"/>
    <w:rsid w:val="00725443"/>
    <w:pPr>
      <w:spacing w:after="240"/>
      <w:jc w:val="center"/>
    </w:pPr>
    <w:rPr>
      <w:rFonts w:ascii="Arial" w:hAnsi="Arial" w:cs="Arial"/>
      <w:b/>
      <w:sz w:val="32"/>
      <w:szCs w:val="20"/>
    </w:rPr>
  </w:style>
  <w:style w:type="paragraph" w:customStyle="1" w:styleId="TableHeaderText">
    <w:name w:val="Table Header Text"/>
    <w:basedOn w:val="Normal"/>
    <w:uiPriority w:val="99"/>
    <w:rsid w:val="00725443"/>
    <w:pPr>
      <w:jc w:val="center"/>
    </w:pPr>
    <w:rPr>
      <w:b/>
      <w:szCs w:val="20"/>
    </w:rPr>
  </w:style>
  <w:style w:type="paragraph" w:styleId="TOC1">
    <w:name w:val="toc 1"/>
    <w:basedOn w:val="Normal"/>
    <w:next w:val="Normal"/>
    <w:autoRedefine/>
    <w:uiPriority w:val="99"/>
    <w:semiHidden/>
    <w:rsid w:val="006930C1"/>
    <w:pPr>
      <w:ind w:left="57"/>
    </w:pPr>
  </w:style>
  <w:style w:type="paragraph" w:customStyle="1" w:styleId="TOCTitle">
    <w:name w:val="TOC Title"/>
    <w:basedOn w:val="Normal"/>
    <w:uiPriority w:val="99"/>
    <w:rsid w:val="00725443"/>
    <w:pPr>
      <w:widowControl w:val="0"/>
    </w:pPr>
    <w:rPr>
      <w:rFonts w:ascii="Arial" w:hAnsi="Arial" w:cs="Arial"/>
      <w:b/>
      <w:sz w:val="32"/>
      <w:szCs w:val="20"/>
    </w:rPr>
  </w:style>
  <w:style w:type="paragraph" w:customStyle="1" w:styleId="TOCItem">
    <w:name w:val="TOCItem"/>
    <w:basedOn w:val="Normal"/>
    <w:uiPriority w:val="99"/>
    <w:rsid w:val="00725443"/>
    <w:pPr>
      <w:tabs>
        <w:tab w:val="left" w:leader="dot" w:pos="7061"/>
        <w:tab w:val="right" w:pos="7524"/>
      </w:tabs>
      <w:spacing w:before="60" w:after="60"/>
      <w:ind w:right="465"/>
    </w:pPr>
    <w:rPr>
      <w:szCs w:val="20"/>
    </w:rPr>
  </w:style>
  <w:style w:type="paragraph" w:customStyle="1" w:styleId="TOCStem">
    <w:name w:val="TOCStem"/>
    <w:basedOn w:val="Normal"/>
    <w:uiPriority w:val="99"/>
    <w:rsid w:val="00725443"/>
    <w:rPr>
      <w:szCs w:val="20"/>
    </w:rPr>
  </w:style>
  <w:style w:type="character" w:styleId="Hyperlink">
    <w:name w:val="Hyperlink"/>
    <w:basedOn w:val="DefaultParagraphFont"/>
    <w:uiPriority w:val="99"/>
    <w:rsid w:val="00725443"/>
    <w:rPr>
      <w:rFonts w:cs="Times New Roman"/>
      <w:color w:val="0000FF"/>
      <w:u w:val="single"/>
    </w:rPr>
  </w:style>
  <w:style w:type="character" w:styleId="FollowedHyperlink">
    <w:name w:val="FollowedHyperlink"/>
    <w:basedOn w:val="DefaultParagraphFont"/>
    <w:uiPriority w:val="99"/>
    <w:rsid w:val="00725443"/>
    <w:rPr>
      <w:rFonts w:cs="Times New Roman"/>
      <w:color w:val="800080"/>
      <w:u w:val="single"/>
    </w:rPr>
  </w:style>
  <w:style w:type="paragraph" w:styleId="BalloonText">
    <w:name w:val="Balloon Text"/>
    <w:basedOn w:val="Normal"/>
    <w:link w:val="BalloonTextChar"/>
    <w:uiPriority w:val="99"/>
    <w:semiHidden/>
    <w:rsid w:val="00725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87F"/>
    <w:rPr>
      <w:rFonts w:ascii="Tahoma" w:hAnsi="Tahoma" w:cs="Tahoma"/>
      <w:color w:val="000000"/>
      <w:sz w:val="16"/>
      <w:szCs w:val="16"/>
    </w:rPr>
  </w:style>
  <w:style w:type="paragraph" w:customStyle="1" w:styleId="BulletText3">
    <w:name w:val="Bullet Text 3"/>
    <w:basedOn w:val="Normal"/>
    <w:uiPriority w:val="99"/>
    <w:rsid w:val="00725443"/>
    <w:pPr>
      <w:numPr>
        <w:numId w:val="4"/>
      </w:numPr>
      <w:tabs>
        <w:tab w:val="clear" w:pos="173"/>
      </w:tabs>
      <w:ind w:left="533" w:hanging="173"/>
    </w:pPr>
    <w:rPr>
      <w:szCs w:val="20"/>
    </w:rPr>
  </w:style>
  <w:style w:type="character" w:styleId="HTMLAcronym">
    <w:name w:val="HTML Acronym"/>
    <w:basedOn w:val="DefaultParagraphFont"/>
    <w:uiPriority w:val="99"/>
    <w:rsid w:val="00725443"/>
    <w:rPr>
      <w:rFonts w:cs="Times New Roman"/>
    </w:rPr>
  </w:style>
  <w:style w:type="paragraph" w:customStyle="1" w:styleId="IMTOC">
    <w:name w:val="IMTOC"/>
    <w:uiPriority w:val="99"/>
    <w:rsid w:val="00725443"/>
    <w:rPr>
      <w:sz w:val="24"/>
      <w:szCs w:val="20"/>
    </w:rPr>
  </w:style>
  <w:style w:type="table" w:styleId="TableGrid">
    <w:name w:val="Table Grid"/>
    <w:basedOn w:val="TableNormal"/>
    <w:uiPriority w:val="99"/>
    <w:rsid w:val="0072544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uiPriority w:val="99"/>
    <w:rsid w:val="009B7949"/>
    <w:rPr>
      <w:sz w:val="24"/>
    </w:rPr>
  </w:style>
  <w:style w:type="character" w:customStyle="1" w:styleId="CharChar4">
    <w:name w:val="Char Char4"/>
    <w:uiPriority w:val="99"/>
    <w:rsid w:val="009B7949"/>
    <w:rPr>
      <w:sz w:val="24"/>
    </w:rPr>
  </w:style>
  <w:style w:type="paragraph" w:styleId="TOC3">
    <w:name w:val="toc 3"/>
    <w:basedOn w:val="Normal"/>
    <w:next w:val="Normal"/>
    <w:autoRedefine/>
    <w:uiPriority w:val="99"/>
    <w:rsid w:val="00725443"/>
    <w:pPr>
      <w:ind w:left="480"/>
    </w:pPr>
  </w:style>
  <w:style w:type="paragraph" w:styleId="TOC4">
    <w:name w:val="toc 4"/>
    <w:basedOn w:val="Normal"/>
    <w:next w:val="Normal"/>
    <w:autoRedefine/>
    <w:uiPriority w:val="99"/>
    <w:rsid w:val="00725443"/>
    <w:pPr>
      <w:ind w:left="720"/>
    </w:pPr>
  </w:style>
  <w:style w:type="paragraph" w:styleId="BodyTextIndent2">
    <w:name w:val="Body Text Indent 2"/>
    <w:basedOn w:val="Normal"/>
    <w:link w:val="BodyTextIndent2Char"/>
    <w:uiPriority w:val="99"/>
    <w:rsid w:val="00517F63"/>
    <w:pPr>
      <w:ind w:left="180"/>
    </w:pPr>
    <w:rPr>
      <w:color w:val="auto"/>
    </w:rPr>
  </w:style>
  <w:style w:type="character" w:customStyle="1" w:styleId="BodyTextIndent2Char">
    <w:name w:val="Body Text Indent 2 Char"/>
    <w:basedOn w:val="DefaultParagraphFont"/>
    <w:link w:val="BodyTextIndent2"/>
    <w:uiPriority w:val="99"/>
    <w:semiHidden/>
    <w:locked/>
    <w:rsid w:val="004F7CEC"/>
    <w:rPr>
      <w:rFonts w:cs="Times New Roman"/>
      <w:color w:val="000000"/>
      <w:sz w:val="24"/>
      <w:szCs w:val="24"/>
    </w:rPr>
  </w:style>
  <w:style w:type="paragraph" w:customStyle="1" w:styleId="RFWParagraph">
    <w:name w:val="RFW Paragraph"/>
    <w:basedOn w:val="Normal"/>
    <w:uiPriority w:val="99"/>
    <w:rsid w:val="00517F63"/>
    <w:pPr>
      <w:widowControl w:val="0"/>
      <w:ind w:left="288"/>
    </w:pPr>
    <w:rPr>
      <w:color w:val="auto"/>
      <w:szCs w:val="20"/>
    </w:rPr>
  </w:style>
  <w:style w:type="character" w:styleId="Strong">
    <w:name w:val="Strong"/>
    <w:basedOn w:val="DefaultParagraphFont"/>
    <w:uiPriority w:val="99"/>
    <w:qFormat/>
    <w:rsid w:val="005E723A"/>
    <w:rPr>
      <w:rFonts w:cs="Times New Roman"/>
      <w:b/>
      <w:bCs/>
    </w:rPr>
  </w:style>
  <w:style w:type="paragraph" w:customStyle="1" w:styleId="Default">
    <w:name w:val="Default"/>
    <w:uiPriority w:val="99"/>
    <w:rsid w:val="003D2C1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3D2C1D"/>
    <w:pPr>
      <w:spacing w:after="120"/>
    </w:pPr>
    <w:rPr>
      <w:color w:val="auto"/>
    </w:rPr>
  </w:style>
  <w:style w:type="character" w:customStyle="1" w:styleId="BodyTextChar">
    <w:name w:val="Body Text Char"/>
    <w:basedOn w:val="DefaultParagraphFont"/>
    <w:link w:val="BodyText"/>
    <w:uiPriority w:val="99"/>
    <w:semiHidden/>
    <w:locked/>
    <w:rsid w:val="004F7CEC"/>
    <w:rPr>
      <w:rFonts w:cs="Times New Roman"/>
      <w:color w:val="000000"/>
      <w:sz w:val="24"/>
      <w:szCs w:val="24"/>
    </w:rPr>
  </w:style>
  <w:style w:type="paragraph" w:styleId="ListParagraph">
    <w:name w:val="List Paragraph"/>
    <w:basedOn w:val="Normal"/>
    <w:uiPriority w:val="99"/>
    <w:qFormat/>
    <w:rsid w:val="00F344F3"/>
    <w:pPr>
      <w:ind w:left="720"/>
    </w:pPr>
  </w:style>
  <w:style w:type="character" w:styleId="CommentReference">
    <w:name w:val="annotation reference"/>
    <w:basedOn w:val="DefaultParagraphFont"/>
    <w:uiPriority w:val="99"/>
    <w:semiHidden/>
    <w:rsid w:val="004A5F1D"/>
    <w:rPr>
      <w:rFonts w:cs="Times New Roman"/>
      <w:sz w:val="16"/>
      <w:szCs w:val="16"/>
    </w:rPr>
  </w:style>
  <w:style w:type="paragraph" w:styleId="CommentText">
    <w:name w:val="annotation text"/>
    <w:basedOn w:val="Normal"/>
    <w:link w:val="CommentTextChar"/>
    <w:uiPriority w:val="99"/>
    <w:semiHidden/>
    <w:rsid w:val="004A5F1D"/>
    <w:rPr>
      <w:sz w:val="20"/>
      <w:szCs w:val="20"/>
    </w:rPr>
  </w:style>
  <w:style w:type="character" w:customStyle="1" w:styleId="CommentTextChar">
    <w:name w:val="Comment Text Char"/>
    <w:basedOn w:val="DefaultParagraphFont"/>
    <w:link w:val="CommentText"/>
    <w:uiPriority w:val="99"/>
    <w:semiHidden/>
    <w:locked/>
    <w:rsid w:val="004F7CEC"/>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basedOn w:val="CommentTextChar"/>
    <w:link w:val="CommentSubject"/>
    <w:uiPriority w:val="99"/>
    <w:semiHidden/>
    <w:locked/>
    <w:rsid w:val="004F7CEC"/>
    <w:rPr>
      <w:rFonts w:cs="Times New Roman"/>
      <w:b/>
      <w:bCs/>
      <w:color w:val="000000"/>
      <w:sz w:val="20"/>
      <w:szCs w:val="20"/>
    </w:rPr>
  </w:style>
  <w:style w:type="paragraph" w:styleId="Revision">
    <w:name w:val="Revision"/>
    <w:hidden/>
    <w:uiPriority w:val="99"/>
    <w:semiHidden/>
    <w:rsid w:val="00BB474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38/2101A" TargetMode="External"/><Relationship Id="rId18" Type="http://schemas.openxmlformats.org/officeDocument/2006/relationships/hyperlink" Target="http://www.law.cornell.edu/uscode/text/38/part-II/chapter-11" TargetMode="External"/><Relationship Id="rId26" Type="http://schemas.openxmlformats.org/officeDocument/2006/relationships/hyperlink" Target="http://vbaw.vba.va.gov/bl/21/Advisory/CAVCDAD.htm" TargetMode="External"/><Relationship Id="rId39" Type="http://schemas.openxmlformats.org/officeDocument/2006/relationships/hyperlink" Target="http://www.law.cornell.edu/uscode/text/38/2101A" TargetMode="External"/><Relationship Id="rId21" Type="http://schemas.openxmlformats.org/officeDocument/2006/relationships/hyperlink" Target="http://www.ecfr.gov/cgi-bin/text-idx?SID=a10e55fa073d51359972fced93f74759&amp;node=se38.1.4_1124a&amp;rgn=div8" TargetMode="External"/><Relationship Id="rId34" Type="http://schemas.openxmlformats.org/officeDocument/2006/relationships/hyperlink" Target="http://www.ecfr.gov/cgi-bin/text-idx?SID=17a1c3fa4a6b1db3a3ff479a13ad5c75&amp;node=se38.1.3_1383&amp;rgn=div8" TargetMode="External"/><Relationship Id="rId42" Type="http://schemas.openxmlformats.org/officeDocument/2006/relationships/hyperlink" Target="http://www.ecfr.gov/cgi-bin/text-idx?SID=3347b1e81a6d1bbce5521e36527335e7&amp;mc=true&amp;node=se38.1.3_1155&amp;rgn=div8" TargetMode="External"/><Relationship Id="rId47" Type="http://schemas.openxmlformats.org/officeDocument/2006/relationships/hyperlink" Target="mailto:DenverSAH@VA.GOV" TargetMode="External"/><Relationship Id="rId50" Type="http://schemas.openxmlformats.org/officeDocument/2006/relationships/hyperlink" Target="mailto:SAHSHA.Roanoke@va.gov"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aw.cornell.edu/uscode/text/38/part-II/chapter-11" TargetMode="External"/><Relationship Id="rId25" Type="http://schemas.openxmlformats.org/officeDocument/2006/relationships/hyperlink" Target="http://law.cornell.edu/uscode/html/uscode38/usc_sup_01_38_10_II_20_21.html" TargetMode="External"/><Relationship Id="rId33" Type="http://schemas.openxmlformats.org/officeDocument/2006/relationships/hyperlink" Target="http://www.law.cornell.edu/uscode/text/38/1151" TargetMode="External"/><Relationship Id="rId38" Type="http://schemas.openxmlformats.org/officeDocument/2006/relationships/hyperlink" Target="http://www.law.cornell.edu/uscode/text/38/2101" TargetMode="External"/><Relationship Id="rId46" Type="http://schemas.openxmlformats.org/officeDocument/2006/relationships/hyperlink" Target="mailto:sah.vbacle@va.gov"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law.cornell.edu/uscode/html/uscode38/usc_sec_38_00002102----000-.html" TargetMode="External"/><Relationship Id="rId20" Type="http://schemas.openxmlformats.org/officeDocument/2006/relationships/hyperlink" Target="http://www.ecfr.gov/cgi-bin/text-idx?SID=7999b42c1391c5faf6b3bc41488b9219&amp;node=se38.1.3_1809&amp;rgn=div8" TargetMode="External"/><Relationship Id="rId29" Type="http://schemas.openxmlformats.org/officeDocument/2006/relationships/hyperlink" Target="http://www.law.cornell.edu/uscode/text/38/part-II/chapter-11" TargetMode="External"/><Relationship Id="rId41" Type="http://schemas.openxmlformats.org/officeDocument/2006/relationships/hyperlink" Target="http://www.ecfr.gov/cgi-bin/text-idx?SID=3347b1e81a6d1bbce5521e36527335e7&amp;mc=true&amp;node=se38.1.3_1151&amp;rgn=div8" TargetMode="External"/><Relationship Id="rId54" Type="http://schemas.openxmlformats.org/officeDocument/2006/relationships/hyperlink" Target="http://vbaw.vba.va.gov/bl/26/rlcmap.ht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7999b42c1391c5faf6b3bc41488b9219&amp;node=se38.1.3_1809&amp;rgn=div8" TargetMode="External"/><Relationship Id="rId32" Type="http://schemas.openxmlformats.org/officeDocument/2006/relationships/hyperlink" Target="http://www.ecfr.gov/cgi-bin/text-idx?SID=7999b42c1391c5faf6b3bc41488b9219&amp;node=se38.1.3_1809&amp;rgn=div8" TargetMode="External"/><Relationship Id="rId37" Type="http://schemas.openxmlformats.org/officeDocument/2006/relationships/hyperlink" Target="http://www.ecfr.gov/cgi-bin/text-idx?SID=06f3cc4352c124d6e03d59f9844a59ad&amp;node=se38.1.3_1363&amp;rgn=div8" TargetMode="External"/><Relationship Id="rId40" Type="http://schemas.openxmlformats.org/officeDocument/2006/relationships/hyperlink" Target="http://www.ecfr.gov/cgi-bin/text-idx?SID=5b39ac8d5b462e0a1b3df0a4dfd40d9c&amp;mc=true&amp;node=sp38.2.36.c&amp;rgn=div6" TargetMode="External"/><Relationship Id="rId45" Type="http://schemas.openxmlformats.org/officeDocument/2006/relationships/hyperlink" Target="mailto:316lgycnv@va.gov" TargetMode="External"/><Relationship Id="rId53" Type="http://schemas.openxmlformats.org/officeDocument/2006/relationships/hyperlink" Target="mailto:SAH.VBASPT@va.gov" TargetMode="External"/><Relationship Id="rId58"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ecfr.gov/cgi-bin/text-idx?SID=fec4d8babd95b9b1df4f106b163e078a&amp;node=se38.1.3_1809a&amp;rgn=div8" TargetMode="External"/><Relationship Id="rId23" Type="http://schemas.openxmlformats.org/officeDocument/2006/relationships/hyperlink" Target="http://www.ecfr.gov/cgi-bin/text-idx?SID=5fd9d3ee6fc55565a7192794059d6ff6&amp;node=se38.1.4_116&amp;rgn=div8" TargetMode="External"/><Relationship Id="rId28" Type="http://schemas.openxmlformats.org/officeDocument/2006/relationships/hyperlink" Target="http://www.law.cornell.edu/uscode/text/38/part-II/chapter-11" TargetMode="External"/><Relationship Id="rId36" Type="http://schemas.openxmlformats.org/officeDocument/2006/relationships/hyperlink" Target="http://law.cornell.edu/uscode/html/uscode38/usc_sec_38_00001151----000-.html" TargetMode="External"/><Relationship Id="rId49" Type="http://schemas.openxmlformats.org/officeDocument/2006/relationships/hyperlink" Target="mailto:lgysah.vbahou@va.gov" TargetMode="External"/><Relationship Id="rId57"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law.cornell.edu/uscode/text/38/1151" TargetMode="External"/><Relationship Id="rId31" Type="http://schemas.openxmlformats.org/officeDocument/2006/relationships/hyperlink" Target="http://www.law.cornell.edu/uscode/text/38/2101" TargetMode="External"/><Relationship Id="rId44" Type="http://schemas.openxmlformats.org/officeDocument/2006/relationships/hyperlink" Target="http://vbaw.vba.va.gov/VBMS/docs/VBMS_Rating_UserGuide.pdf" TargetMode="External"/><Relationship Id="rId52" Type="http://schemas.openxmlformats.org/officeDocument/2006/relationships/hyperlink" Target="mailto:SAH.VBASPL@va.gov"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7999b42c1391c5faf6b3bc41488b9219&amp;node=se38.1.3_1809&amp;rgn=div8" TargetMode="External"/><Relationship Id="rId22" Type="http://schemas.openxmlformats.org/officeDocument/2006/relationships/hyperlink" Target="http://www.ecfr.gov/cgi-bin/text-idx?SID=7999b42c1391c5faf6b3bc41488b9219&amp;node=se38.1.3_1809&amp;rgn=div8" TargetMode="External"/><Relationship Id="rId27" Type="http://schemas.openxmlformats.org/officeDocument/2006/relationships/hyperlink" Target="http://www.law.cornell.edu/uscode/text/38/1151" TargetMode="External"/><Relationship Id="rId30" Type="http://schemas.openxmlformats.org/officeDocument/2006/relationships/hyperlink" Target="http://www.law.cornell.edu/uscode/text/38/1151" TargetMode="External"/><Relationship Id="rId35" Type="http://schemas.openxmlformats.org/officeDocument/2006/relationships/hyperlink" Target="http://law.cornell.edu/uscode/html/uscode38/usc_sec_38_00001160----000-.html" TargetMode="External"/><Relationship Id="rId43" Type="http://schemas.openxmlformats.org/officeDocument/2006/relationships/hyperlink" Target="http://www.vba.va.gov/pubs/forms/VBA-26-4555-ARE.pdf" TargetMode="External"/><Relationship Id="rId48" Type="http://schemas.openxmlformats.org/officeDocument/2006/relationships/hyperlink" Target="mailto:SAH.VBAHON@VA.GOV" TargetMode="External"/><Relationship Id="rId56"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mailto:45/SAH@vba.va.gov"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FC7B-A306-4F51-BAA3-958346FB649F}">
  <ds:schemaRefs>
    <ds:schemaRef ds:uri="http://schemas.microsoft.com/sharepoint/v3/contenttype/forms"/>
  </ds:schemaRefs>
</ds:datastoreItem>
</file>

<file path=customXml/itemProps2.xml><?xml version="1.0" encoding="utf-8"?>
<ds:datastoreItem xmlns:ds="http://schemas.openxmlformats.org/officeDocument/2006/customXml" ds:itemID="{311D7E6A-2ED3-460E-8FC0-B446A837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E32AD-CECD-4BEB-95F5-EA8D93A3FB5C}">
  <ds:schemaRef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b438dcf7-3998-4283-b7fc-0ec6fa8e430f"/>
  </ds:schemaRefs>
</ds:datastoreItem>
</file>

<file path=customXml/itemProps4.xml><?xml version="1.0" encoding="utf-8"?>
<ds:datastoreItem xmlns:ds="http://schemas.openxmlformats.org/officeDocument/2006/customXml" ds:itemID="{3220B07A-1283-49B0-BCEE-4D430789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131</TotalTime>
  <Pages>14</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Chapter 3.  Specially Adapted Housing (SAH) or Special Housing Adaptation (SHA) Grants  (U.S. Department of Veterans Affairs)</vt:lpstr>
    </vt:vector>
  </TitlesOfParts>
  <Company>Dept. of Veterans Affairs</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Specially Adapted Housing (SAH) or Special Housing Adaptation (SHA) Grants  (U.S. Department of Veterans Affairs)</dc:title>
  <dc:subject>Specially Adapted Housing (SAH) or Special Housing Adaptation (SHA) Grants</dc:subject>
  <dc:creator>CAPKSALA</dc:creator>
  <cp:keywords>SAH, SHA, Loan Guaranty</cp:keywords>
  <dc:description>Eligibility criteria, policies and procedures relating to claims for assistance with Specially Adapted Housing and Special Home Adaptation Grants.</dc:description>
  <cp:lastModifiedBy>Mazar, Leah B., VBAVACO</cp:lastModifiedBy>
  <cp:revision>9</cp:revision>
  <cp:lastPrinted>2015-03-25T20:20:00Z</cp:lastPrinted>
  <dcterms:created xsi:type="dcterms:W3CDTF">2015-10-27T12:34:00Z</dcterms:created>
  <dcterms:modified xsi:type="dcterms:W3CDTF">2015-10-28T15:44:00Z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vt:lpwstr>
  </property>
  <property fmtid="{D5CDD505-2E9C-101B-9397-08002B2CF9AE}" pid="3" name="DateReviewed">
    <vt:lpwstr>20130925</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