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D8953" w14:textId="5D8F0923" w:rsidR="005D4865" w:rsidRPr="00F7105A" w:rsidRDefault="005D4865" w:rsidP="00E44146">
      <w:pPr>
        <w:pStyle w:val="Heading2"/>
        <w:jc w:val="center"/>
        <w:rPr>
          <w:rFonts w:ascii="Arial" w:hAnsi="Arial" w:cs="Arial"/>
          <w:color w:val="auto"/>
          <w:sz w:val="32"/>
          <w:szCs w:val="32"/>
        </w:rPr>
      </w:pPr>
      <w:bookmarkStart w:id="0" w:name="_GoBack"/>
      <w:bookmarkEnd w:id="0"/>
      <w:proofErr w:type="gramStart"/>
      <w:r w:rsidRPr="00F7105A">
        <w:rPr>
          <w:rFonts w:ascii="Arial" w:hAnsi="Arial" w:cs="Arial"/>
          <w:color w:val="auto"/>
          <w:sz w:val="32"/>
          <w:szCs w:val="32"/>
        </w:rPr>
        <w:t>Chapter 2.</w:t>
      </w:r>
      <w:proofErr w:type="gramEnd"/>
      <w:r w:rsidRPr="00F7105A">
        <w:rPr>
          <w:rFonts w:ascii="Arial" w:hAnsi="Arial" w:cs="Arial"/>
          <w:color w:val="auto"/>
          <w:sz w:val="32"/>
          <w:szCs w:val="32"/>
        </w:rPr>
        <w:t xml:space="preserve">  </w:t>
      </w:r>
      <w:r w:rsidR="00A45C01" w:rsidRPr="00F7105A">
        <w:rPr>
          <w:rFonts w:ascii="Arial" w:hAnsi="Arial" w:cs="Arial"/>
          <w:color w:val="auto"/>
          <w:sz w:val="32"/>
          <w:szCs w:val="32"/>
        </w:rPr>
        <w:t>Substitution in Case of Death of Claimant</w:t>
      </w:r>
    </w:p>
    <w:p w14:paraId="3BA4106E" w14:textId="77777777" w:rsidR="005D4865" w:rsidRPr="00F7105A" w:rsidRDefault="005D4865" w:rsidP="00E44146"/>
    <w:p w14:paraId="2CC9EEA0" w14:textId="71E0F13B" w:rsidR="005D4865" w:rsidRPr="00F7105A" w:rsidRDefault="005D4865" w:rsidP="005D4865">
      <w:pPr>
        <w:pStyle w:val="Heading4"/>
        <w:numPr>
          <w:ilvl w:val="12"/>
          <w:numId w:val="0"/>
        </w:numPr>
        <w:rPr>
          <w:rFonts w:cs="Arial"/>
          <w:color w:val="auto"/>
          <w:szCs w:val="32"/>
        </w:rPr>
      </w:pPr>
      <w:r w:rsidRPr="00F7105A">
        <w:rPr>
          <w:rFonts w:cs="Arial"/>
          <w:color w:val="auto"/>
          <w:szCs w:val="32"/>
        </w:rPr>
        <w:t xml:space="preserve">1.  General Information on </w:t>
      </w:r>
      <w:r w:rsidR="00A31030" w:rsidRPr="00F7105A">
        <w:rPr>
          <w:rFonts w:cs="Arial"/>
          <w:color w:val="auto"/>
          <w:szCs w:val="32"/>
        </w:rPr>
        <w:t xml:space="preserve">Requests to </w:t>
      </w:r>
      <w:r w:rsidR="00475583" w:rsidRPr="00F7105A">
        <w:rPr>
          <w:rFonts w:cs="Arial"/>
          <w:color w:val="auto"/>
          <w:szCs w:val="32"/>
        </w:rPr>
        <w:t>Substitute</w:t>
      </w:r>
    </w:p>
    <w:p w14:paraId="7824E484" w14:textId="77777777" w:rsidR="00AE7841" w:rsidRPr="00F7105A" w:rsidRDefault="00AE7841" w:rsidP="00AE7841">
      <w:pPr>
        <w:pStyle w:val="BlockLine"/>
        <w:numPr>
          <w:ilvl w:val="12"/>
          <w:numId w:val="0"/>
        </w:numPr>
        <w:ind w:left="1700"/>
      </w:pPr>
      <w:r w:rsidRPr="00F7105A">
        <w:fldChar w:fldCharType="begin"/>
      </w:r>
      <w:r w:rsidRPr="00F7105A">
        <w:instrText xml:space="preserve"> PRIVATE INFOTYPE="OTHER" </w:instrText>
      </w:r>
      <w:r w:rsidRPr="00F7105A">
        <w:fldChar w:fldCharType="end"/>
      </w:r>
    </w:p>
    <w:tbl>
      <w:tblPr>
        <w:tblW w:w="0" w:type="auto"/>
        <w:tblLayout w:type="fixed"/>
        <w:tblLook w:val="04A0" w:firstRow="1" w:lastRow="0" w:firstColumn="1" w:lastColumn="0" w:noHBand="0" w:noVBand="1"/>
      </w:tblPr>
      <w:tblGrid>
        <w:gridCol w:w="1728"/>
        <w:gridCol w:w="7740"/>
      </w:tblGrid>
      <w:tr w:rsidR="00AE7841" w:rsidRPr="00F7105A" w14:paraId="7824E488" w14:textId="77777777" w:rsidTr="0055051E">
        <w:trPr>
          <w:cantSplit/>
          <w:trHeight w:val="2583"/>
        </w:trPr>
        <w:tc>
          <w:tcPr>
            <w:tcW w:w="1728" w:type="dxa"/>
            <w:hideMark/>
          </w:tcPr>
          <w:p w14:paraId="7824E485" w14:textId="77777777" w:rsidR="00AE7841" w:rsidRPr="00F7105A" w:rsidRDefault="00AE7841" w:rsidP="00E44146">
            <w:pPr>
              <w:pStyle w:val="Heading5"/>
              <w:numPr>
                <w:ilvl w:val="12"/>
                <w:numId w:val="0"/>
              </w:numPr>
            </w:pPr>
            <w:r w:rsidRPr="00F7105A">
              <w:t>Introduction</w:t>
            </w:r>
          </w:p>
        </w:tc>
        <w:tc>
          <w:tcPr>
            <w:tcW w:w="7740" w:type="dxa"/>
          </w:tcPr>
          <w:p w14:paraId="245A20F4" w14:textId="77777777" w:rsidR="00F87BC0" w:rsidRPr="00F7105A" w:rsidRDefault="00F87BC0" w:rsidP="00757BB1">
            <w:pPr>
              <w:pStyle w:val="BlockText"/>
              <w:numPr>
                <w:ilvl w:val="12"/>
                <w:numId w:val="0"/>
              </w:numPr>
            </w:pPr>
            <w:r w:rsidRPr="00F7105A">
              <w:t>This topic contains general information on eligibility to accrued benefits, including</w:t>
            </w:r>
          </w:p>
          <w:p w14:paraId="30AEF367" w14:textId="77777777" w:rsidR="00F87BC0" w:rsidRPr="00F7105A" w:rsidRDefault="00F87BC0">
            <w:pPr>
              <w:pStyle w:val="BlockText"/>
              <w:numPr>
                <w:ilvl w:val="12"/>
                <w:numId w:val="0"/>
              </w:numPr>
            </w:pPr>
          </w:p>
          <w:p w14:paraId="560E301F" w14:textId="0D3A3148" w:rsidR="00F87BC0" w:rsidRPr="00F7105A" w:rsidRDefault="00DF7D94" w:rsidP="0055051E">
            <w:pPr>
              <w:pStyle w:val="ListParagraph"/>
              <w:numPr>
                <w:ilvl w:val="0"/>
                <w:numId w:val="33"/>
              </w:numPr>
              <w:ind w:left="158" w:hanging="187"/>
            </w:pPr>
            <w:r w:rsidRPr="00F7105A">
              <w:t xml:space="preserve">the definition of </w:t>
            </w:r>
            <w:r w:rsidR="00F87BC0" w:rsidRPr="00F7105A">
              <w:t>substitution</w:t>
            </w:r>
            <w:r w:rsidR="001F0AD0" w:rsidRPr="00F7105A">
              <w:t xml:space="preserve"> in the case of death of claimant</w:t>
            </w:r>
          </w:p>
          <w:p w14:paraId="21F19283" w14:textId="6B850526" w:rsidR="00F87BC0" w:rsidRPr="00F7105A" w:rsidRDefault="00F87BC0" w:rsidP="0055051E">
            <w:pPr>
              <w:pStyle w:val="ListParagraph"/>
              <w:numPr>
                <w:ilvl w:val="0"/>
                <w:numId w:val="33"/>
              </w:numPr>
              <w:ind w:left="158" w:hanging="187"/>
            </w:pPr>
            <w:r w:rsidRPr="00F7105A">
              <w:t>the definition of original claimant</w:t>
            </w:r>
          </w:p>
          <w:p w14:paraId="69844BEF" w14:textId="1361F9B3" w:rsidR="000F2907" w:rsidRPr="00F7105A" w:rsidRDefault="000F2907" w:rsidP="0055051E">
            <w:pPr>
              <w:pStyle w:val="ListParagraph"/>
              <w:numPr>
                <w:ilvl w:val="0"/>
                <w:numId w:val="33"/>
              </w:numPr>
              <w:ind w:left="158" w:hanging="187"/>
            </w:pPr>
            <w:r w:rsidRPr="00F7105A">
              <w:t>the definition of substitute  claimant</w:t>
            </w:r>
          </w:p>
          <w:p w14:paraId="13D673A4" w14:textId="574CB832" w:rsidR="00652AF4" w:rsidRPr="00F7105A" w:rsidRDefault="001F0AD0" w:rsidP="0055051E">
            <w:pPr>
              <w:pStyle w:val="ListParagraph"/>
              <w:numPr>
                <w:ilvl w:val="0"/>
                <w:numId w:val="33"/>
              </w:numPr>
              <w:ind w:left="158" w:hanging="187"/>
            </w:pPr>
            <w:r w:rsidRPr="00F7105A">
              <w:t>the definition of joint class</w:t>
            </w:r>
          </w:p>
          <w:p w14:paraId="5E28626A" w14:textId="4D609D00" w:rsidR="00652AF4" w:rsidRPr="00F7105A" w:rsidRDefault="00754C2F" w:rsidP="0055051E">
            <w:pPr>
              <w:pStyle w:val="ListParagraph"/>
              <w:numPr>
                <w:ilvl w:val="0"/>
                <w:numId w:val="96"/>
              </w:numPr>
              <w:ind w:left="158" w:hanging="187"/>
            </w:pPr>
            <w:r w:rsidRPr="00F7105A">
              <w:t>right to waive  substitution in case of death of claimant</w:t>
            </w:r>
            <w:r w:rsidR="00655ECF" w:rsidRPr="00F7105A">
              <w:t>, and</w:t>
            </w:r>
          </w:p>
          <w:p w14:paraId="7824E487" w14:textId="3543321A" w:rsidR="00AE7841" w:rsidRPr="00F7105A" w:rsidRDefault="00652AF4" w:rsidP="0055051E">
            <w:pPr>
              <w:pStyle w:val="ListParagraph"/>
              <w:numPr>
                <w:ilvl w:val="0"/>
                <w:numId w:val="106"/>
              </w:numPr>
              <w:ind w:left="158" w:hanging="187"/>
            </w:pPr>
            <w:r w:rsidRPr="00F7105A">
              <w:t>death of a substitute claimant.</w:t>
            </w:r>
          </w:p>
        </w:tc>
      </w:tr>
    </w:tbl>
    <w:p w14:paraId="2E841E9A" w14:textId="77777777" w:rsidR="00655ECF" w:rsidRPr="00F7105A" w:rsidRDefault="00655ECF"/>
    <w:p w14:paraId="7824E489" w14:textId="70540B97" w:rsidR="00AE7841" w:rsidRPr="00F7105A" w:rsidRDefault="00AE7841" w:rsidP="00E44146">
      <w:pPr>
        <w:pStyle w:val="BlockLine"/>
        <w:spacing w:before="0"/>
        <w:ind w:left="1700"/>
      </w:pPr>
    </w:p>
    <w:tbl>
      <w:tblPr>
        <w:tblW w:w="0" w:type="auto"/>
        <w:tblLayout w:type="fixed"/>
        <w:tblLook w:val="04A0" w:firstRow="1" w:lastRow="0" w:firstColumn="1" w:lastColumn="0" w:noHBand="0" w:noVBand="1"/>
      </w:tblPr>
      <w:tblGrid>
        <w:gridCol w:w="1728"/>
        <w:gridCol w:w="7740"/>
      </w:tblGrid>
      <w:tr w:rsidR="00AE7841" w:rsidRPr="00F7105A" w14:paraId="7824E48C" w14:textId="77777777" w:rsidTr="00950382">
        <w:trPr>
          <w:cantSplit/>
        </w:trPr>
        <w:tc>
          <w:tcPr>
            <w:tcW w:w="1728" w:type="dxa"/>
            <w:hideMark/>
          </w:tcPr>
          <w:p w14:paraId="7824E48A" w14:textId="77777777" w:rsidR="00AE7841" w:rsidRPr="00F7105A" w:rsidRDefault="00AE7841" w:rsidP="00950382">
            <w:pPr>
              <w:pStyle w:val="Heading5"/>
            </w:pPr>
            <w:r w:rsidRPr="00F7105A">
              <w:t>Change Date</w:t>
            </w:r>
          </w:p>
        </w:tc>
        <w:tc>
          <w:tcPr>
            <w:tcW w:w="7740" w:type="dxa"/>
          </w:tcPr>
          <w:p w14:paraId="7824E48B" w14:textId="67F3FA7E" w:rsidR="00AE7841" w:rsidRPr="00F7105A" w:rsidRDefault="000F499A" w:rsidP="00950382">
            <w:pPr>
              <w:pStyle w:val="BlockText"/>
            </w:pPr>
            <w:r w:rsidRPr="00F7105A">
              <w:t>July 28, 2015</w:t>
            </w:r>
          </w:p>
        </w:tc>
      </w:tr>
    </w:tbl>
    <w:p w14:paraId="7824E48D" w14:textId="77777777" w:rsidR="00AE7841" w:rsidRPr="00F7105A" w:rsidRDefault="00AE7841" w:rsidP="00AE7841">
      <w:pPr>
        <w:pStyle w:val="BlockLine"/>
        <w:numPr>
          <w:ilvl w:val="12"/>
          <w:numId w:val="0"/>
        </w:numPr>
        <w:ind w:left="1700"/>
      </w:pPr>
    </w:p>
    <w:tbl>
      <w:tblPr>
        <w:tblW w:w="0" w:type="auto"/>
        <w:tblLayout w:type="fixed"/>
        <w:tblLook w:val="04A0" w:firstRow="1" w:lastRow="0" w:firstColumn="1" w:lastColumn="0" w:noHBand="0" w:noVBand="1"/>
      </w:tblPr>
      <w:tblGrid>
        <w:gridCol w:w="1728"/>
        <w:gridCol w:w="7740"/>
      </w:tblGrid>
      <w:tr w:rsidR="00AE7841" w:rsidRPr="00F7105A" w14:paraId="7824E496" w14:textId="77777777" w:rsidTr="00950382">
        <w:trPr>
          <w:cantSplit/>
        </w:trPr>
        <w:tc>
          <w:tcPr>
            <w:tcW w:w="1728" w:type="dxa"/>
            <w:hideMark/>
          </w:tcPr>
          <w:p w14:paraId="7824E48E" w14:textId="6DE5E469" w:rsidR="00AE7841" w:rsidRPr="00F7105A" w:rsidRDefault="00544B16" w:rsidP="0055051E">
            <w:pPr>
              <w:pStyle w:val="Heading5"/>
            </w:pPr>
            <w:r w:rsidRPr="00F7105A">
              <w:t>a</w:t>
            </w:r>
            <w:r w:rsidR="00AE7841" w:rsidRPr="00F7105A">
              <w:t xml:space="preserve">.  </w:t>
            </w:r>
            <w:r w:rsidR="00DF7D94" w:rsidRPr="00F7105A">
              <w:t xml:space="preserve">Definition:  </w:t>
            </w:r>
            <w:r w:rsidR="00AE7841" w:rsidRPr="00F7105A">
              <w:t>Substitution in Case of Death of Claimant</w:t>
            </w:r>
          </w:p>
        </w:tc>
        <w:tc>
          <w:tcPr>
            <w:tcW w:w="7740" w:type="dxa"/>
          </w:tcPr>
          <w:p w14:paraId="7824E48F" w14:textId="77777777" w:rsidR="00AE7841" w:rsidRPr="00F7105A" w:rsidRDefault="00AE7841" w:rsidP="00950382">
            <w:r w:rsidRPr="00F7105A">
              <w:rPr>
                <w:b/>
                <w:i/>
              </w:rPr>
              <w:t xml:space="preserve">Substitution </w:t>
            </w:r>
            <w:r w:rsidRPr="00F7105A">
              <w:t xml:space="preserve">is the right of a living person to submit additional evidence in support of the deceased claimant’s pending claim or appeal of decision.  </w:t>
            </w:r>
          </w:p>
          <w:p w14:paraId="7824E490" w14:textId="77777777" w:rsidR="00AE7841" w:rsidRPr="00F7105A" w:rsidRDefault="00AE7841" w:rsidP="00950382"/>
          <w:p w14:paraId="3F18A933" w14:textId="2F4B0A0D" w:rsidR="007A2CC5" w:rsidRPr="00F7105A" w:rsidRDefault="00AE7841" w:rsidP="00950382">
            <w:pPr>
              <w:ind w:left="158" w:hanging="187"/>
            </w:pPr>
            <w:r w:rsidRPr="00F7105A">
              <w:rPr>
                <w:b/>
                <w:i/>
              </w:rPr>
              <w:t>Note</w:t>
            </w:r>
            <w:r w:rsidR="0070096B" w:rsidRPr="00F7105A">
              <w:rPr>
                <w:b/>
                <w:i/>
              </w:rPr>
              <w:t>s</w:t>
            </w:r>
            <w:r w:rsidRPr="00F7105A">
              <w:t xml:space="preserve">:  </w:t>
            </w:r>
          </w:p>
          <w:p w14:paraId="53765267" w14:textId="60F2DC7E" w:rsidR="007A2CC5" w:rsidRPr="00F7105A" w:rsidRDefault="007A2CC5" w:rsidP="0055051E">
            <w:pPr>
              <w:pStyle w:val="ListParagraph"/>
              <w:numPr>
                <w:ilvl w:val="0"/>
                <w:numId w:val="56"/>
              </w:numPr>
              <w:ind w:left="158" w:hanging="187"/>
            </w:pPr>
            <w:r w:rsidRPr="00F7105A">
              <w:t>The monetary benefit sought in the request for substitution is accrued benefits</w:t>
            </w:r>
            <w:r w:rsidR="00093149" w:rsidRPr="00F7105A">
              <w:t>.</w:t>
            </w:r>
          </w:p>
          <w:p w14:paraId="7824E491" w14:textId="301FEA90" w:rsidR="00AE7841" w:rsidRPr="00F7105A" w:rsidRDefault="00AE7841" w:rsidP="0055051E">
            <w:pPr>
              <w:pStyle w:val="ListParagraph"/>
              <w:numPr>
                <w:ilvl w:val="0"/>
                <w:numId w:val="57"/>
              </w:numPr>
              <w:ind w:left="158" w:hanging="187"/>
            </w:pPr>
            <w:r w:rsidRPr="00F7105A">
              <w:t xml:space="preserve">Substitution applies to the same benefits for which accrued benefits are payable, i.e., periodic monetary benefits (other than insurance and Servicemember’s indemnity) such as compensation, pension, DIC, and Chapter 18 benefits.  </w:t>
            </w:r>
          </w:p>
          <w:p w14:paraId="6DC1CE6A" w14:textId="77777777" w:rsidR="007A2CC5" w:rsidRPr="00F7105A" w:rsidRDefault="007A2CC5" w:rsidP="00950382"/>
          <w:p w14:paraId="01E24FC0" w14:textId="225BB085" w:rsidR="00757BB1" w:rsidRPr="00F7105A" w:rsidRDefault="00AE7841" w:rsidP="00950382">
            <w:r w:rsidRPr="00F7105A">
              <w:rPr>
                <w:b/>
                <w:i/>
              </w:rPr>
              <w:t>Reference</w:t>
            </w:r>
            <w:r w:rsidR="00757BB1" w:rsidRPr="00F7105A">
              <w:rPr>
                <w:b/>
                <w:i/>
              </w:rPr>
              <w:t>s</w:t>
            </w:r>
            <w:r w:rsidRPr="00F7105A">
              <w:t xml:space="preserve">: </w:t>
            </w:r>
          </w:p>
          <w:p w14:paraId="7824E493" w14:textId="621A3477" w:rsidR="00AE7841" w:rsidRPr="00F7105A" w:rsidRDefault="00AE7841" w:rsidP="0055051E">
            <w:pPr>
              <w:pStyle w:val="ListParagraph"/>
              <w:numPr>
                <w:ilvl w:val="0"/>
                <w:numId w:val="59"/>
              </w:numPr>
              <w:ind w:left="158" w:hanging="187"/>
            </w:pPr>
            <w:r w:rsidRPr="00F7105A">
              <w:t xml:space="preserve">For more information on entitlement to substitution, see </w:t>
            </w:r>
          </w:p>
          <w:p w14:paraId="7824E494" w14:textId="77777777" w:rsidR="00AE7841" w:rsidRPr="00F7105A" w:rsidRDefault="00732E44" w:rsidP="0055051E">
            <w:pPr>
              <w:pStyle w:val="ListParagraph"/>
              <w:numPr>
                <w:ilvl w:val="0"/>
                <w:numId w:val="61"/>
              </w:numPr>
              <w:ind w:left="346" w:hanging="187"/>
              <w:rPr>
                <w:b/>
              </w:rPr>
            </w:pPr>
            <w:hyperlink r:id="rId10" w:history="1">
              <w:r w:rsidR="00AE7841" w:rsidRPr="00F7105A">
                <w:rPr>
                  <w:rStyle w:val="Hyperlink"/>
                </w:rPr>
                <w:t>38 U.S.C. 5121A</w:t>
              </w:r>
            </w:hyperlink>
            <w:r w:rsidR="00AE7841" w:rsidRPr="00F7105A">
              <w:t>, and</w:t>
            </w:r>
          </w:p>
          <w:p w14:paraId="3FE60679" w14:textId="77777777" w:rsidR="00757BB1" w:rsidRPr="00F7105A" w:rsidRDefault="00732E44" w:rsidP="0055051E">
            <w:pPr>
              <w:pStyle w:val="ListParagraph"/>
              <w:numPr>
                <w:ilvl w:val="0"/>
                <w:numId w:val="61"/>
              </w:numPr>
              <w:ind w:left="346" w:hanging="187"/>
              <w:rPr>
                <w:b/>
              </w:rPr>
            </w:pPr>
            <w:hyperlink r:id="rId11" w:history="1">
              <w:r w:rsidR="00AE7841" w:rsidRPr="00F7105A">
                <w:rPr>
                  <w:rStyle w:val="Hyperlink"/>
                </w:rPr>
                <w:t>38 CFR 3.1010</w:t>
              </w:r>
            </w:hyperlink>
            <w:r w:rsidR="00757BB1" w:rsidRPr="00F7105A">
              <w:t>.</w:t>
            </w:r>
          </w:p>
          <w:p w14:paraId="7824E495" w14:textId="27788F99" w:rsidR="00AE7841" w:rsidRPr="00F7105A" w:rsidRDefault="00757BB1" w:rsidP="0055051E">
            <w:pPr>
              <w:pStyle w:val="ListParagraph"/>
              <w:numPr>
                <w:ilvl w:val="0"/>
                <w:numId w:val="60"/>
              </w:numPr>
              <w:ind w:left="158" w:hanging="187"/>
              <w:rPr>
                <w:b/>
              </w:rPr>
            </w:pPr>
            <w:r w:rsidRPr="00F7105A">
              <w:t>For more information on pending claims and appeals, see M21-1</w:t>
            </w:r>
            <w:r w:rsidR="000617D9" w:rsidRPr="00F7105A">
              <w:t>, Part VIII, 1.</w:t>
            </w:r>
            <w:r w:rsidR="0021624C" w:rsidRPr="00F7105A">
              <w:t>2.</w:t>
            </w:r>
          </w:p>
        </w:tc>
      </w:tr>
    </w:tbl>
    <w:p w14:paraId="7824E497" w14:textId="76933961" w:rsidR="00AE7841" w:rsidRPr="00F7105A" w:rsidRDefault="00AE7841" w:rsidP="00AE7841">
      <w:pPr>
        <w:pStyle w:val="BlockLine"/>
      </w:pPr>
    </w:p>
    <w:tbl>
      <w:tblPr>
        <w:tblW w:w="0" w:type="auto"/>
        <w:tblLayout w:type="fixed"/>
        <w:tblLook w:val="04A0" w:firstRow="1" w:lastRow="0" w:firstColumn="1" w:lastColumn="0" w:noHBand="0" w:noVBand="1"/>
      </w:tblPr>
      <w:tblGrid>
        <w:gridCol w:w="1728"/>
        <w:gridCol w:w="7740"/>
      </w:tblGrid>
      <w:tr w:rsidR="00AE7841" w:rsidRPr="00F7105A" w14:paraId="7824E49A" w14:textId="77777777" w:rsidTr="00950382">
        <w:trPr>
          <w:cantSplit/>
        </w:trPr>
        <w:tc>
          <w:tcPr>
            <w:tcW w:w="1728" w:type="dxa"/>
            <w:hideMark/>
          </w:tcPr>
          <w:p w14:paraId="7824E498" w14:textId="5729B95F" w:rsidR="00AE7841" w:rsidRPr="00F7105A" w:rsidRDefault="00544B16" w:rsidP="00950382">
            <w:pPr>
              <w:pStyle w:val="Heading5"/>
              <w:numPr>
                <w:ilvl w:val="12"/>
                <w:numId w:val="0"/>
              </w:numPr>
            </w:pPr>
            <w:r w:rsidRPr="00F7105A">
              <w:t>b</w:t>
            </w:r>
            <w:r w:rsidR="00AE7841" w:rsidRPr="00F7105A">
              <w:t xml:space="preserve">.  Definition:  Original </w:t>
            </w:r>
            <w:r w:rsidR="0021624C" w:rsidRPr="00F7105A">
              <w:t>C</w:t>
            </w:r>
            <w:r w:rsidR="00AE7841" w:rsidRPr="00F7105A">
              <w:t>laimant</w:t>
            </w:r>
          </w:p>
        </w:tc>
        <w:tc>
          <w:tcPr>
            <w:tcW w:w="7740" w:type="dxa"/>
          </w:tcPr>
          <w:p w14:paraId="7824E499" w14:textId="77777777" w:rsidR="00AE7841" w:rsidRPr="00F7105A" w:rsidRDefault="00AE7841" w:rsidP="00950382">
            <w:pPr>
              <w:pStyle w:val="BlockText"/>
            </w:pPr>
            <w:r w:rsidRPr="00F7105A">
              <w:t xml:space="preserve">An </w:t>
            </w:r>
            <w:r w:rsidRPr="00F7105A">
              <w:rPr>
                <w:b/>
                <w:i/>
              </w:rPr>
              <w:t xml:space="preserve">original claimant </w:t>
            </w:r>
            <w:r w:rsidRPr="00F7105A">
              <w:t>is the deceased claimant whose claim or appeal of an adverse decision on the claim was pending when he or she died.</w:t>
            </w:r>
          </w:p>
        </w:tc>
      </w:tr>
    </w:tbl>
    <w:p w14:paraId="7824E4A2" w14:textId="77777777" w:rsidR="00AE7841" w:rsidRPr="00F7105A" w:rsidRDefault="00AE7841" w:rsidP="00AE7841">
      <w:pPr>
        <w:pStyle w:val="ContinuedOnNextPa"/>
      </w:pPr>
    </w:p>
    <w:tbl>
      <w:tblPr>
        <w:tblW w:w="0" w:type="auto"/>
        <w:tblLayout w:type="fixed"/>
        <w:tblLook w:val="04A0" w:firstRow="1" w:lastRow="0" w:firstColumn="1" w:lastColumn="0" w:noHBand="0" w:noVBand="1"/>
      </w:tblPr>
      <w:tblGrid>
        <w:gridCol w:w="1728"/>
        <w:gridCol w:w="7740"/>
      </w:tblGrid>
      <w:tr w:rsidR="00AE7841" w:rsidRPr="00F7105A" w14:paraId="7824E4AC" w14:textId="77777777" w:rsidTr="00950382">
        <w:trPr>
          <w:cantSplit/>
        </w:trPr>
        <w:tc>
          <w:tcPr>
            <w:tcW w:w="1728" w:type="dxa"/>
            <w:hideMark/>
          </w:tcPr>
          <w:p w14:paraId="7824E4A3" w14:textId="76B954B7" w:rsidR="00AE7841" w:rsidRPr="00F7105A" w:rsidRDefault="009451BB" w:rsidP="00950382">
            <w:pPr>
              <w:pStyle w:val="Heading5"/>
              <w:numPr>
                <w:ilvl w:val="12"/>
                <w:numId w:val="0"/>
              </w:numPr>
            </w:pPr>
            <w:r w:rsidRPr="00F7105A">
              <w:lastRenderedPageBreak/>
              <w:t>c</w:t>
            </w:r>
            <w:r w:rsidR="00AE7841" w:rsidRPr="00F7105A">
              <w:t>.  Definition: Substitute Claimant</w:t>
            </w:r>
          </w:p>
        </w:tc>
        <w:tc>
          <w:tcPr>
            <w:tcW w:w="7740" w:type="dxa"/>
          </w:tcPr>
          <w:p w14:paraId="7824E4A4" w14:textId="77777777" w:rsidR="00AE7841" w:rsidRPr="00F7105A" w:rsidRDefault="00AE7841" w:rsidP="00950382">
            <w:pPr>
              <w:ind w:left="187" w:hanging="187"/>
            </w:pPr>
            <w:r w:rsidRPr="00F7105A">
              <w:t xml:space="preserve">A </w:t>
            </w:r>
            <w:r w:rsidRPr="00F7105A">
              <w:rPr>
                <w:b/>
                <w:i/>
              </w:rPr>
              <w:t>substitute claimant</w:t>
            </w:r>
            <w:r w:rsidRPr="00F7105A">
              <w:t xml:space="preserve"> is an individual whom the Department of Veterans </w:t>
            </w:r>
          </w:p>
          <w:p w14:paraId="7824E4A5" w14:textId="77777777" w:rsidR="00AE7841" w:rsidRPr="00F7105A" w:rsidRDefault="00AE7841" w:rsidP="00950382">
            <w:r w:rsidRPr="00F7105A">
              <w:t>Affairs (VA) has recognized to replace the original claimant in a pending claim or pending appeal (i.e., a preferred eligible survivor).</w:t>
            </w:r>
          </w:p>
          <w:p w14:paraId="787FCD5D" w14:textId="77777777" w:rsidR="00655ECF" w:rsidRPr="00F7105A" w:rsidRDefault="00655ECF" w:rsidP="00950382">
            <w:pPr>
              <w:ind w:left="29"/>
            </w:pPr>
          </w:p>
          <w:p w14:paraId="7824E4A7" w14:textId="0F07F3C1" w:rsidR="00AE7841" w:rsidRPr="00F7105A" w:rsidRDefault="00AE7841" w:rsidP="0055051E">
            <w:r w:rsidRPr="00F7105A">
              <w:t xml:space="preserve">Any eligible survivor submitting a claim for accrued benefits </w:t>
            </w:r>
          </w:p>
          <w:p w14:paraId="3F1EDFD9" w14:textId="77777777" w:rsidR="00F13363" w:rsidRPr="00F7105A" w:rsidRDefault="00F13363" w:rsidP="0055051E"/>
          <w:p w14:paraId="7824E4A8" w14:textId="3193D2BA" w:rsidR="00AE7841" w:rsidRPr="00F7105A" w:rsidRDefault="00F13363" w:rsidP="0055051E">
            <w:pPr>
              <w:pStyle w:val="ListParagraph"/>
              <w:numPr>
                <w:ilvl w:val="0"/>
                <w:numId w:val="62"/>
              </w:numPr>
              <w:ind w:left="158" w:hanging="187"/>
            </w:pPr>
            <w:r w:rsidRPr="00F7105A">
              <w:t xml:space="preserve">will </w:t>
            </w:r>
            <w:r w:rsidR="00AE7841" w:rsidRPr="00F7105A">
              <w:t>automatically be considered as requesting to substitute, and</w:t>
            </w:r>
          </w:p>
          <w:p w14:paraId="7824E4A9" w14:textId="77777777" w:rsidR="00AE7841" w:rsidRPr="00F7105A" w:rsidRDefault="00AE7841" w:rsidP="0055051E">
            <w:pPr>
              <w:pStyle w:val="ListParagraph"/>
              <w:numPr>
                <w:ilvl w:val="0"/>
                <w:numId w:val="62"/>
              </w:numPr>
              <w:ind w:left="158" w:hanging="187"/>
            </w:pPr>
            <w:r w:rsidRPr="00F7105A">
              <w:t xml:space="preserve">may be able to submit additional evidence in support of the claim.    </w:t>
            </w:r>
          </w:p>
          <w:p w14:paraId="59F66025" w14:textId="77777777" w:rsidR="00655ECF" w:rsidRPr="00F7105A" w:rsidRDefault="00655ECF" w:rsidP="0055051E">
            <w:pPr>
              <w:ind w:left="158" w:hanging="187"/>
              <w:rPr>
                <w:b/>
                <w:i/>
                <w:szCs w:val="20"/>
              </w:rPr>
            </w:pPr>
          </w:p>
          <w:p w14:paraId="7824E4AB" w14:textId="77777777" w:rsidR="00AE7841" w:rsidRPr="00F7105A" w:rsidRDefault="00AE7841" w:rsidP="0055051E">
            <w:pPr>
              <w:pStyle w:val="BulletText1"/>
              <w:numPr>
                <w:ilvl w:val="0"/>
                <w:numId w:val="0"/>
              </w:numPr>
            </w:pPr>
            <w:r w:rsidRPr="00F7105A">
              <w:rPr>
                <w:b/>
                <w:i/>
              </w:rPr>
              <w:t>Reference</w:t>
            </w:r>
            <w:r w:rsidRPr="00F7105A">
              <w:t>:  For more information on who is eligible to be a substitute claimant, see M21-1, VIII.1.2.A.</w:t>
            </w:r>
          </w:p>
        </w:tc>
      </w:tr>
    </w:tbl>
    <w:p w14:paraId="7824E4AD" w14:textId="77777777" w:rsidR="00AE7841" w:rsidRPr="00F7105A" w:rsidRDefault="00AE7841" w:rsidP="00AE7841">
      <w:pPr>
        <w:pStyle w:val="BlockLine"/>
      </w:pPr>
    </w:p>
    <w:tbl>
      <w:tblPr>
        <w:tblW w:w="0" w:type="auto"/>
        <w:tblLayout w:type="fixed"/>
        <w:tblLook w:val="04A0" w:firstRow="1" w:lastRow="0" w:firstColumn="1" w:lastColumn="0" w:noHBand="0" w:noVBand="1"/>
      </w:tblPr>
      <w:tblGrid>
        <w:gridCol w:w="1728"/>
        <w:gridCol w:w="7740"/>
      </w:tblGrid>
      <w:tr w:rsidR="00AE7841" w:rsidRPr="00F7105A" w14:paraId="7824E4B4" w14:textId="77777777" w:rsidTr="00950382">
        <w:trPr>
          <w:cantSplit/>
        </w:trPr>
        <w:tc>
          <w:tcPr>
            <w:tcW w:w="1728" w:type="dxa"/>
            <w:hideMark/>
          </w:tcPr>
          <w:p w14:paraId="7824E4AE" w14:textId="3EF3DD34" w:rsidR="00AE7841" w:rsidRPr="00F7105A" w:rsidRDefault="009451BB" w:rsidP="00950382">
            <w:pPr>
              <w:pStyle w:val="Heading5"/>
              <w:numPr>
                <w:ilvl w:val="12"/>
                <w:numId w:val="0"/>
              </w:numPr>
            </w:pPr>
            <w:r w:rsidRPr="00F7105A">
              <w:t>d</w:t>
            </w:r>
            <w:r w:rsidR="00AE7841" w:rsidRPr="00F7105A">
              <w:t>.  Definition:  Joint Class</w:t>
            </w:r>
          </w:p>
        </w:tc>
        <w:tc>
          <w:tcPr>
            <w:tcW w:w="7740" w:type="dxa"/>
          </w:tcPr>
          <w:p w14:paraId="7824E4AF" w14:textId="77777777" w:rsidR="00AE7841" w:rsidRPr="00F7105A" w:rsidRDefault="00AE7841" w:rsidP="00950382">
            <w:pPr>
              <w:pStyle w:val="BlockText"/>
            </w:pPr>
            <w:r w:rsidRPr="00F7105A">
              <w:rPr>
                <w:b/>
                <w:i/>
              </w:rPr>
              <w:t>Joint Class</w:t>
            </w:r>
            <w:r w:rsidRPr="00F7105A">
              <w:t xml:space="preserve"> is a group of two or more individuals in which each individual is an eligible substitute of the same preference such as</w:t>
            </w:r>
          </w:p>
          <w:p w14:paraId="7824E4B0" w14:textId="77777777" w:rsidR="00AE7841" w:rsidRPr="00F7105A" w:rsidRDefault="00AE7841" w:rsidP="00950382">
            <w:pPr>
              <w:pStyle w:val="BlockText"/>
            </w:pPr>
          </w:p>
          <w:p w14:paraId="7824E4B1" w14:textId="77777777" w:rsidR="00AE7841" w:rsidRPr="00F7105A" w:rsidRDefault="00AE7841" w:rsidP="0055051E">
            <w:pPr>
              <w:pStyle w:val="ListParagraph"/>
              <w:numPr>
                <w:ilvl w:val="0"/>
                <w:numId w:val="63"/>
              </w:numPr>
              <w:ind w:left="158" w:hanging="187"/>
            </w:pPr>
            <w:r w:rsidRPr="00F7105A">
              <w:t>two or more surviving children</w:t>
            </w:r>
          </w:p>
          <w:p w14:paraId="7824E4B2" w14:textId="77777777" w:rsidR="00AE7841" w:rsidRPr="00F7105A" w:rsidRDefault="00AE7841" w:rsidP="0055051E">
            <w:pPr>
              <w:pStyle w:val="ListParagraph"/>
              <w:numPr>
                <w:ilvl w:val="0"/>
                <w:numId w:val="63"/>
              </w:numPr>
              <w:ind w:left="158" w:hanging="187"/>
            </w:pPr>
            <w:r w:rsidRPr="00F7105A">
              <w:t xml:space="preserve">two surviving parents, or </w:t>
            </w:r>
          </w:p>
          <w:p w14:paraId="7824E4B3" w14:textId="77777777" w:rsidR="00AE7841" w:rsidRPr="00F7105A" w:rsidRDefault="00AE7841" w:rsidP="0055051E">
            <w:pPr>
              <w:pStyle w:val="ListParagraph"/>
              <w:numPr>
                <w:ilvl w:val="0"/>
                <w:numId w:val="63"/>
              </w:numPr>
              <w:ind w:left="158" w:hanging="187"/>
            </w:pPr>
            <w:r w:rsidRPr="00F7105A">
              <w:t>two or more persons who bore the expense of last sickness or burial.</w:t>
            </w:r>
          </w:p>
        </w:tc>
      </w:tr>
    </w:tbl>
    <w:p w14:paraId="7824E4B5" w14:textId="77777777" w:rsidR="00AE7841" w:rsidRPr="00F7105A" w:rsidRDefault="00AE7841" w:rsidP="00AE7841">
      <w:pPr>
        <w:pStyle w:val="BlockLine"/>
      </w:pPr>
    </w:p>
    <w:tbl>
      <w:tblPr>
        <w:tblW w:w="0" w:type="auto"/>
        <w:tblLayout w:type="fixed"/>
        <w:tblLook w:val="04A0" w:firstRow="1" w:lastRow="0" w:firstColumn="1" w:lastColumn="0" w:noHBand="0" w:noVBand="1"/>
      </w:tblPr>
      <w:tblGrid>
        <w:gridCol w:w="1728"/>
        <w:gridCol w:w="7740"/>
      </w:tblGrid>
      <w:tr w:rsidR="00AE7841" w:rsidRPr="00F7105A" w14:paraId="7824E4BA" w14:textId="77777777" w:rsidTr="00950382">
        <w:trPr>
          <w:cantSplit/>
        </w:trPr>
        <w:tc>
          <w:tcPr>
            <w:tcW w:w="1728" w:type="dxa"/>
            <w:hideMark/>
          </w:tcPr>
          <w:p w14:paraId="7824E4B6" w14:textId="5CFB8173" w:rsidR="00AE7841" w:rsidRPr="00F7105A" w:rsidRDefault="009451BB" w:rsidP="000F2907">
            <w:pPr>
              <w:pStyle w:val="Heading5"/>
              <w:numPr>
                <w:ilvl w:val="12"/>
                <w:numId w:val="0"/>
              </w:numPr>
            </w:pPr>
            <w:r w:rsidRPr="00F7105A">
              <w:t>e</w:t>
            </w:r>
            <w:r w:rsidR="00AE7841" w:rsidRPr="00F7105A">
              <w:t xml:space="preserve">.  Right to Waive  Substitution </w:t>
            </w:r>
          </w:p>
        </w:tc>
        <w:tc>
          <w:tcPr>
            <w:tcW w:w="7740" w:type="dxa"/>
          </w:tcPr>
          <w:p w14:paraId="7824E4B9" w14:textId="26B66CE5" w:rsidR="00AE7841" w:rsidRPr="00F7105A" w:rsidRDefault="00AE7841" w:rsidP="00950382">
            <w:pPr>
              <w:pStyle w:val="BlockText"/>
            </w:pPr>
            <w:r w:rsidRPr="00F7105A">
              <w:t xml:space="preserve">A claimant may waive, </w:t>
            </w:r>
            <w:r w:rsidRPr="00F7105A">
              <w:rPr>
                <w:i/>
              </w:rPr>
              <w:t>in writing</w:t>
            </w:r>
            <w:r w:rsidRPr="00F7105A">
              <w:t>, the right to substitute</w:t>
            </w:r>
            <w:r w:rsidR="00F101A7" w:rsidRPr="00F7105A">
              <w:t>.  In those instances,</w:t>
            </w:r>
            <w:r w:rsidRPr="00F7105A">
              <w:t xml:space="preserve"> the</w:t>
            </w:r>
            <w:r w:rsidR="00F101A7" w:rsidRPr="00F7105A">
              <w:t xml:space="preserve"> accrued</w:t>
            </w:r>
            <w:r w:rsidRPr="00F7105A">
              <w:t xml:space="preserve"> claim is processed solely based on evidence in the claims folder at the time of the original claimant’s death. </w:t>
            </w:r>
            <w:r w:rsidR="00231534" w:rsidRPr="00F7105A">
              <w:t xml:space="preserve"> </w:t>
            </w:r>
          </w:p>
        </w:tc>
      </w:tr>
    </w:tbl>
    <w:p w14:paraId="7824E4BB" w14:textId="3795FCC3" w:rsidR="00AE7841" w:rsidRPr="00F7105A" w:rsidRDefault="0021624C" w:rsidP="0021624C">
      <w:pPr>
        <w:pStyle w:val="Heading4"/>
        <w:tabs>
          <w:tab w:val="left" w:pos="9360"/>
        </w:tabs>
        <w:ind w:left="1714"/>
        <w:rPr>
          <w:rFonts w:ascii="Times New Roman" w:hAnsi="Times New Roman"/>
          <w:b w:val="0"/>
          <w:sz w:val="24"/>
          <w:szCs w:val="24"/>
        </w:rPr>
      </w:pPr>
      <w:r w:rsidRPr="00F7105A">
        <w:rPr>
          <w:rFonts w:ascii="Times New Roman" w:hAnsi="Times New Roman"/>
          <w:b w:val="0"/>
          <w:sz w:val="24"/>
          <w:szCs w:val="24"/>
          <w:u w:val="single"/>
        </w:rPr>
        <w:tab/>
      </w:r>
    </w:p>
    <w:p w14:paraId="100E9A30" w14:textId="1B3DD2A5" w:rsidR="0021624C" w:rsidRPr="00F7105A" w:rsidRDefault="0021624C" w:rsidP="0021624C"/>
    <w:p w14:paraId="2DC6C80D" w14:textId="77777777" w:rsidR="0021624C" w:rsidRPr="00F7105A" w:rsidRDefault="0021624C" w:rsidP="0055051E"/>
    <w:p w14:paraId="7824E4C5" w14:textId="5A1E0D93" w:rsidR="00AE7841" w:rsidRPr="00F7105A" w:rsidRDefault="00AE7841" w:rsidP="00AE7841">
      <w:pPr>
        <w:pStyle w:val="Heading4"/>
      </w:pPr>
    </w:p>
    <w:p w14:paraId="7824E4C6" w14:textId="77777777" w:rsidR="00A473C5" w:rsidRPr="00F7105A" w:rsidRDefault="00A473C5"/>
    <w:p w14:paraId="7824E4C7" w14:textId="3B1EAF18" w:rsidR="00AA0EA4" w:rsidRPr="00F7105A" w:rsidRDefault="00A473C5" w:rsidP="0055051E">
      <w:pPr>
        <w:numPr>
          <w:ilvl w:val="12"/>
          <w:numId w:val="0"/>
        </w:numPr>
        <w:spacing w:after="240"/>
        <w:outlineLvl w:val="3"/>
      </w:pPr>
      <w:r w:rsidRPr="00F7105A">
        <w:br w:type="page"/>
      </w:r>
    </w:p>
    <w:p w14:paraId="7824E4C8" w14:textId="4DFB9C30" w:rsidR="00A473C5" w:rsidRPr="00F7105A" w:rsidRDefault="00A473C5" w:rsidP="00A473C5">
      <w:pPr>
        <w:numPr>
          <w:ilvl w:val="12"/>
          <w:numId w:val="0"/>
        </w:numPr>
        <w:spacing w:after="240"/>
        <w:outlineLvl w:val="3"/>
        <w:rPr>
          <w:rFonts w:ascii="Arial" w:hAnsi="Arial" w:cs="Arial"/>
          <w:b/>
          <w:sz w:val="32"/>
          <w:szCs w:val="32"/>
        </w:rPr>
      </w:pPr>
      <w:r w:rsidRPr="00F7105A">
        <w:rPr>
          <w:rFonts w:ascii="Arial" w:hAnsi="Arial" w:cs="Arial"/>
          <w:b/>
          <w:sz w:val="32"/>
          <w:szCs w:val="32"/>
        </w:rPr>
        <w:lastRenderedPageBreak/>
        <w:t xml:space="preserve">2.  </w:t>
      </w:r>
      <w:r w:rsidR="00A31030" w:rsidRPr="00F7105A">
        <w:rPr>
          <w:rFonts w:ascii="Arial" w:hAnsi="Arial" w:cs="Arial"/>
          <w:b/>
          <w:sz w:val="32"/>
          <w:szCs w:val="32"/>
        </w:rPr>
        <w:t xml:space="preserve">Eligibility to Request Substitution </w:t>
      </w:r>
    </w:p>
    <w:p w14:paraId="7824E4C9" w14:textId="77777777" w:rsidR="00A473C5" w:rsidRPr="00F7105A" w:rsidRDefault="00A473C5" w:rsidP="00A473C5">
      <w:pPr>
        <w:numPr>
          <w:ilvl w:val="12"/>
          <w:numId w:val="0"/>
        </w:numPr>
        <w:pBdr>
          <w:top w:val="single" w:sz="6" w:space="1" w:color="auto"/>
          <w:between w:val="single" w:sz="6" w:space="1" w:color="auto"/>
        </w:pBdr>
        <w:spacing w:before="240"/>
        <w:ind w:left="1700"/>
        <w:rPr>
          <w:szCs w:val="20"/>
        </w:rPr>
      </w:pPr>
      <w:r w:rsidRPr="00F7105A">
        <w:rPr>
          <w:szCs w:val="20"/>
        </w:rPr>
        <w:fldChar w:fldCharType="begin"/>
      </w:r>
      <w:r w:rsidRPr="00F7105A">
        <w:rPr>
          <w:szCs w:val="20"/>
        </w:rPr>
        <w:instrText xml:space="preserve"> PRIVATE INFOTYPE="OTHER" </w:instrText>
      </w:r>
      <w:r w:rsidRPr="00F7105A">
        <w:rPr>
          <w:szCs w:val="20"/>
        </w:rPr>
        <w:fldChar w:fldCharType="end"/>
      </w:r>
    </w:p>
    <w:tbl>
      <w:tblPr>
        <w:tblW w:w="0" w:type="auto"/>
        <w:tblLayout w:type="fixed"/>
        <w:tblLook w:val="0000" w:firstRow="0" w:lastRow="0" w:firstColumn="0" w:lastColumn="0" w:noHBand="0" w:noVBand="0"/>
      </w:tblPr>
      <w:tblGrid>
        <w:gridCol w:w="1728"/>
        <w:gridCol w:w="7740"/>
      </w:tblGrid>
      <w:tr w:rsidR="00A473C5" w:rsidRPr="00F7105A" w14:paraId="7824E4D5" w14:textId="77777777" w:rsidTr="005E4B48">
        <w:trPr>
          <w:cantSplit/>
        </w:trPr>
        <w:tc>
          <w:tcPr>
            <w:tcW w:w="1728" w:type="dxa"/>
          </w:tcPr>
          <w:p w14:paraId="7824E4CA" w14:textId="77777777" w:rsidR="00A473C5" w:rsidRPr="00F7105A" w:rsidRDefault="00A473C5" w:rsidP="00A473C5">
            <w:pPr>
              <w:numPr>
                <w:ilvl w:val="12"/>
                <w:numId w:val="0"/>
              </w:numPr>
              <w:outlineLvl w:val="4"/>
              <w:rPr>
                <w:b/>
                <w:sz w:val="22"/>
                <w:szCs w:val="20"/>
              </w:rPr>
            </w:pPr>
            <w:r w:rsidRPr="00F7105A">
              <w:rPr>
                <w:b/>
                <w:sz w:val="22"/>
                <w:szCs w:val="20"/>
              </w:rPr>
              <w:t>Introduction</w:t>
            </w:r>
          </w:p>
        </w:tc>
        <w:tc>
          <w:tcPr>
            <w:tcW w:w="7740" w:type="dxa"/>
          </w:tcPr>
          <w:p w14:paraId="35D3A2EC" w14:textId="77777777" w:rsidR="00A473C5" w:rsidRPr="00F7105A" w:rsidRDefault="00A473C5" w:rsidP="00CB3F99">
            <w:pPr>
              <w:numPr>
                <w:ilvl w:val="12"/>
                <w:numId w:val="0"/>
              </w:numPr>
            </w:pPr>
            <w:r w:rsidRPr="00F7105A">
              <w:t xml:space="preserve">This topic contains information on </w:t>
            </w:r>
            <w:r w:rsidR="00794FE1" w:rsidRPr="00F7105A">
              <w:t>eligibility to request substitution, including</w:t>
            </w:r>
          </w:p>
          <w:p w14:paraId="06D051D3" w14:textId="77777777" w:rsidR="00794FE1" w:rsidRPr="00F7105A" w:rsidRDefault="00794FE1" w:rsidP="00CB3F99">
            <w:pPr>
              <w:numPr>
                <w:ilvl w:val="12"/>
                <w:numId w:val="0"/>
              </w:numPr>
            </w:pPr>
          </w:p>
          <w:p w14:paraId="14B7C7C7" w14:textId="77777777" w:rsidR="00794FE1" w:rsidRPr="00F7105A" w:rsidRDefault="00794FE1" w:rsidP="0055051E">
            <w:pPr>
              <w:pStyle w:val="ListParagraph"/>
              <w:numPr>
                <w:ilvl w:val="0"/>
                <w:numId w:val="107"/>
              </w:numPr>
              <w:ind w:left="158" w:hanging="187"/>
            </w:pPr>
            <w:r w:rsidRPr="00F7105A">
              <w:t>eligibility to substitute</w:t>
            </w:r>
          </w:p>
          <w:p w14:paraId="5BAAD35F" w14:textId="48A3CAD5" w:rsidR="00794FE1" w:rsidRPr="00F7105A" w:rsidRDefault="00794FE1" w:rsidP="0055051E">
            <w:pPr>
              <w:pStyle w:val="ListParagraph"/>
              <w:numPr>
                <w:ilvl w:val="0"/>
                <w:numId w:val="107"/>
              </w:numPr>
              <w:ind w:left="158" w:hanging="187"/>
            </w:pPr>
            <w:r w:rsidRPr="00F7105A">
              <w:t xml:space="preserve">definition of </w:t>
            </w:r>
            <w:r w:rsidR="00DF7D94" w:rsidRPr="00F7105A">
              <w:t>categories of eligible persons</w:t>
            </w:r>
          </w:p>
          <w:p w14:paraId="19B92836" w14:textId="77777777" w:rsidR="00794FE1" w:rsidRPr="00F7105A" w:rsidRDefault="00794FE1" w:rsidP="0055051E">
            <w:pPr>
              <w:pStyle w:val="ListParagraph"/>
              <w:numPr>
                <w:ilvl w:val="0"/>
                <w:numId w:val="107"/>
              </w:numPr>
              <w:ind w:left="158" w:hanging="187"/>
            </w:pPr>
            <w:r w:rsidRPr="00F7105A">
              <w:t>substitution by subordinate members prohibited</w:t>
            </w:r>
          </w:p>
          <w:p w14:paraId="01A86B19" w14:textId="22D1E67F" w:rsidR="00794FE1" w:rsidRPr="00F7105A" w:rsidRDefault="00794FE1" w:rsidP="0055051E">
            <w:pPr>
              <w:pStyle w:val="ListParagraph"/>
              <w:numPr>
                <w:ilvl w:val="0"/>
                <w:numId w:val="107"/>
              </w:numPr>
              <w:ind w:left="158" w:hanging="187"/>
            </w:pPr>
            <w:r w:rsidRPr="00F7105A">
              <w:t>death of a substitute claimant</w:t>
            </w:r>
          </w:p>
          <w:p w14:paraId="39961C86" w14:textId="77777777" w:rsidR="000F2907" w:rsidRPr="00F7105A" w:rsidRDefault="00794FE1" w:rsidP="000F2907">
            <w:pPr>
              <w:pStyle w:val="ListParagraph"/>
              <w:numPr>
                <w:ilvl w:val="0"/>
                <w:numId w:val="107"/>
              </w:numPr>
              <w:ind w:left="158" w:hanging="187"/>
            </w:pPr>
            <w:r w:rsidRPr="00F7105A">
              <w:t>evidence requirements</w:t>
            </w:r>
            <w:r w:rsidR="000F2907" w:rsidRPr="00F7105A">
              <w:t>, and</w:t>
            </w:r>
          </w:p>
          <w:p w14:paraId="7824E4D4" w14:textId="4310B5BD" w:rsidR="00794FE1" w:rsidRPr="00F7105A" w:rsidRDefault="000F2907" w:rsidP="000F2907">
            <w:pPr>
              <w:pStyle w:val="ListParagraph"/>
              <w:numPr>
                <w:ilvl w:val="0"/>
                <w:numId w:val="107"/>
              </w:numPr>
              <w:ind w:left="158" w:hanging="187"/>
            </w:pPr>
            <w:r w:rsidRPr="00F7105A">
              <w:t>the right to appeal the denial of a request to substitute</w:t>
            </w:r>
            <w:r w:rsidR="00794FE1" w:rsidRPr="00F7105A">
              <w:t>.</w:t>
            </w:r>
          </w:p>
        </w:tc>
      </w:tr>
    </w:tbl>
    <w:p w14:paraId="7824E4D6" w14:textId="6214DBD2" w:rsidR="00A473C5" w:rsidRPr="00F7105A" w:rsidRDefault="00A473C5" w:rsidP="00A473C5">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A473C5" w:rsidRPr="00F7105A" w14:paraId="7824E4D9" w14:textId="77777777" w:rsidTr="005E4B48">
        <w:trPr>
          <w:cantSplit/>
        </w:trPr>
        <w:tc>
          <w:tcPr>
            <w:tcW w:w="1728" w:type="dxa"/>
          </w:tcPr>
          <w:p w14:paraId="7824E4D7" w14:textId="77777777" w:rsidR="00A473C5" w:rsidRPr="00F7105A" w:rsidRDefault="00A473C5" w:rsidP="00A473C5">
            <w:pPr>
              <w:outlineLvl w:val="4"/>
              <w:rPr>
                <w:b/>
                <w:sz w:val="22"/>
                <w:szCs w:val="20"/>
              </w:rPr>
            </w:pPr>
            <w:r w:rsidRPr="00F7105A">
              <w:rPr>
                <w:b/>
                <w:sz w:val="22"/>
                <w:szCs w:val="20"/>
              </w:rPr>
              <w:t>Change Date</w:t>
            </w:r>
          </w:p>
        </w:tc>
        <w:tc>
          <w:tcPr>
            <w:tcW w:w="7740" w:type="dxa"/>
          </w:tcPr>
          <w:p w14:paraId="7824E4D8" w14:textId="7C5B2BEA" w:rsidR="00A473C5" w:rsidRPr="00F7105A" w:rsidRDefault="000F499A" w:rsidP="00A473C5">
            <w:r w:rsidRPr="00F7105A">
              <w:t>July 28, 2015</w:t>
            </w:r>
          </w:p>
        </w:tc>
      </w:tr>
    </w:tbl>
    <w:p w14:paraId="7824E4DA" w14:textId="77777777" w:rsidR="00A473C5" w:rsidRPr="00F7105A" w:rsidRDefault="00A473C5" w:rsidP="00A473C5">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A473C5" w:rsidRPr="00F7105A" w14:paraId="7824E4E1" w14:textId="77777777" w:rsidTr="005E4B48">
        <w:trPr>
          <w:cantSplit/>
        </w:trPr>
        <w:tc>
          <w:tcPr>
            <w:tcW w:w="1728" w:type="dxa"/>
          </w:tcPr>
          <w:p w14:paraId="7824E4DB" w14:textId="68E20CE8" w:rsidR="00A473C5" w:rsidRPr="00F7105A" w:rsidRDefault="00794FE1" w:rsidP="00E44146">
            <w:pPr>
              <w:numPr>
                <w:ilvl w:val="12"/>
                <w:numId w:val="0"/>
              </w:numPr>
              <w:outlineLvl w:val="4"/>
              <w:rPr>
                <w:b/>
                <w:sz w:val="22"/>
                <w:szCs w:val="20"/>
              </w:rPr>
            </w:pPr>
            <w:r w:rsidRPr="00F7105A">
              <w:rPr>
                <w:b/>
                <w:sz w:val="22"/>
                <w:szCs w:val="20"/>
              </w:rPr>
              <w:t>a</w:t>
            </w:r>
            <w:r w:rsidR="00A473C5" w:rsidRPr="00F7105A">
              <w:rPr>
                <w:b/>
                <w:sz w:val="22"/>
                <w:szCs w:val="20"/>
              </w:rPr>
              <w:t xml:space="preserve">.  </w:t>
            </w:r>
            <w:r w:rsidR="00E44146" w:rsidRPr="00F7105A">
              <w:rPr>
                <w:b/>
                <w:sz w:val="22"/>
                <w:szCs w:val="20"/>
              </w:rPr>
              <w:t>Eligibility to Substitute</w:t>
            </w:r>
          </w:p>
        </w:tc>
        <w:tc>
          <w:tcPr>
            <w:tcW w:w="7740" w:type="dxa"/>
          </w:tcPr>
          <w:p w14:paraId="34F60EBE" w14:textId="431613F8" w:rsidR="00DF7D94" w:rsidRPr="00F7105A" w:rsidRDefault="00093149" w:rsidP="0055051E">
            <w:pPr>
              <w:numPr>
                <w:ilvl w:val="12"/>
                <w:numId w:val="0"/>
              </w:numPr>
            </w:pPr>
            <w:r w:rsidRPr="00F7105A">
              <w:t xml:space="preserve">A person filing a request to substitute must provide evidence of eligibility to substitute.  Evidence of eligibility means </w:t>
            </w:r>
            <w:r w:rsidR="00DF7D94" w:rsidRPr="00F7105A">
              <w:t>e</w:t>
            </w:r>
            <w:r w:rsidRPr="00F7105A">
              <w:t xml:space="preserve">vidence demonstrating the person is </w:t>
            </w:r>
          </w:p>
          <w:p w14:paraId="523F0906" w14:textId="77777777" w:rsidR="00DF7D94" w:rsidRPr="00F7105A" w:rsidRDefault="00DF7D94" w:rsidP="0055051E">
            <w:pPr>
              <w:numPr>
                <w:ilvl w:val="12"/>
                <w:numId w:val="0"/>
              </w:numPr>
            </w:pPr>
          </w:p>
          <w:p w14:paraId="2BAF9F8A" w14:textId="46464DB9" w:rsidR="00DF7D94" w:rsidRPr="00F7105A" w:rsidRDefault="00093149" w:rsidP="0055051E">
            <w:pPr>
              <w:pStyle w:val="ListParagraph"/>
              <w:numPr>
                <w:ilvl w:val="0"/>
                <w:numId w:val="126"/>
              </w:numPr>
              <w:ind w:left="162" w:hanging="180"/>
            </w:pPr>
            <w:r w:rsidRPr="00F7105A">
              <w:t xml:space="preserve">among </w:t>
            </w:r>
            <w:r w:rsidR="00DF7D94" w:rsidRPr="00F7105A">
              <w:t>the categories of eligible persons, and</w:t>
            </w:r>
          </w:p>
          <w:p w14:paraId="47969DFB" w14:textId="3AE0C13D" w:rsidR="00DF7D94" w:rsidRPr="00F7105A" w:rsidRDefault="00DF7D94" w:rsidP="0055051E">
            <w:pPr>
              <w:pStyle w:val="ListParagraph"/>
              <w:numPr>
                <w:ilvl w:val="0"/>
                <w:numId w:val="126"/>
              </w:numPr>
              <w:ind w:left="162" w:hanging="180"/>
            </w:pPr>
            <w:r w:rsidRPr="00F7105A">
              <w:t>first in priority order.</w:t>
            </w:r>
          </w:p>
          <w:p w14:paraId="7824E4DD" w14:textId="77777777" w:rsidR="00A473C5" w:rsidRPr="00F7105A" w:rsidRDefault="00A473C5" w:rsidP="0055051E">
            <w:pPr>
              <w:pStyle w:val="ListParagraph"/>
              <w:ind w:left="162"/>
            </w:pPr>
          </w:p>
          <w:p w14:paraId="3B8AB811" w14:textId="3F7C58CB" w:rsidR="00093149" w:rsidRPr="00F7105A" w:rsidRDefault="00A473C5" w:rsidP="00CB79ED">
            <w:pPr>
              <w:numPr>
                <w:ilvl w:val="12"/>
                <w:numId w:val="0"/>
              </w:numPr>
            </w:pPr>
            <w:r w:rsidRPr="00F7105A">
              <w:rPr>
                <w:b/>
                <w:i/>
              </w:rPr>
              <w:t>References</w:t>
            </w:r>
            <w:r w:rsidRPr="00F7105A">
              <w:t>:  For more information on</w:t>
            </w:r>
            <w:r w:rsidR="00231534" w:rsidRPr="00F7105A">
              <w:t xml:space="preserve"> </w:t>
            </w:r>
            <w:r w:rsidRPr="00F7105A">
              <w:t xml:space="preserve">the </w:t>
            </w:r>
            <w:r w:rsidR="0055051E" w:rsidRPr="00F7105A">
              <w:t>categories of eligible persons</w:t>
            </w:r>
            <w:r w:rsidR="00E44146" w:rsidRPr="00F7105A">
              <w:t xml:space="preserve"> in requests for substitution</w:t>
            </w:r>
            <w:r w:rsidRPr="00F7105A">
              <w:t>, see</w:t>
            </w:r>
            <w:r w:rsidR="00E44146" w:rsidRPr="00F7105A">
              <w:t xml:space="preserve"> </w:t>
            </w:r>
          </w:p>
          <w:p w14:paraId="7824E4DF" w14:textId="34DFEA2C" w:rsidR="00A473C5" w:rsidRPr="00F7105A" w:rsidRDefault="00732E44" w:rsidP="0055051E">
            <w:pPr>
              <w:pStyle w:val="ListParagraph"/>
              <w:numPr>
                <w:ilvl w:val="0"/>
                <w:numId w:val="127"/>
              </w:numPr>
              <w:ind w:left="342" w:hanging="180"/>
            </w:pPr>
            <w:hyperlink r:id="rId12" w:history="1">
              <w:r w:rsidR="00E44146" w:rsidRPr="00F7105A">
                <w:rPr>
                  <w:rStyle w:val="Hyperlink"/>
                </w:rPr>
                <w:t>38 CFR 3.1010(d)(1)</w:t>
              </w:r>
            </w:hyperlink>
            <w:r w:rsidR="00DF7D94" w:rsidRPr="00F7105A">
              <w:t>,</w:t>
            </w:r>
            <w:r w:rsidR="00A473C5" w:rsidRPr="00F7105A">
              <w:t xml:space="preserve"> and</w:t>
            </w:r>
          </w:p>
          <w:p w14:paraId="7824E4E0" w14:textId="2F35E55A" w:rsidR="00A473C5" w:rsidRPr="00F7105A" w:rsidRDefault="00DF7D94" w:rsidP="00CB79ED">
            <w:pPr>
              <w:pStyle w:val="ListParagraph"/>
              <w:numPr>
                <w:ilvl w:val="0"/>
                <w:numId w:val="147"/>
              </w:numPr>
              <w:ind w:left="342" w:hanging="180"/>
              <w:rPr>
                <w:szCs w:val="20"/>
              </w:rPr>
            </w:pPr>
            <w:r w:rsidRPr="00F7105A">
              <w:t>M21-1</w:t>
            </w:r>
            <w:r w:rsidR="0055051E" w:rsidRPr="00F7105A">
              <w:t>, Part VIII.2.2.b.</w:t>
            </w:r>
          </w:p>
        </w:tc>
      </w:tr>
    </w:tbl>
    <w:p w14:paraId="527CC252" w14:textId="1992EF61" w:rsidR="00A31030" w:rsidRPr="00F7105A" w:rsidRDefault="00A31030" w:rsidP="00A31030">
      <w:pPr>
        <w:pStyle w:val="BlockLine"/>
      </w:pPr>
    </w:p>
    <w:tbl>
      <w:tblPr>
        <w:tblW w:w="0" w:type="auto"/>
        <w:tblLayout w:type="fixed"/>
        <w:tblLook w:val="04A0" w:firstRow="1" w:lastRow="0" w:firstColumn="1" w:lastColumn="0" w:noHBand="0" w:noVBand="1"/>
      </w:tblPr>
      <w:tblGrid>
        <w:gridCol w:w="1728"/>
        <w:gridCol w:w="7740"/>
      </w:tblGrid>
      <w:tr w:rsidR="00A31030" w:rsidRPr="00F7105A" w14:paraId="36DBFC14" w14:textId="77777777" w:rsidTr="00945798">
        <w:trPr>
          <w:cantSplit/>
        </w:trPr>
        <w:tc>
          <w:tcPr>
            <w:tcW w:w="1728" w:type="dxa"/>
            <w:hideMark/>
          </w:tcPr>
          <w:p w14:paraId="17379BE8" w14:textId="5DBD2D4A" w:rsidR="00A31030" w:rsidRPr="00F7105A" w:rsidRDefault="00794FE1" w:rsidP="0055051E">
            <w:pPr>
              <w:pStyle w:val="Heading5"/>
              <w:numPr>
                <w:ilvl w:val="12"/>
                <w:numId w:val="0"/>
              </w:numPr>
            </w:pPr>
            <w:r w:rsidRPr="00F7105A">
              <w:lastRenderedPageBreak/>
              <w:t>b</w:t>
            </w:r>
            <w:r w:rsidR="00A31030" w:rsidRPr="00F7105A">
              <w:t xml:space="preserve">.  Definition:  </w:t>
            </w:r>
            <w:r w:rsidR="00DF7D94" w:rsidRPr="00F7105A">
              <w:t>Categories of Eligible Persons</w:t>
            </w:r>
          </w:p>
        </w:tc>
        <w:tc>
          <w:tcPr>
            <w:tcW w:w="7740" w:type="dxa"/>
          </w:tcPr>
          <w:p w14:paraId="00BA87E3" w14:textId="009F0E6F" w:rsidR="00DF7D94" w:rsidRPr="00F7105A" w:rsidRDefault="00DF7D94" w:rsidP="00DF7D94">
            <w:pPr>
              <w:jc w:val="both"/>
              <w:rPr>
                <w:color w:val="auto"/>
                <w:szCs w:val="20"/>
              </w:rPr>
            </w:pPr>
            <w:r w:rsidRPr="00F7105A">
              <w:rPr>
                <w:color w:val="auto"/>
                <w:szCs w:val="20"/>
              </w:rPr>
              <w:t>The categories of eligible persons is a person eligible for accrued benefits. The following is a list of the eligible per</w:t>
            </w:r>
            <w:r w:rsidR="0003064A" w:rsidRPr="00F7105A">
              <w:rPr>
                <w:color w:val="auto"/>
                <w:szCs w:val="20"/>
              </w:rPr>
              <w:t>s</w:t>
            </w:r>
            <w:r w:rsidRPr="00F7105A">
              <w:rPr>
                <w:color w:val="auto"/>
                <w:szCs w:val="20"/>
              </w:rPr>
              <w:t>ons:</w:t>
            </w:r>
          </w:p>
          <w:p w14:paraId="0EFBD1B4" w14:textId="77777777" w:rsidR="00DF7D94" w:rsidRPr="00F7105A" w:rsidRDefault="00DF7D94" w:rsidP="00DF7D94">
            <w:pPr>
              <w:jc w:val="both"/>
              <w:rPr>
                <w:color w:val="auto"/>
                <w:szCs w:val="20"/>
              </w:rPr>
            </w:pPr>
          </w:p>
          <w:p w14:paraId="465058E5" w14:textId="436698B9" w:rsidR="00DF7D94" w:rsidRPr="00F7105A" w:rsidRDefault="00DF7D94" w:rsidP="0055051E">
            <w:pPr>
              <w:pStyle w:val="ListParagraph"/>
              <w:numPr>
                <w:ilvl w:val="0"/>
                <w:numId w:val="129"/>
              </w:numPr>
              <w:ind w:left="162" w:hanging="162"/>
              <w:jc w:val="both"/>
              <w:rPr>
                <w:color w:val="auto"/>
                <w:szCs w:val="20"/>
              </w:rPr>
            </w:pPr>
            <w:r w:rsidRPr="00F7105A">
              <w:rPr>
                <w:color w:val="auto"/>
                <w:szCs w:val="20"/>
              </w:rPr>
              <w:t>Upon the death of a veteran to the living person first listed as follows:</w:t>
            </w:r>
          </w:p>
          <w:p w14:paraId="27F36ED9" w14:textId="275659B0" w:rsidR="00DF7D94" w:rsidRPr="00F7105A" w:rsidRDefault="000F2907" w:rsidP="0055051E">
            <w:pPr>
              <w:pStyle w:val="ListParagraph"/>
              <w:numPr>
                <w:ilvl w:val="0"/>
                <w:numId w:val="130"/>
              </w:numPr>
              <w:ind w:left="342" w:hanging="180"/>
              <w:jc w:val="both"/>
              <w:rPr>
                <w:color w:val="auto"/>
                <w:szCs w:val="20"/>
              </w:rPr>
            </w:pPr>
            <w:r w:rsidRPr="00F7105A">
              <w:rPr>
                <w:color w:val="auto"/>
                <w:szCs w:val="20"/>
              </w:rPr>
              <w:t xml:space="preserve">his </w:t>
            </w:r>
            <w:r w:rsidR="00DF7D94" w:rsidRPr="00F7105A">
              <w:rPr>
                <w:color w:val="auto"/>
                <w:szCs w:val="20"/>
              </w:rPr>
              <w:t>or her spouse;</w:t>
            </w:r>
          </w:p>
          <w:p w14:paraId="5EE47C8B" w14:textId="36BB8017" w:rsidR="00DF7D94" w:rsidRPr="00F7105A" w:rsidRDefault="000F2907" w:rsidP="0055051E">
            <w:pPr>
              <w:pStyle w:val="ListParagraph"/>
              <w:numPr>
                <w:ilvl w:val="0"/>
                <w:numId w:val="130"/>
              </w:numPr>
              <w:ind w:left="342" w:hanging="180"/>
              <w:jc w:val="both"/>
              <w:rPr>
                <w:color w:val="auto"/>
                <w:szCs w:val="20"/>
              </w:rPr>
            </w:pPr>
            <w:r w:rsidRPr="00F7105A">
              <w:rPr>
                <w:color w:val="auto"/>
                <w:szCs w:val="20"/>
              </w:rPr>
              <w:t>h</w:t>
            </w:r>
            <w:r w:rsidR="00DF7D94" w:rsidRPr="00F7105A">
              <w:rPr>
                <w:color w:val="auto"/>
                <w:szCs w:val="20"/>
              </w:rPr>
              <w:t>is or her children (in equal shares);</w:t>
            </w:r>
          </w:p>
          <w:p w14:paraId="2CE4525A" w14:textId="522DD350" w:rsidR="00DF7D94" w:rsidRPr="00F7105A" w:rsidRDefault="005A7D7C" w:rsidP="0055051E">
            <w:pPr>
              <w:pStyle w:val="ListParagraph"/>
              <w:numPr>
                <w:ilvl w:val="0"/>
                <w:numId w:val="130"/>
              </w:numPr>
              <w:ind w:left="342" w:hanging="180"/>
              <w:jc w:val="both"/>
              <w:rPr>
                <w:color w:val="auto"/>
                <w:szCs w:val="20"/>
              </w:rPr>
            </w:pPr>
            <w:r w:rsidRPr="00F7105A">
              <w:rPr>
                <w:color w:val="auto"/>
                <w:szCs w:val="20"/>
              </w:rPr>
              <w:t>h</w:t>
            </w:r>
            <w:r w:rsidR="00DF7D94" w:rsidRPr="00F7105A">
              <w:rPr>
                <w:color w:val="auto"/>
                <w:szCs w:val="20"/>
              </w:rPr>
              <w:t>is or her dependent parents (in equal shares) or the surviving parent.</w:t>
            </w:r>
          </w:p>
          <w:p w14:paraId="59C0BF64" w14:textId="4A75B128" w:rsidR="00DF7D94" w:rsidRPr="00F7105A" w:rsidRDefault="00DF7D94" w:rsidP="0055051E">
            <w:pPr>
              <w:pStyle w:val="ListParagraph"/>
              <w:numPr>
                <w:ilvl w:val="0"/>
                <w:numId w:val="129"/>
              </w:numPr>
              <w:ind w:left="162" w:hanging="162"/>
              <w:jc w:val="both"/>
              <w:rPr>
                <w:color w:val="auto"/>
                <w:szCs w:val="20"/>
              </w:rPr>
            </w:pPr>
            <w:r w:rsidRPr="00F7105A">
              <w:rPr>
                <w:color w:val="auto"/>
                <w:szCs w:val="20"/>
              </w:rPr>
              <w:t>Upon the death of a surviving spouse or remarried surviving spouse, to the veteran’s children.</w:t>
            </w:r>
          </w:p>
          <w:p w14:paraId="5BE57CF3" w14:textId="5DBCB4A8" w:rsidR="00DF7D94" w:rsidRPr="00F7105A" w:rsidRDefault="00DF7D94" w:rsidP="0055051E">
            <w:pPr>
              <w:pStyle w:val="ListParagraph"/>
              <w:numPr>
                <w:ilvl w:val="0"/>
                <w:numId w:val="129"/>
              </w:numPr>
              <w:ind w:left="162" w:hanging="162"/>
              <w:jc w:val="both"/>
              <w:rPr>
                <w:color w:val="auto"/>
                <w:szCs w:val="20"/>
              </w:rPr>
            </w:pPr>
            <w:r w:rsidRPr="00F7105A">
              <w:rPr>
                <w:color w:val="auto"/>
                <w:szCs w:val="20"/>
              </w:rPr>
              <w:t>Upon the death of a child, to the surviving children of the veteran entitled to death pension, compensation, or dependency and indemnity compensation.</w:t>
            </w:r>
          </w:p>
          <w:p w14:paraId="27CBE938" w14:textId="77777777" w:rsidR="00DF3695" w:rsidRPr="00F7105A" w:rsidRDefault="00DF7D94" w:rsidP="0055051E">
            <w:pPr>
              <w:pStyle w:val="ListParagraph"/>
              <w:numPr>
                <w:ilvl w:val="0"/>
                <w:numId w:val="129"/>
              </w:numPr>
              <w:ind w:left="162" w:hanging="162"/>
              <w:jc w:val="both"/>
              <w:rPr>
                <w:color w:val="auto"/>
                <w:szCs w:val="20"/>
              </w:rPr>
            </w:pPr>
            <w:r w:rsidRPr="00F7105A">
              <w:rPr>
                <w:color w:val="auto"/>
                <w:szCs w:val="20"/>
              </w:rPr>
              <w:t>Upon the death of a child claiming benefits under chapter 18 of this title, to the surviving parents.</w:t>
            </w:r>
          </w:p>
          <w:p w14:paraId="38160B28" w14:textId="77777777" w:rsidR="00DF3695" w:rsidRPr="00F7105A" w:rsidRDefault="00DF3695" w:rsidP="00DF3695">
            <w:pPr>
              <w:pStyle w:val="ListParagraph"/>
              <w:ind w:left="162"/>
              <w:jc w:val="both"/>
              <w:rPr>
                <w:color w:val="auto"/>
                <w:szCs w:val="20"/>
              </w:rPr>
            </w:pPr>
          </w:p>
          <w:p w14:paraId="4F440D2E" w14:textId="5B15997E" w:rsidR="00DF7D94" w:rsidRPr="00F7105A" w:rsidRDefault="00DF3695" w:rsidP="00DF3695">
            <w:pPr>
              <w:pStyle w:val="ListParagraph"/>
              <w:ind w:left="0"/>
              <w:jc w:val="both"/>
              <w:rPr>
                <w:color w:val="auto"/>
                <w:szCs w:val="20"/>
              </w:rPr>
            </w:pPr>
            <w:r w:rsidRPr="00F7105A">
              <w:rPr>
                <w:b/>
                <w:i/>
                <w:color w:val="auto"/>
                <w:szCs w:val="20"/>
              </w:rPr>
              <w:t>Note</w:t>
            </w:r>
            <w:r w:rsidRPr="00F7105A">
              <w:rPr>
                <w:color w:val="auto"/>
                <w:szCs w:val="20"/>
              </w:rPr>
              <w:t>:  In all other cases, only so much of the accrued benefit may be paid as necessary to reimburse the person who bore the expense of last sickness or burial.</w:t>
            </w:r>
          </w:p>
          <w:p w14:paraId="77AAA9CC" w14:textId="77777777" w:rsidR="00A31030" w:rsidRPr="00F7105A" w:rsidRDefault="00A31030" w:rsidP="00945798">
            <w:pPr>
              <w:pStyle w:val="BlockText"/>
            </w:pPr>
            <w:r w:rsidRPr="00F7105A">
              <w:t xml:space="preserve"> </w:t>
            </w:r>
          </w:p>
          <w:p w14:paraId="7D7A77F9" w14:textId="77777777" w:rsidR="0003064A" w:rsidRPr="00F7105A" w:rsidRDefault="0003064A" w:rsidP="0055051E">
            <w:r w:rsidRPr="00F7105A">
              <w:rPr>
                <w:b/>
                <w:i/>
              </w:rPr>
              <w:t>References</w:t>
            </w:r>
            <w:r w:rsidRPr="00F7105A">
              <w:t>:</w:t>
            </w:r>
          </w:p>
          <w:p w14:paraId="56B34607" w14:textId="77777777" w:rsidR="0003064A" w:rsidRPr="00F7105A" w:rsidRDefault="0003064A" w:rsidP="0055051E">
            <w:pPr>
              <w:pStyle w:val="ListParagraph"/>
              <w:numPr>
                <w:ilvl w:val="0"/>
                <w:numId w:val="134"/>
              </w:numPr>
              <w:ind w:left="162" w:hanging="162"/>
            </w:pPr>
            <w:r w:rsidRPr="00F7105A">
              <w:t xml:space="preserve">For more information on categories of eligible persons in accrued claims see </w:t>
            </w:r>
          </w:p>
          <w:p w14:paraId="6940E314" w14:textId="369264A4" w:rsidR="00A31030" w:rsidRPr="00F7105A" w:rsidRDefault="00732E44" w:rsidP="0055051E">
            <w:pPr>
              <w:pStyle w:val="ListParagraph"/>
              <w:numPr>
                <w:ilvl w:val="0"/>
                <w:numId w:val="135"/>
              </w:numPr>
              <w:ind w:left="342" w:hanging="180"/>
            </w:pPr>
            <w:hyperlink r:id="rId13" w:history="1">
              <w:r w:rsidR="00A31030" w:rsidRPr="00F7105A">
                <w:rPr>
                  <w:rStyle w:val="Hyperlink"/>
                </w:rPr>
                <w:t>38 CFR 3.1000(a)(1) through (a)(5)</w:t>
              </w:r>
            </w:hyperlink>
            <w:r w:rsidR="00A31030" w:rsidRPr="00F7105A">
              <w:t>, and</w:t>
            </w:r>
          </w:p>
          <w:p w14:paraId="476888B4" w14:textId="03EA13DD" w:rsidR="0003064A" w:rsidRPr="00F7105A" w:rsidRDefault="0003064A" w:rsidP="0055051E">
            <w:pPr>
              <w:pStyle w:val="ListParagraph"/>
              <w:numPr>
                <w:ilvl w:val="0"/>
                <w:numId w:val="135"/>
              </w:numPr>
              <w:ind w:left="342" w:hanging="180"/>
            </w:pPr>
            <w:r w:rsidRPr="00F7105A">
              <w:t>M21-1, Part VIII.1.5</w:t>
            </w:r>
          </w:p>
          <w:p w14:paraId="79546CB9" w14:textId="12A84EDE" w:rsidR="0003064A" w:rsidRPr="00F7105A" w:rsidRDefault="0003064A" w:rsidP="0055051E">
            <w:pPr>
              <w:pStyle w:val="ListParagraph"/>
              <w:numPr>
                <w:ilvl w:val="0"/>
                <w:numId w:val="134"/>
              </w:numPr>
              <w:ind w:left="162" w:hanging="162"/>
            </w:pPr>
            <w:r w:rsidRPr="00F7105A">
              <w:t xml:space="preserve">For more information on categories of eligible persons in requests for substitution, see </w:t>
            </w:r>
            <w:hyperlink r:id="rId14" w:history="1">
              <w:r w:rsidR="005A6B0B" w:rsidRPr="00F7105A">
                <w:rPr>
                  <w:rStyle w:val="Hyperlink"/>
                </w:rPr>
                <w:t>38 CFR 3.1010(a)</w:t>
              </w:r>
            </w:hyperlink>
            <w:r w:rsidRPr="00F7105A">
              <w:t>.</w:t>
            </w:r>
          </w:p>
        </w:tc>
      </w:tr>
    </w:tbl>
    <w:p w14:paraId="1B80FF41" w14:textId="5E598823" w:rsidR="0035305B" w:rsidRPr="00F7105A" w:rsidRDefault="0035305B" w:rsidP="0035305B">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35305B" w:rsidRPr="00F7105A" w14:paraId="3640220B" w14:textId="77777777" w:rsidTr="00945798">
        <w:trPr>
          <w:cantSplit/>
        </w:trPr>
        <w:tc>
          <w:tcPr>
            <w:tcW w:w="1728" w:type="dxa"/>
          </w:tcPr>
          <w:p w14:paraId="3ECD270C" w14:textId="7B4691D6" w:rsidR="0035305B" w:rsidRPr="00F7105A" w:rsidRDefault="00794FE1" w:rsidP="00757BB1">
            <w:pPr>
              <w:numPr>
                <w:ilvl w:val="12"/>
                <w:numId w:val="0"/>
              </w:numPr>
              <w:outlineLvl w:val="4"/>
              <w:rPr>
                <w:b/>
                <w:sz w:val="22"/>
                <w:szCs w:val="20"/>
              </w:rPr>
            </w:pPr>
            <w:r w:rsidRPr="00F7105A">
              <w:rPr>
                <w:b/>
                <w:sz w:val="22"/>
                <w:szCs w:val="20"/>
              </w:rPr>
              <w:t>c</w:t>
            </w:r>
            <w:r w:rsidR="0035305B" w:rsidRPr="00F7105A">
              <w:rPr>
                <w:b/>
                <w:sz w:val="22"/>
                <w:szCs w:val="20"/>
              </w:rPr>
              <w:t xml:space="preserve">.  Substitution by Subordinate Members Prohibited </w:t>
            </w:r>
          </w:p>
        </w:tc>
        <w:tc>
          <w:tcPr>
            <w:tcW w:w="7740" w:type="dxa"/>
          </w:tcPr>
          <w:p w14:paraId="77B62A87" w14:textId="73371A14" w:rsidR="0035305B" w:rsidRPr="00F7105A" w:rsidRDefault="0035305B" w:rsidP="00945798">
            <w:r w:rsidRPr="00F7105A">
              <w:t>Failure to timely file a request to substitute, or a waiver of the right to request substitution, by a person of preferred category of eligible person will not serve to vest the right to</w:t>
            </w:r>
            <w:r w:rsidR="00A31030" w:rsidRPr="00F7105A">
              <w:t xml:space="preserve"> request substitution</w:t>
            </w:r>
            <w:r w:rsidR="00020735" w:rsidRPr="00F7105A">
              <w:t xml:space="preserve"> in a person</w:t>
            </w:r>
          </w:p>
          <w:p w14:paraId="0AB6FC22" w14:textId="77777777" w:rsidR="0035305B" w:rsidRPr="00F7105A" w:rsidRDefault="0035305B" w:rsidP="00945798"/>
          <w:p w14:paraId="188BE810" w14:textId="184A32F0" w:rsidR="0035305B" w:rsidRPr="00F7105A" w:rsidRDefault="0035305B" w:rsidP="0055051E">
            <w:pPr>
              <w:pStyle w:val="ListParagraph"/>
              <w:numPr>
                <w:ilvl w:val="0"/>
                <w:numId w:val="115"/>
              </w:numPr>
              <w:ind w:left="158" w:hanging="187"/>
            </w:pPr>
            <w:r w:rsidRPr="00F7105A">
              <w:t>in a lower category, or</w:t>
            </w:r>
          </w:p>
          <w:p w14:paraId="76CADF1F" w14:textId="664A6168" w:rsidR="0035305B" w:rsidRPr="00F7105A" w:rsidRDefault="0035305B" w:rsidP="0055051E">
            <w:pPr>
              <w:pStyle w:val="ListParagraph"/>
              <w:numPr>
                <w:ilvl w:val="0"/>
                <w:numId w:val="115"/>
              </w:numPr>
              <w:ind w:left="158" w:hanging="187"/>
            </w:pPr>
            <w:r w:rsidRPr="00F7105A">
              <w:t>who bore the expense of last sickness or burial.</w:t>
            </w:r>
          </w:p>
          <w:p w14:paraId="7268F219" w14:textId="77777777" w:rsidR="0035305B" w:rsidRPr="00F7105A" w:rsidRDefault="0035305B" w:rsidP="00945798"/>
          <w:p w14:paraId="021372B4" w14:textId="3D7F4680" w:rsidR="0035305B" w:rsidRPr="00F7105A" w:rsidRDefault="00A31030" w:rsidP="0055051E">
            <w:pPr>
              <w:ind w:left="-18"/>
            </w:pPr>
            <w:r w:rsidRPr="00F7105A">
              <w:rPr>
                <w:b/>
                <w:i/>
              </w:rPr>
              <w:t>Note</w:t>
            </w:r>
            <w:r w:rsidRPr="00F7105A">
              <w:t xml:space="preserve">:  A failure to timely file or request waiver by a person(s) in a joint class </w:t>
            </w:r>
            <w:r w:rsidR="00F84490" w:rsidRPr="00F7105A">
              <w:t xml:space="preserve">will not </w:t>
            </w:r>
            <w:r w:rsidRPr="00F7105A">
              <w:t>serve to increase the amount payable to other persons in the class.</w:t>
            </w:r>
          </w:p>
          <w:p w14:paraId="3F2419A4" w14:textId="77777777" w:rsidR="00A31030" w:rsidRPr="00F7105A" w:rsidRDefault="00A31030" w:rsidP="0055051E">
            <w:pPr>
              <w:ind w:left="-18"/>
            </w:pPr>
          </w:p>
          <w:p w14:paraId="43E7FF76" w14:textId="503E2F13" w:rsidR="00A31030" w:rsidRPr="00F7105A" w:rsidRDefault="00A31030" w:rsidP="0055051E">
            <w:pPr>
              <w:ind w:left="-18"/>
              <w:rPr>
                <w:szCs w:val="20"/>
              </w:rPr>
            </w:pPr>
            <w:r w:rsidRPr="00F7105A">
              <w:rPr>
                <w:b/>
                <w:i/>
              </w:rPr>
              <w:t>Reference</w:t>
            </w:r>
            <w:r w:rsidRPr="00F7105A">
              <w:t xml:space="preserve">:  For more information on the prohibition of substitution by subordinate members, see </w:t>
            </w:r>
            <w:hyperlink r:id="rId15" w:history="1">
              <w:r w:rsidRPr="00F7105A">
                <w:rPr>
                  <w:rStyle w:val="Hyperlink"/>
                </w:rPr>
                <w:t>38 CFR 3.1010(g)(4)</w:t>
              </w:r>
            </w:hyperlink>
            <w:r w:rsidRPr="00F7105A">
              <w:t>.</w:t>
            </w:r>
            <w:r w:rsidRPr="00F7105A">
              <w:rPr>
                <w:b/>
                <w:sz w:val="22"/>
                <w:szCs w:val="20"/>
              </w:rPr>
              <w:t xml:space="preserve">  </w:t>
            </w:r>
          </w:p>
        </w:tc>
      </w:tr>
    </w:tbl>
    <w:p w14:paraId="310F3FF5" w14:textId="3F1C95BA" w:rsidR="00CB3F99" w:rsidRPr="00F7105A" w:rsidRDefault="00CB3F99" w:rsidP="00CB3F99">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CB3F99" w:rsidRPr="00F7105A" w14:paraId="02BFCDD7" w14:textId="77777777" w:rsidTr="00945798">
        <w:trPr>
          <w:cantSplit/>
        </w:trPr>
        <w:tc>
          <w:tcPr>
            <w:tcW w:w="1728" w:type="dxa"/>
          </w:tcPr>
          <w:p w14:paraId="31156EC0" w14:textId="7809F8AB" w:rsidR="00CB3F99" w:rsidRPr="00F7105A" w:rsidRDefault="00794FE1" w:rsidP="00CB3F99">
            <w:pPr>
              <w:numPr>
                <w:ilvl w:val="12"/>
                <w:numId w:val="0"/>
              </w:numPr>
              <w:outlineLvl w:val="4"/>
              <w:rPr>
                <w:b/>
                <w:sz w:val="22"/>
                <w:szCs w:val="20"/>
              </w:rPr>
            </w:pPr>
            <w:r w:rsidRPr="00F7105A">
              <w:rPr>
                <w:b/>
                <w:sz w:val="22"/>
                <w:szCs w:val="20"/>
              </w:rPr>
              <w:lastRenderedPageBreak/>
              <w:t>d</w:t>
            </w:r>
            <w:r w:rsidR="00CB3F99" w:rsidRPr="00F7105A">
              <w:rPr>
                <w:b/>
                <w:sz w:val="22"/>
                <w:szCs w:val="20"/>
              </w:rPr>
              <w:t>.  Death of a Substitute  Claimant</w:t>
            </w:r>
          </w:p>
        </w:tc>
        <w:tc>
          <w:tcPr>
            <w:tcW w:w="7740" w:type="dxa"/>
          </w:tcPr>
          <w:p w14:paraId="6A8A70BC" w14:textId="77777777" w:rsidR="00CB3F99" w:rsidRPr="00F7105A" w:rsidRDefault="00CB3F99" w:rsidP="00CB3F99">
            <w:pPr>
              <w:pStyle w:val="BulletText1"/>
              <w:numPr>
                <w:ilvl w:val="0"/>
                <w:numId w:val="0"/>
              </w:numPr>
            </w:pPr>
            <w:r w:rsidRPr="00F7105A">
              <w:t>If a substitute claimant dies while a claim or appeal is pending, a request to continue the original claimant’s claim may be granted to</w:t>
            </w:r>
          </w:p>
          <w:p w14:paraId="5C13D3F5" w14:textId="77777777" w:rsidR="00CB3F99" w:rsidRPr="00F7105A" w:rsidRDefault="00CB3F99" w:rsidP="00CB3F99">
            <w:pPr>
              <w:pStyle w:val="BulletText1"/>
              <w:numPr>
                <w:ilvl w:val="0"/>
                <w:numId w:val="0"/>
              </w:numPr>
            </w:pPr>
          </w:p>
          <w:p w14:paraId="7FB74660" w14:textId="77777777" w:rsidR="00CB3F99" w:rsidRPr="00F7105A" w:rsidRDefault="00CB3F99" w:rsidP="0055051E">
            <w:pPr>
              <w:pStyle w:val="ListParagraph"/>
              <w:numPr>
                <w:ilvl w:val="0"/>
                <w:numId w:val="116"/>
              </w:numPr>
              <w:ind w:left="158" w:hanging="187"/>
            </w:pPr>
            <w:r w:rsidRPr="00F7105A">
              <w:t>another member of the same joint class, or</w:t>
            </w:r>
          </w:p>
          <w:p w14:paraId="3513D20D" w14:textId="77777777" w:rsidR="00CB3F99" w:rsidRPr="00F7105A" w:rsidRDefault="00CB3F99" w:rsidP="0055051E">
            <w:pPr>
              <w:pStyle w:val="ListParagraph"/>
              <w:numPr>
                <w:ilvl w:val="0"/>
                <w:numId w:val="116"/>
              </w:numPr>
              <w:ind w:left="158" w:hanging="187"/>
            </w:pPr>
            <w:r w:rsidRPr="00F7105A">
              <w:t>a member of the next preferred member.</w:t>
            </w:r>
          </w:p>
          <w:p w14:paraId="546E1C41" w14:textId="77777777" w:rsidR="00CB3F99" w:rsidRPr="00F7105A" w:rsidRDefault="00CB3F99" w:rsidP="00CB3F99">
            <w:pPr>
              <w:pStyle w:val="BulletText1"/>
              <w:numPr>
                <w:ilvl w:val="0"/>
                <w:numId w:val="0"/>
              </w:numPr>
            </w:pPr>
          </w:p>
          <w:p w14:paraId="68F10E55" w14:textId="1F3EDA28" w:rsidR="00CB3F99" w:rsidRPr="00F7105A" w:rsidRDefault="00CB3F99" w:rsidP="0055051E">
            <w:pPr>
              <w:rPr>
                <w:szCs w:val="20"/>
              </w:rPr>
            </w:pPr>
            <w:r w:rsidRPr="00F7105A">
              <w:rPr>
                <w:b/>
                <w:i/>
              </w:rPr>
              <w:t>Note</w:t>
            </w:r>
            <w:r w:rsidRPr="00F7105A">
              <w:t>:  The request to substitute must be received no later than one year after the date of the substitute’s death (not the original claimant’s death).</w:t>
            </w:r>
          </w:p>
        </w:tc>
      </w:tr>
    </w:tbl>
    <w:p w14:paraId="71199EAC" w14:textId="77777777" w:rsidR="0035305B" w:rsidRPr="00F7105A" w:rsidRDefault="0035305B" w:rsidP="0035305B">
      <w:pPr>
        <w:pStyle w:val="BlockLine"/>
      </w:pPr>
    </w:p>
    <w:tbl>
      <w:tblPr>
        <w:tblW w:w="0" w:type="auto"/>
        <w:tblLayout w:type="fixed"/>
        <w:tblLook w:val="0000" w:firstRow="0" w:lastRow="0" w:firstColumn="0" w:lastColumn="0" w:noHBand="0" w:noVBand="0"/>
      </w:tblPr>
      <w:tblGrid>
        <w:gridCol w:w="1728"/>
        <w:gridCol w:w="7740"/>
      </w:tblGrid>
      <w:tr w:rsidR="0035305B" w:rsidRPr="00F7105A" w14:paraId="5A308F68" w14:textId="77777777" w:rsidTr="00945798">
        <w:trPr>
          <w:cantSplit/>
        </w:trPr>
        <w:tc>
          <w:tcPr>
            <w:tcW w:w="1728" w:type="dxa"/>
          </w:tcPr>
          <w:p w14:paraId="7EE92305" w14:textId="37C9293B" w:rsidR="0035305B" w:rsidRPr="00F7105A" w:rsidRDefault="00794FE1" w:rsidP="00945798">
            <w:pPr>
              <w:pStyle w:val="Heading5"/>
            </w:pPr>
            <w:r w:rsidRPr="00F7105A">
              <w:t>e</w:t>
            </w:r>
            <w:r w:rsidR="0035305B" w:rsidRPr="00F7105A">
              <w:t>.  Evidence Requirements</w:t>
            </w:r>
          </w:p>
        </w:tc>
        <w:tc>
          <w:tcPr>
            <w:tcW w:w="7740" w:type="dxa"/>
          </w:tcPr>
          <w:p w14:paraId="50F1755F" w14:textId="42D62FCC" w:rsidR="0035305B" w:rsidRPr="00F7105A" w:rsidRDefault="0035305B" w:rsidP="00757BB1">
            <w:pPr>
              <w:pStyle w:val="BlockText"/>
            </w:pPr>
            <w:r w:rsidRPr="00F7105A">
              <w:t>Evidence is required to eliminate persons who would have a higher status of preference only if the record indicates that a person survived the deceased beneficiary.  Otherwise, statements of record received by VA prior to the death of the veteran or primary beneficiary are adequate.</w:t>
            </w:r>
          </w:p>
        </w:tc>
      </w:tr>
    </w:tbl>
    <w:p w14:paraId="7509469E" w14:textId="77777777" w:rsidR="000F2907" w:rsidRPr="00F7105A" w:rsidRDefault="000F2907" w:rsidP="000F2907">
      <w:pPr>
        <w:pStyle w:val="BlockLine"/>
      </w:pPr>
    </w:p>
    <w:tbl>
      <w:tblPr>
        <w:tblW w:w="0" w:type="auto"/>
        <w:tblLayout w:type="fixed"/>
        <w:tblLook w:val="0000" w:firstRow="0" w:lastRow="0" w:firstColumn="0" w:lastColumn="0" w:noHBand="0" w:noVBand="0"/>
      </w:tblPr>
      <w:tblGrid>
        <w:gridCol w:w="1728"/>
        <w:gridCol w:w="7740"/>
      </w:tblGrid>
      <w:tr w:rsidR="000F2907" w:rsidRPr="00F7105A" w14:paraId="6A61C02D" w14:textId="77777777" w:rsidTr="00BA4067">
        <w:trPr>
          <w:cantSplit/>
        </w:trPr>
        <w:tc>
          <w:tcPr>
            <w:tcW w:w="1728" w:type="dxa"/>
          </w:tcPr>
          <w:p w14:paraId="7FE719C2" w14:textId="43107F8D" w:rsidR="000F2907" w:rsidRPr="00F7105A" w:rsidRDefault="000F2907" w:rsidP="005A7D7C">
            <w:pPr>
              <w:pStyle w:val="Heading5"/>
            </w:pPr>
            <w:r w:rsidRPr="00F7105A">
              <w:t>f.  The Right to Appeal the Denial of a Request to Substitute</w:t>
            </w:r>
          </w:p>
        </w:tc>
        <w:tc>
          <w:tcPr>
            <w:tcW w:w="7740" w:type="dxa"/>
          </w:tcPr>
          <w:p w14:paraId="5FD430D2" w14:textId="7A7EF542" w:rsidR="000F2907" w:rsidRPr="00F7105A" w:rsidRDefault="000F2907" w:rsidP="00BA4067">
            <w:pPr>
              <w:pStyle w:val="BlockText"/>
            </w:pPr>
            <w:r w:rsidRPr="00F7105A">
              <w:t>A claimant has the right to appeal a denial of the request to substitute.</w:t>
            </w:r>
          </w:p>
        </w:tc>
      </w:tr>
    </w:tbl>
    <w:p w14:paraId="7824E4E2" w14:textId="77777777" w:rsidR="00A473C5" w:rsidRPr="00F7105A" w:rsidRDefault="00A473C5" w:rsidP="00A473C5">
      <w:pPr>
        <w:pBdr>
          <w:top w:val="single" w:sz="6" w:space="1" w:color="auto"/>
          <w:between w:val="single" w:sz="6" w:space="1" w:color="auto"/>
        </w:pBdr>
        <w:spacing w:before="240"/>
        <w:ind w:left="1728"/>
        <w:jc w:val="right"/>
        <w:rPr>
          <w:i/>
          <w:sz w:val="20"/>
          <w:szCs w:val="20"/>
        </w:rPr>
      </w:pPr>
    </w:p>
    <w:p w14:paraId="7824E4E3" w14:textId="0C7F361A" w:rsidR="00A31030" w:rsidRPr="00F7105A" w:rsidRDefault="00A473C5">
      <w:pPr>
        <w:spacing w:after="200" w:line="276" w:lineRule="auto"/>
        <w:rPr>
          <w:rFonts w:ascii="Arial" w:hAnsi="Arial"/>
          <w:b/>
          <w:sz w:val="32"/>
          <w:szCs w:val="20"/>
        </w:rPr>
      </w:pPr>
      <w:r w:rsidRPr="00F7105A">
        <w:rPr>
          <w:rFonts w:ascii="Arial" w:hAnsi="Arial"/>
          <w:b/>
          <w:sz w:val="32"/>
          <w:szCs w:val="20"/>
        </w:rPr>
        <w:br w:type="page"/>
      </w:r>
    </w:p>
    <w:p w14:paraId="3696F063" w14:textId="7393DAA6" w:rsidR="00A31030" w:rsidRPr="00F7105A" w:rsidRDefault="00A31030" w:rsidP="00A31030">
      <w:pPr>
        <w:numPr>
          <w:ilvl w:val="12"/>
          <w:numId w:val="0"/>
        </w:numPr>
        <w:spacing w:after="240"/>
        <w:outlineLvl w:val="3"/>
        <w:rPr>
          <w:rFonts w:ascii="Arial" w:hAnsi="Arial" w:cs="Arial"/>
          <w:b/>
          <w:sz w:val="32"/>
          <w:szCs w:val="32"/>
        </w:rPr>
      </w:pPr>
      <w:r w:rsidRPr="00F7105A">
        <w:rPr>
          <w:rFonts w:ascii="Arial" w:hAnsi="Arial" w:cs="Arial"/>
          <w:b/>
          <w:sz w:val="32"/>
          <w:szCs w:val="32"/>
        </w:rPr>
        <w:lastRenderedPageBreak/>
        <w:t xml:space="preserve">3.  </w:t>
      </w:r>
      <w:r w:rsidR="00DB4B5D" w:rsidRPr="00F7105A">
        <w:rPr>
          <w:rFonts w:ascii="Arial" w:hAnsi="Arial" w:cs="Arial"/>
          <w:b/>
          <w:sz w:val="32"/>
          <w:szCs w:val="32"/>
        </w:rPr>
        <w:t>Rights of the Substitute Claimant</w:t>
      </w:r>
      <w:r w:rsidR="000F2907" w:rsidRPr="00F7105A">
        <w:rPr>
          <w:rFonts w:ascii="Arial" w:hAnsi="Arial" w:cs="Arial"/>
          <w:b/>
          <w:sz w:val="32"/>
          <w:szCs w:val="32"/>
        </w:rPr>
        <w:t xml:space="preserve"> Following the Grant of Substitution</w:t>
      </w:r>
    </w:p>
    <w:p w14:paraId="5790E14D" w14:textId="77777777" w:rsidR="00A31030" w:rsidRPr="00F7105A" w:rsidRDefault="00A31030" w:rsidP="00A31030">
      <w:pPr>
        <w:numPr>
          <w:ilvl w:val="12"/>
          <w:numId w:val="0"/>
        </w:numPr>
        <w:pBdr>
          <w:top w:val="single" w:sz="6" w:space="1" w:color="auto"/>
          <w:between w:val="single" w:sz="6" w:space="1" w:color="auto"/>
        </w:pBdr>
        <w:spacing w:before="240"/>
        <w:ind w:left="1700"/>
        <w:rPr>
          <w:szCs w:val="20"/>
        </w:rPr>
      </w:pPr>
      <w:r w:rsidRPr="00F7105A">
        <w:rPr>
          <w:szCs w:val="20"/>
        </w:rPr>
        <w:fldChar w:fldCharType="begin"/>
      </w:r>
      <w:r w:rsidRPr="00F7105A">
        <w:rPr>
          <w:szCs w:val="20"/>
        </w:rPr>
        <w:instrText xml:space="preserve"> PRIVATE INFOTYPE="OTHER" </w:instrText>
      </w:r>
      <w:r w:rsidRPr="00F7105A">
        <w:rPr>
          <w:szCs w:val="20"/>
        </w:rPr>
        <w:fldChar w:fldCharType="end"/>
      </w:r>
    </w:p>
    <w:tbl>
      <w:tblPr>
        <w:tblW w:w="0" w:type="auto"/>
        <w:tblLayout w:type="fixed"/>
        <w:tblLook w:val="0000" w:firstRow="0" w:lastRow="0" w:firstColumn="0" w:lastColumn="0" w:noHBand="0" w:noVBand="0"/>
      </w:tblPr>
      <w:tblGrid>
        <w:gridCol w:w="1728"/>
        <w:gridCol w:w="7740"/>
      </w:tblGrid>
      <w:tr w:rsidR="00A31030" w:rsidRPr="00F7105A" w14:paraId="1B9ACEC2" w14:textId="77777777" w:rsidTr="00945798">
        <w:trPr>
          <w:cantSplit/>
        </w:trPr>
        <w:tc>
          <w:tcPr>
            <w:tcW w:w="1728" w:type="dxa"/>
          </w:tcPr>
          <w:p w14:paraId="6C2030EB" w14:textId="77777777" w:rsidR="00A31030" w:rsidRPr="00F7105A" w:rsidRDefault="00A31030" w:rsidP="00945798">
            <w:pPr>
              <w:numPr>
                <w:ilvl w:val="12"/>
                <w:numId w:val="0"/>
              </w:numPr>
              <w:outlineLvl w:val="4"/>
              <w:rPr>
                <w:b/>
                <w:sz w:val="22"/>
                <w:szCs w:val="20"/>
              </w:rPr>
            </w:pPr>
            <w:r w:rsidRPr="00F7105A">
              <w:rPr>
                <w:b/>
                <w:sz w:val="22"/>
                <w:szCs w:val="20"/>
              </w:rPr>
              <w:t>Introduction</w:t>
            </w:r>
          </w:p>
        </w:tc>
        <w:tc>
          <w:tcPr>
            <w:tcW w:w="7740" w:type="dxa"/>
          </w:tcPr>
          <w:p w14:paraId="121831F1" w14:textId="77777777" w:rsidR="00A31030" w:rsidRPr="00F7105A" w:rsidRDefault="00A31030" w:rsidP="00945798">
            <w:pPr>
              <w:numPr>
                <w:ilvl w:val="12"/>
                <w:numId w:val="0"/>
              </w:numPr>
            </w:pPr>
            <w:r w:rsidRPr="00F7105A">
              <w:t xml:space="preserve">This topic contains information on </w:t>
            </w:r>
            <w:r w:rsidR="00F84490" w:rsidRPr="00F7105A">
              <w:t>rights of the substitute claimant, including</w:t>
            </w:r>
          </w:p>
          <w:p w14:paraId="7B81160A" w14:textId="77777777" w:rsidR="00F84490" w:rsidRPr="00F7105A" w:rsidRDefault="00F84490" w:rsidP="00945798">
            <w:pPr>
              <w:numPr>
                <w:ilvl w:val="12"/>
                <w:numId w:val="0"/>
              </w:numPr>
            </w:pPr>
          </w:p>
          <w:p w14:paraId="13D643E7" w14:textId="77777777" w:rsidR="00F84490" w:rsidRPr="00F7105A" w:rsidRDefault="00F84490" w:rsidP="0055051E">
            <w:pPr>
              <w:pStyle w:val="ListParagraph"/>
              <w:numPr>
                <w:ilvl w:val="0"/>
                <w:numId w:val="117"/>
              </w:numPr>
              <w:ind w:left="158" w:hanging="187"/>
            </w:pPr>
            <w:r w:rsidRPr="00F7105A">
              <w:t>timelines for substitute claimant to take action</w:t>
            </w:r>
          </w:p>
          <w:p w14:paraId="59633B70" w14:textId="77777777" w:rsidR="00F84490" w:rsidRPr="00F7105A" w:rsidRDefault="00F84490" w:rsidP="0055051E">
            <w:pPr>
              <w:pStyle w:val="ListParagraph"/>
              <w:numPr>
                <w:ilvl w:val="0"/>
                <w:numId w:val="117"/>
              </w:numPr>
              <w:ind w:left="158" w:hanging="187"/>
            </w:pPr>
            <w:r w:rsidRPr="00F7105A">
              <w:t>submission of evidence and other rights afforded to the substitute claimant</w:t>
            </w:r>
          </w:p>
          <w:p w14:paraId="3A7E9320" w14:textId="32D2D77B" w:rsidR="00F84490" w:rsidRPr="00F7105A" w:rsidRDefault="00F84490" w:rsidP="0055051E">
            <w:pPr>
              <w:pStyle w:val="ListParagraph"/>
              <w:numPr>
                <w:ilvl w:val="0"/>
                <w:numId w:val="117"/>
              </w:numPr>
              <w:ind w:left="158" w:hanging="187"/>
            </w:pPr>
            <w:r w:rsidRPr="00F7105A">
              <w:t>rights not afforded to the substitute claimant</w:t>
            </w:r>
          </w:p>
          <w:p w14:paraId="7ED0145D" w14:textId="77777777" w:rsidR="000F2907" w:rsidRPr="00F7105A" w:rsidRDefault="00F84490" w:rsidP="0055051E">
            <w:pPr>
              <w:pStyle w:val="ListParagraph"/>
              <w:numPr>
                <w:ilvl w:val="0"/>
                <w:numId w:val="117"/>
              </w:numPr>
              <w:ind w:left="158" w:hanging="187"/>
            </w:pPr>
            <w:r w:rsidRPr="00F7105A">
              <w:t>expansion of the claim</w:t>
            </w:r>
            <w:r w:rsidR="000F2907" w:rsidRPr="00F7105A">
              <w:t>, and</w:t>
            </w:r>
          </w:p>
          <w:p w14:paraId="0A5A0286" w14:textId="5C5BB516" w:rsidR="000F2907" w:rsidRPr="00F7105A" w:rsidRDefault="000F2907" w:rsidP="005A7D7C">
            <w:pPr>
              <w:pStyle w:val="ListParagraph"/>
              <w:numPr>
                <w:ilvl w:val="0"/>
                <w:numId w:val="117"/>
              </w:numPr>
              <w:ind w:left="158" w:hanging="187"/>
            </w:pPr>
            <w:r w:rsidRPr="00F7105A">
              <w:t xml:space="preserve">an example of </w:t>
            </w:r>
            <w:r w:rsidR="005A7D7C" w:rsidRPr="00F7105A">
              <w:t>c</w:t>
            </w:r>
            <w:r w:rsidRPr="00F7105A">
              <w:t xml:space="preserve">alculating the </w:t>
            </w:r>
            <w:r w:rsidR="005A7D7C" w:rsidRPr="00F7105A">
              <w:t>t</w:t>
            </w:r>
            <w:r w:rsidRPr="00F7105A">
              <w:t xml:space="preserve">ime </w:t>
            </w:r>
            <w:r w:rsidR="005A7D7C" w:rsidRPr="00F7105A">
              <w:t>l</w:t>
            </w:r>
            <w:r w:rsidRPr="00F7105A">
              <w:t xml:space="preserve">imit </w:t>
            </w:r>
            <w:r w:rsidR="005A7D7C" w:rsidRPr="00F7105A">
              <w:t>when a Section 5103 Notice</w:t>
            </w:r>
          </w:p>
          <w:p w14:paraId="6C93C80A" w14:textId="453EFEA9" w:rsidR="00F84490" w:rsidRPr="00F7105A" w:rsidRDefault="005A7D7C" w:rsidP="005A7D7C">
            <w:pPr>
              <w:pStyle w:val="ListParagraph"/>
              <w:numPr>
                <w:ilvl w:val="0"/>
                <w:numId w:val="142"/>
              </w:numPr>
              <w:ind w:left="432" w:hanging="270"/>
            </w:pPr>
            <w:r w:rsidRPr="00F7105A">
              <w:t>w</w:t>
            </w:r>
            <w:r w:rsidR="000F2907" w:rsidRPr="00F7105A">
              <w:t xml:space="preserve">as </w:t>
            </w:r>
            <w:r w:rsidRPr="00F7105A">
              <w:t>n</w:t>
            </w:r>
            <w:r w:rsidR="000F2907" w:rsidRPr="00F7105A">
              <w:t xml:space="preserve">ot </w:t>
            </w:r>
            <w:r w:rsidRPr="00F7105A">
              <w:t>s</w:t>
            </w:r>
            <w:r w:rsidR="000F2907" w:rsidRPr="00F7105A">
              <w:t xml:space="preserve">ent to the </w:t>
            </w:r>
            <w:r w:rsidRPr="00F7105A">
              <w:t>o</w:t>
            </w:r>
            <w:r w:rsidR="000F2907" w:rsidRPr="00F7105A">
              <w:t xml:space="preserve">riginal </w:t>
            </w:r>
            <w:r w:rsidRPr="00F7105A">
              <w:t>c</w:t>
            </w:r>
            <w:r w:rsidR="000F2907" w:rsidRPr="00F7105A">
              <w:t>laimant</w:t>
            </w:r>
            <w:r w:rsidRPr="00F7105A">
              <w:t>, and</w:t>
            </w:r>
          </w:p>
          <w:p w14:paraId="577547EA" w14:textId="3FE91005" w:rsidR="005A7D7C" w:rsidRPr="00F7105A" w:rsidRDefault="005A7D7C" w:rsidP="005A7D7C">
            <w:pPr>
              <w:pStyle w:val="ListParagraph"/>
              <w:numPr>
                <w:ilvl w:val="0"/>
                <w:numId w:val="142"/>
              </w:numPr>
              <w:ind w:left="432" w:hanging="270"/>
            </w:pPr>
            <w:r w:rsidRPr="00F7105A">
              <w:t>w</w:t>
            </w:r>
            <w:r w:rsidR="000F2907" w:rsidRPr="00F7105A">
              <w:t xml:space="preserve">hen a Section 5103 </w:t>
            </w:r>
            <w:r w:rsidRPr="00F7105A">
              <w:t>n</w:t>
            </w:r>
            <w:r w:rsidR="000F2907" w:rsidRPr="00F7105A">
              <w:t xml:space="preserve">otice </w:t>
            </w:r>
            <w:r w:rsidRPr="00F7105A">
              <w:t>s</w:t>
            </w:r>
            <w:r w:rsidR="000F2907" w:rsidRPr="00F7105A">
              <w:t xml:space="preserve">ent to the </w:t>
            </w:r>
            <w:r w:rsidRPr="00F7105A">
              <w:t>o</w:t>
            </w:r>
            <w:r w:rsidR="000F2907" w:rsidRPr="00F7105A">
              <w:t xml:space="preserve">riginal </w:t>
            </w:r>
            <w:r w:rsidRPr="00F7105A">
              <w:t>c</w:t>
            </w:r>
            <w:r w:rsidR="000F2907" w:rsidRPr="00F7105A">
              <w:t xml:space="preserve">laimant </w:t>
            </w:r>
          </w:p>
          <w:p w14:paraId="51F395F4" w14:textId="019B5CE1" w:rsidR="000F2907" w:rsidRPr="00F7105A" w:rsidRDefault="005A7D7C" w:rsidP="005A7D7C">
            <w:pPr>
              <w:pStyle w:val="ListParagraph"/>
              <w:numPr>
                <w:ilvl w:val="0"/>
                <w:numId w:val="143"/>
              </w:numPr>
              <w:ind w:left="612" w:hanging="180"/>
            </w:pPr>
            <w:r w:rsidRPr="00F7105A">
              <w:t>h</w:t>
            </w:r>
            <w:r w:rsidR="000F2907" w:rsidRPr="00F7105A">
              <w:t xml:space="preserve">as </w:t>
            </w:r>
            <w:r w:rsidRPr="00F7105A">
              <w:t>n</w:t>
            </w:r>
            <w:r w:rsidR="000F2907" w:rsidRPr="00F7105A">
              <w:t xml:space="preserve">ot </w:t>
            </w:r>
            <w:r w:rsidRPr="00F7105A">
              <w:t>e</w:t>
            </w:r>
            <w:r w:rsidR="000F2907" w:rsidRPr="00F7105A">
              <w:t>xpired</w:t>
            </w:r>
            <w:r w:rsidRPr="00F7105A">
              <w:t>, and</w:t>
            </w:r>
          </w:p>
          <w:p w14:paraId="2A01A16E" w14:textId="71CF71E9" w:rsidR="005A7D7C" w:rsidRPr="00F7105A" w:rsidRDefault="005A7D7C" w:rsidP="005A7D7C">
            <w:pPr>
              <w:pStyle w:val="ListParagraph"/>
              <w:numPr>
                <w:ilvl w:val="0"/>
                <w:numId w:val="143"/>
              </w:numPr>
              <w:ind w:left="612" w:hanging="180"/>
            </w:pPr>
            <w:r w:rsidRPr="00F7105A">
              <w:t>has expired.</w:t>
            </w:r>
          </w:p>
        </w:tc>
      </w:tr>
    </w:tbl>
    <w:p w14:paraId="1CFA9B21" w14:textId="0FAA39AF" w:rsidR="00A31030" w:rsidRPr="00F7105A" w:rsidRDefault="00A31030" w:rsidP="00A31030">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A31030" w:rsidRPr="00F7105A" w14:paraId="06BD7524" w14:textId="77777777" w:rsidTr="00945798">
        <w:trPr>
          <w:cantSplit/>
        </w:trPr>
        <w:tc>
          <w:tcPr>
            <w:tcW w:w="1728" w:type="dxa"/>
          </w:tcPr>
          <w:p w14:paraId="551E12BC" w14:textId="77777777" w:rsidR="00A31030" w:rsidRPr="00F7105A" w:rsidRDefault="00A31030" w:rsidP="00945798">
            <w:pPr>
              <w:outlineLvl w:val="4"/>
              <w:rPr>
                <w:b/>
                <w:sz w:val="22"/>
                <w:szCs w:val="20"/>
              </w:rPr>
            </w:pPr>
            <w:r w:rsidRPr="00F7105A">
              <w:rPr>
                <w:b/>
                <w:sz w:val="22"/>
                <w:szCs w:val="20"/>
              </w:rPr>
              <w:t>Change Date</w:t>
            </w:r>
          </w:p>
        </w:tc>
        <w:tc>
          <w:tcPr>
            <w:tcW w:w="7740" w:type="dxa"/>
          </w:tcPr>
          <w:p w14:paraId="7DC196A7" w14:textId="1BA368B3" w:rsidR="00A31030" w:rsidRPr="00F7105A" w:rsidRDefault="000F499A" w:rsidP="00945798">
            <w:r w:rsidRPr="00F7105A">
              <w:t>July 28, 2015</w:t>
            </w:r>
          </w:p>
        </w:tc>
      </w:tr>
    </w:tbl>
    <w:p w14:paraId="2BFB4427" w14:textId="77777777" w:rsidR="00AA0EA4" w:rsidRPr="00F7105A" w:rsidRDefault="00AA0EA4" w:rsidP="00AA0EA4">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AA0EA4" w:rsidRPr="00F7105A" w14:paraId="0F518C80" w14:textId="77777777" w:rsidTr="00945798">
        <w:trPr>
          <w:cantSplit/>
        </w:trPr>
        <w:tc>
          <w:tcPr>
            <w:tcW w:w="1728" w:type="dxa"/>
          </w:tcPr>
          <w:p w14:paraId="617255D2" w14:textId="10F5258D" w:rsidR="00AA0EA4" w:rsidRPr="00F7105A" w:rsidRDefault="00E734E5" w:rsidP="00945798">
            <w:pPr>
              <w:numPr>
                <w:ilvl w:val="12"/>
                <w:numId w:val="0"/>
              </w:numPr>
              <w:outlineLvl w:val="4"/>
              <w:rPr>
                <w:b/>
                <w:sz w:val="22"/>
                <w:szCs w:val="20"/>
              </w:rPr>
            </w:pPr>
            <w:r w:rsidRPr="00F7105A">
              <w:rPr>
                <w:b/>
                <w:sz w:val="22"/>
                <w:szCs w:val="20"/>
              </w:rPr>
              <w:t>a</w:t>
            </w:r>
            <w:r w:rsidR="00AA0EA4" w:rsidRPr="00F7105A">
              <w:rPr>
                <w:b/>
                <w:sz w:val="22"/>
                <w:szCs w:val="20"/>
              </w:rPr>
              <w:t xml:space="preserve">.  Timelines for Substitute Claimant to Take Action </w:t>
            </w:r>
          </w:p>
        </w:tc>
        <w:tc>
          <w:tcPr>
            <w:tcW w:w="7740" w:type="dxa"/>
          </w:tcPr>
          <w:p w14:paraId="7A534854" w14:textId="77777777" w:rsidR="00AA0EA4" w:rsidRPr="00F7105A" w:rsidRDefault="00AA0EA4" w:rsidP="00945798">
            <w:pPr>
              <w:ind w:left="-18"/>
            </w:pPr>
            <w:r w:rsidRPr="00F7105A">
              <w:t>Once a substitution request is granted, the substitute claimant must complete any action required by law or regulation within the time period remaining for the claimant to take such action on the date of his or her death.</w:t>
            </w:r>
          </w:p>
          <w:p w14:paraId="680AC60F" w14:textId="77777777" w:rsidR="00AA0EA4" w:rsidRPr="00F7105A" w:rsidRDefault="00AA0EA4" w:rsidP="00945798">
            <w:pPr>
              <w:ind w:left="-18"/>
            </w:pPr>
          </w:p>
          <w:p w14:paraId="005D1DEC" w14:textId="77777777" w:rsidR="00AA0EA4" w:rsidRPr="00F7105A" w:rsidRDefault="00AA0EA4" w:rsidP="00945798">
            <w:pPr>
              <w:ind w:left="-18"/>
              <w:rPr>
                <w:szCs w:val="20"/>
              </w:rPr>
            </w:pPr>
            <w:r w:rsidRPr="00F7105A">
              <w:rPr>
                <w:b/>
                <w:i/>
              </w:rPr>
              <w:t>Note</w:t>
            </w:r>
            <w:r w:rsidRPr="00F7105A">
              <w:t>: The time remaining to take such action will start to run on the date of the mailing of the decision granting the substitution request.</w:t>
            </w:r>
          </w:p>
        </w:tc>
      </w:tr>
    </w:tbl>
    <w:p w14:paraId="2D438BEB" w14:textId="77777777" w:rsidR="00A31030" w:rsidRPr="00F7105A" w:rsidRDefault="00A31030" w:rsidP="00A31030">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A31030" w:rsidRPr="00F7105A" w14:paraId="14B9A80D" w14:textId="77777777" w:rsidTr="00945798">
        <w:trPr>
          <w:cantSplit/>
        </w:trPr>
        <w:tc>
          <w:tcPr>
            <w:tcW w:w="1728" w:type="dxa"/>
          </w:tcPr>
          <w:p w14:paraId="135B85CC" w14:textId="56C07570" w:rsidR="00A31030" w:rsidRPr="00F7105A" w:rsidRDefault="00E734E5" w:rsidP="00757BB1">
            <w:pPr>
              <w:numPr>
                <w:ilvl w:val="12"/>
                <w:numId w:val="0"/>
              </w:numPr>
              <w:outlineLvl w:val="4"/>
              <w:rPr>
                <w:b/>
                <w:sz w:val="22"/>
                <w:szCs w:val="20"/>
              </w:rPr>
            </w:pPr>
            <w:r w:rsidRPr="00F7105A">
              <w:rPr>
                <w:b/>
                <w:sz w:val="22"/>
                <w:szCs w:val="20"/>
              </w:rPr>
              <w:t xml:space="preserve">b.  </w:t>
            </w:r>
            <w:r w:rsidR="00757BB1" w:rsidRPr="00F7105A">
              <w:rPr>
                <w:b/>
                <w:sz w:val="22"/>
                <w:szCs w:val="20"/>
              </w:rPr>
              <w:t>Submission of Evidence and Other Rights</w:t>
            </w:r>
            <w:r w:rsidR="00AA0EA4" w:rsidRPr="00F7105A">
              <w:rPr>
                <w:b/>
                <w:sz w:val="22"/>
                <w:szCs w:val="20"/>
              </w:rPr>
              <w:t xml:space="preserve"> Afforded to the Substitute Claimant</w:t>
            </w:r>
          </w:p>
        </w:tc>
        <w:tc>
          <w:tcPr>
            <w:tcW w:w="7740" w:type="dxa"/>
          </w:tcPr>
          <w:p w14:paraId="4C9C768F" w14:textId="77777777" w:rsidR="00A31030" w:rsidRPr="00F7105A" w:rsidRDefault="00757BB1" w:rsidP="00757BB1">
            <w:pPr>
              <w:rPr>
                <w:szCs w:val="20"/>
              </w:rPr>
            </w:pPr>
            <w:r w:rsidRPr="00F7105A">
              <w:rPr>
                <w:szCs w:val="20"/>
              </w:rPr>
              <w:t>A substitute claimant has the same rights as would have applied to the original claimant had he or she not died, including the rights regarding</w:t>
            </w:r>
          </w:p>
          <w:p w14:paraId="5FE039FA" w14:textId="77777777" w:rsidR="00757BB1" w:rsidRPr="00F7105A" w:rsidRDefault="00757BB1" w:rsidP="00757BB1">
            <w:pPr>
              <w:rPr>
                <w:szCs w:val="20"/>
              </w:rPr>
            </w:pPr>
          </w:p>
          <w:p w14:paraId="7454868B" w14:textId="30663AD5" w:rsidR="00757BB1" w:rsidRPr="00F7105A" w:rsidRDefault="00757BB1" w:rsidP="00757BB1">
            <w:pPr>
              <w:pStyle w:val="ListParagraph"/>
              <w:numPr>
                <w:ilvl w:val="0"/>
                <w:numId w:val="22"/>
              </w:numPr>
              <w:ind w:left="162" w:hanging="180"/>
              <w:rPr>
                <w:szCs w:val="20"/>
              </w:rPr>
            </w:pPr>
            <w:r w:rsidRPr="00F7105A">
              <w:rPr>
                <w:szCs w:val="20"/>
              </w:rPr>
              <w:t>hearings</w:t>
            </w:r>
          </w:p>
          <w:p w14:paraId="69BA7DAD" w14:textId="6ECED4EB" w:rsidR="00757BB1" w:rsidRPr="00F7105A" w:rsidRDefault="00757BB1" w:rsidP="00757BB1">
            <w:pPr>
              <w:pStyle w:val="ListParagraph"/>
              <w:numPr>
                <w:ilvl w:val="0"/>
                <w:numId w:val="22"/>
              </w:numPr>
              <w:ind w:left="162" w:hanging="180"/>
              <w:rPr>
                <w:szCs w:val="20"/>
              </w:rPr>
            </w:pPr>
            <w:r w:rsidRPr="00F7105A">
              <w:rPr>
                <w:szCs w:val="20"/>
              </w:rPr>
              <w:t>representation</w:t>
            </w:r>
          </w:p>
          <w:p w14:paraId="73F7E13D" w14:textId="00F03CA4" w:rsidR="00757BB1" w:rsidRPr="00F7105A" w:rsidRDefault="00757BB1" w:rsidP="00757BB1">
            <w:pPr>
              <w:pStyle w:val="ListParagraph"/>
              <w:numPr>
                <w:ilvl w:val="0"/>
                <w:numId w:val="22"/>
              </w:numPr>
              <w:ind w:left="162" w:hanging="180"/>
              <w:rPr>
                <w:szCs w:val="20"/>
              </w:rPr>
            </w:pPr>
            <w:r w:rsidRPr="00F7105A">
              <w:rPr>
                <w:szCs w:val="20"/>
              </w:rPr>
              <w:t>appeals, and</w:t>
            </w:r>
          </w:p>
          <w:p w14:paraId="7235CB00" w14:textId="5CEBBB7E" w:rsidR="00757BB1" w:rsidRPr="00F7105A" w:rsidRDefault="00757BB1" w:rsidP="0055051E">
            <w:pPr>
              <w:pStyle w:val="ListParagraph"/>
              <w:numPr>
                <w:ilvl w:val="0"/>
                <w:numId w:val="22"/>
              </w:numPr>
              <w:ind w:left="162" w:hanging="180"/>
              <w:rPr>
                <w:szCs w:val="20"/>
              </w:rPr>
            </w:pPr>
            <w:r w:rsidRPr="00F7105A">
              <w:rPr>
                <w:szCs w:val="20"/>
              </w:rPr>
              <w:t>submission of evidence.</w:t>
            </w:r>
          </w:p>
        </w:tc>
      </w:tr>
    </w:tbl>
    <w:p w14:paraId="74A511ED" w14:textId="77777777" w:rsidR="00AA0EA4" w:rsidRPr="00F7105A" w:rsidRDefault="00AA0EA4" w:rsidP="00AA0EA4">
      <w:pPr>
        <w:pStyle w:val="BlockLine"/>
      </w:pPr>
    </w:p>
    <w:tbl>
      <w:tblPr>
        <w:tblW w:w="0" w:type="auto"/>
        <w:tblLayout w:type="fixed"/>
        <w:tblLook w:val="04A0" w:firstRow="1" w:lastRow="0" w:firstColumn="1" w:lastColumn="0" w:noHBand="0" w:noVBand="1"/>
      </w:tblPr>
      <w:tblGrid>
        <w:gridCol w:w="1728"/>
        <w:gridCol w:w="7740"/>
      </w:tblGrid>
      <w:tr w:rsidR="00AA0EA4" w:rsidRPr="00F7105A" w14:paraId="33DD2B92" w14:textId="77777777" w:rsidTr="00945798">
        <w:trPr>
          <w:cantSplit/>
        </w:trPr>
        <w:tc>
          <w:tcPr>
            <w:tcW w:w="1728" w:type="dxa"/>
            <w:hideMark/>
          </w:tcPr>
          <w:p w14:paraId="7BADA934" w14:textId="3F779C08" w:rsidR="00AA0EA4" w:rsidRPr="00F7105A" w:rsidRDefault="00E734E5">
            <w:pPr>
              <w:pStyle w:val="Heading5"/>
              <w:numPr>
                <w:ilvl w:val="12"/>
                <w:numId w:val="0"/>
              </w:numPr>
            </w:pPr>
            <w:r w:rsidRPr="00F7105A">
              <w:t>c</w:t>
            </w:r>
            <w:r w:rsidR="00AA0EA4" w:rsidRPr="00F7105A">
              <w:t>.  Rights Not Afforded to the Substitute Claimant</w:t>
            </w:r>
          </w:p>
        </w:tc>
        <w:tc>
          <w:tcPr>
            <w:tcW w:w="7740" w:type="dxa"/>
          </w:tcPr>
          <w:p w14:paraId="490EE92F" w14:textId="77777777" w:rsidR="00AA0EA4" w:rsidRPr="00F7105A" w:rsidRDefault="00AA0EA4">
            <w:pPr>
              <w:pStyle w:val="BlockText"/>
            </w:pPr>
            <w:r w:rsidRPr="00F7105A">
              <w:t>Rights that may have applied to the claimant prior to death but which cannot practically apply to a substitute are not available to the substitute.</w:t>
            </w:r>
          </w:p>
          <w:p w14:paraId="1E1503FD" w14:textId="77777777" w:rsidR="00AA0EA4" w:rsidRPr="00F7105A" w:rsidRDefault="00AA0EA4">
            <w:pPr>
              <w:pStyle w:val="BlockText"/>
            </w:pPr>
          </w:p>
          <w:p w14:paraId="17ABC625" w14:textId="1A152261" w:rsidR="00AA0EA4" w:rsidRPr="00F7105A" w:rsidRDefault="00AA0EA4">
            <w:pPr>
              <w:pStyle w:val="BlockText"/>
            </w:pPr>
            <w:r w:rsidRPr="00F7105A">
              <w:rPr>
                <w:b/>
                <w:i/>
              </w:rPr>
              <w:t>Example</w:t>
            </w:r>
            <w:r w:rsidRPr="00F7105A">
              <w:t>:  Medical examinations.</w:t>
            </w:r>
          </w:p>
        </w:tc>
      </w:tr>
    </w:tbl>
    <w:p w14:paraId="3170C7AD" w14:textId="5C149E98" w:rsidR="00A31030" w:rsidRPr="00F7105A" w:rsidRDefault="00A31030" w:rsidP="00A31030">
      <w:pPr>
        <w:pStyle w:val="BlockLine"/>
      </w:pPr>
    </w:p>
    <w:tbl>
      <w:tblPr>
        <w:tblW w:w="0" w:type="auto"/>
        <w:tblLayout w:type="fixed"/>
        <w:tblLook w:val="04A0" w:firstRow="1" w:lastRow="0" w:firstColumn="1" w:lastColumn="0" w:noHBand="0" w:noVBand="1"/>
      </w:tblPr>
      <w:tblGrid>
        <w:gridCol w:w="1728"/>
        <w:gridCol w:w="7740"/>
      </w:tblGrid>
      <w:tr w:rsidR="00A31030" w:rsidRPr="00F7105A" w14:paraId="296BAFBE" w14:textId="77777777" w:rsidTr="00945798">
        <w:trPr>
          <w:cantSplit/>
        </w:trPr>
        <w:tc>
          <w:tcPr>
            <w:tcW w:w="1728" w:type="dxa"/>
            <w:hideMark/>
          </w:tcPr>
          <w:p w14:paraId="4EA9003A" w14:textId="5A84C0DD" w:rsidR="00A31030" w:rsidRPr="00F7105A" w:rsidRDefault="00E734E5" w:rsidP="00757BB1">
            <w:pPr>
              <w:pStyle w:val="Heading5"/>
              <w:numPr>
                <w:ilvl w:val="12"/>
                <w:numId w:val="0"/>
              </w:numPr>
            </w:pPr>
            <w:r w:rsidRPr="00F7105A">
              <w:lastRenderedPageBreak/>
              <w:t>d</w:t>
            </w:r>
            <w:r w:rsidR="00A31030" w:rsidRPr="00F7105A">
              <w:t xml:space="preserve">.  </w:t>
            </w:r>
            <w:r w:rsidR="00757BB1" w:rsidRPr="00F7105A">
              <w:t xml:space="preserve">Expansion of the </w:t>
            </w:r>
            <w:r w:rsidRPr="00F7105A">
              <w:t>C</w:t>
            </w:r>
            <w:r w:rsidR="00757BB1" w:rsidRPr="00F7105A">
              <w:t>laim</w:t>
            </w:r>
          </w:p>
        </w:tc>
        <w:tc>
          <w:tcPr>
            <w:tcW w:w="7740" w:type="dxa"/>
          </w:tcPr>
          <w:p w14:paraId="43154E48" w14:textId="77777777" w:rsidR="00A31030" w:rsidRPr="00F7105A" w:rsidRDefault="00757BB1" w:rsidP="00757BB1">
            <w:pPr>
              <w:pStyle w:val="BlockText"/>
            </w:pPr>
            <w:r w:rsidRPr="00F7105A">
              <w:t>The substitute claimant may not</w:t>
            </w:r>
          </w:p>
          <w:p w14:paraId="0D5F9C68" w14:textId="77777777" w:rsidR="00757BB1" w:rsidRPr="00F7105A" w:rsidRDefault="00757BB1" w:rsidP="00757BB1">
            <w:pPr>
              <w:pStyle w:val="BlockText"/>
            </w:pPr>
          </w:p>
          <w:p w14:paraId="62407E6C" w14:textId="0EE19AA7" w:rsidR="00757BB1" w:rsidRPr="00F7105A" w:rsidRDefault="00757BB1" w:rsidP="0055051E">
            <w:pPr>
              <w:pStyle w:val="ListParagraph"/>
              <w:numPr>
                <w:ilvl w:val="0"/>
                <w:numId w:val="118"/>
              </w:numPr>
              <w:ind w:left="158" w:hanging="187"/>
            </w:pPr>
            <w:r w:rsidRPr="00F7105A">
              <w:t xml:space="preserve">add an issue to the claim, or </w:t>
            </w:r>
          </w:p>
          <w:p w14:paraId="39A432DE" w14:textId="77777777" w:rsidR="00757BB1" w:rsidRPr="00F7105A" w:rsidRDefault="00757BB1" w:rsidP="0055051E">
            <w:pPr>
              <w:pStyle w:val="ListParagraph"/>
              <w:numPr>
                <w:ilvl w:val="0"/>
                <w:numId w:val="118"/>
              </w:numPr>
              <w:ind w:left="158" w:hanging="187"/>
            </w:pPr>
            <w:r w:rsidRPr="00F7105A">
              <w:t>expand the claim.</w:t>
            </w:r>
          </w:p>
          <w:p w14:paraId="1CA26FA7" w14:textId="77777777" w:rsidR="00757BB1" w:rsidRPr="00F7105A" w:rsidRDefault="00757BB1" w:rsidP="0055051E">
            <w:pPr>
              <w:ind w:left="158" w:hanging="187"/>
            </w:pPr>
          </w:p>
          <w:p w14:paraId="64158A68" w14:textId="6B404BA2" w:rsidR="00757BB1" w:rsidRPr="00F7105A" w:rsidRDefault="00757BB1" w:rsidP="00757BB1">
            <w:pPr>
              <w:pStyle w:val="BlockText"/>
            </w:pPr>
            <w:r w:rsidRPr="00F7105A">
              <w:rPr>
                <w:b/>
                <w:i/>
              </w:rPr>
              <w:t>Note</w:t>
            </w:r>
            <w:r w:rsidRPr="00F7105A">
              <w:t>:  The substitute claimant may raise new theories of entitlement in support of the claim.</w:t>
            </w:r>
          </w:p>
        </w:tc>
      </w:tr>
    </w:tbl>
    <w:p w14:paraId="4352C31A" w14:textId="77777777" w:rsidR="000F2907" w:rsidRPr="00F7105A" w:rsidRDefault="000F2907" w:rsidP="000F2907">
      <w:pPr>
        <w:pStyle w:val="BlockLine"/>
      </w:pPr>
    </w:p>
    <w:tbl>
      <w:tblPr>
        <w:tblW w:w="0" w:type="auto"/>
        <w:tblLayout w:type="fixed"/>
        <w:tblLook w:val="04A0" w:firstRow="1" w:lastRow="0" w:firstColumn="1" w:lastColumn="0" w:noHBand="0" w:noVBand="1"/>
      </w:tblPr>
      <w:tblGrid>
        <w:gridCol w:w="1728"/>
        <w:gridCol w:w="7740"/>
      </w:tblGrid>
      <w:tr w:rsidR="000F2907" w:rsidRPr="00F7105A" w14:paraId="6656CD38" w14:textId="77777777" w:rsidTr="00BA4067">
        <w:trPr>
          <w:cantSplit/>
        </w:trPr>
        <w:tc>
          <w:tcPr>
            <w:tcW w:w="1728" w:type="dxa"/>
            <w:hideMark/>
          </w:tcPr>
          <w:p w14:paraId="59139A54" w14:textId="36C02220" w:rsidR="000F2907" w:rsidRPr="00F7105A" w:rsidRDefault="000F2907" w:rsidP="00BA4067">
            <w:pPr>
              <w:pStyle w:val="Heading5"/>
              <w:numPr>
                <w:ilvl w:val="12"/>
                <w:numId w:val="0"/>
              </w:numPr>
            </w:pPr>
            <w:r w:rsidRPr="00F7105A">
              <w:t>e.  Example:  Calculating the Time Limit When a Section 5103 Notice Was Not Sent to the Original Claimant</w:t>
            </w:r>
          </w:p>
        </w:tc>
        <w:tc>
          <w:tcPr>
            <w:tcW w:w="7740" w:type="dxa"/>
          </w:tcPr>
          <w:p w14:paraId="24853367" w14:textId="77777777" w:rsidR="000F2907" w:rsidRPr="00F7105A" w:rsidRDefault="000F2907" w:rsidP="000F2907">
            <w:pPr>
              <w:pStyle w:val="BlockText"/>
              <w:rPr>
                <w:b/>
                <w:i/>
              </w:rPr>
            </w:pPr>
            <w:r w:rsidRPr="00F7105A">
              <w:rPr>
                <w:b/>
                <w:i/>
              </w:rPr>
              <w:t>Situation 1:</w:t>
            </w:r>
          </w:p>
          <w:p w14:paraId="2511CC36" w14:textId="77777777" w:rsidR="000F2907" w:rsidRPr="00F7105A" w:rsidRDefault="000F2907" w:rsidP="000F2907">
            <w:pPr>
              <w:pStyle w:val="BlockText"/>
              <w:numPr>
                <w:ilvl w:val="0"/>
                <w:numId w:val="138"/>
              </w:numPr>
              <w:ind w:left="162" w:hanging="180"/>
            </w:pPr>
            <w:r w:rsidRPr="00F7105A">
              <w:t>On 04/01/2015, VA received a claim for service connection for a right hip condition.</w:t>
            </w:r>
          </w:p>
          <w:p w14:paraId="36D40CA2" w14:textId="77777777" w:rsidR="000F2907" w:rsidRPr="00F7105A" w:rsidRDefault="000F2907" w:rsidP="000F2907">
            <w:pPr>
              <w:pStyle w:val="BlockText"/>
              <w:numPr>
                <w:ilvl w:val="0"/>
                <w:numId w:val="138"/>
              </w:numPr>
              <w:ind w:left="162" w:hanging="180"/>
            </w:pPr>
            <w:r w:rsidRPr="00F7105A">
              <w:t xml:space="preserve">On 04/23/2015, the Veteran died.  VA was unable to send the Section 5103 notice to the Veteran before he died. </w:t>
            </w:r>
          </w:p>
          <w:p w14:paraId="7FF57498" w14:textId="77777777" w:rsidR="000F2907" w:rsidRPr="00F7105A" w:rsidRDefault="000F2907" w:rsidP="000F2907">
            <w:pPr>
              <w:pStyle w:val="BlockText"/>
              <w:ind w:left="720"/>
            </w:pPr>
          </w:p>
          <w:p w14:paraId="0686F1F2" w14:textId="77777777" w:rsidR="000F2907" w:rsidRPr="00F7105A" w:rsidRDefault="000F2907" w:rsidP="000F2907">
            <w:pPr>
              <w:pStyle w:val="BlockText"/>
            </w:pPr>
            <w:r w:rsidRPr="00F7105A">
              <w:rPr>
                <w:b/>
                <w:i/>
              </w:rPr>
              <w:t>Result</w:t>
            </w:r>
            <w:r w:rsidRPr="00F7105A">
              <w:t xml:space="preserve">:  </w:t>
            </w:r>
          </w:p>
          <w:p w14:paraId="5D3C1DF9" w14:textId="4D141D28" w:rsidR="000F2907" w:rsidRPr="00F7105A" w:rsidRDefault="000F2907" w:rsidP="005A7D7C">
            <w:pPr>
              <w:pStyle w:val="BlockText"/>
            </w:pPr>
            <w:r w:rsidRPr="00F7105A">
              <w:t xml:space="preserve">Since the 5103 notice was not sent to the original claimant, allow the substitute claimant 30 days to submit evidence when providing the Section 5103 notice.  </w:t>
            </w:r>
          </w:p>
        </w:tc>
      </w:tr>
    </w:tbl>
    <w:p w14:paraId="2B0BCF89" w14:textId="77777777" w:rsidR="000F2907" w:rsidRPr="00F7105A" w:rsidRDefault="000F2907" w:rsidP="000F2907">
      <w:pPr>
        <w:pStyle w:val="BlockLine"/>
      </w:pPr>
    </w:p>
    <w:tbl>
      <w:tblPr>
        <w:tblW w:w="0" w:type="auto"/>
        <w:tblLayout w:type="fixed"/>
        <w:tblLook w:val="04A0" w:firstRow="1" w:lastRow="0" w:firstColumn="1" w:lastColumn="0" w:noHBand="0" w:noVBand="1"/>
      </w:tblPr>
      <w:tblGrid>
        <w:gridCol w:w="1728"/>
        <w:gridCol w:w="7740"/>
      </w:tblGrid>
      <w:tr w:rsidR="000F2907" w:rsidRPr="00F7105A" w14:paraId="2C80001C" w14:textId="77777777" w:rsidTr="00BA4067">
        <w:trPr>
          <w:cantSplit/>
        </w:trPr>
        <w:tc>
          <w:tcPr>
            <w:tcW w:w="1728" w:type="dxa"/>
            <w:hideMark/>
          </w:tcPr>
          <w:p w14:paraId="7F258DB6" w14:textId="50D866B5" w:rsidR="000F2907" w:rsidRPr="00F7105A" w:rsidRDefault="000F2907" w:rsidP="005A7D7C">
            <w:pPr>
              <w:pStyle w:val="Heading5"/>
              <w:numPr>
                <w:ilvl w:val="12"/>
                <w:numId w:val="0"/>
              </w:numPr>
            </w:pPr>
            <w:r w:rsidRPr="00F7105A">
              <w:t>f.  Example:  Calculating the Time Limit When a Section 5103 Notice Sent to the Original Claimant Has Not Expired</w:t>
            </w:r>
          </w:p>
        </w:tc>
        <w:tc>
          <w:tcPr>
            <w:tcW w:w="7740" w:type="dxa"/>
          </w:tcPr>
          <w:p w14:paraId="66C5A5EF" w14:textId="77777777" w:rsidR="000F2907" w:rsidRPr="00F7105A" w:rsidRDefault="000F2907" w:rsidP="005A7D7C">
            <w:pPr>
              <w:pStyle w:val="BlockText"/>
            </w:pPr>
            <w:r w:rsidRPr="00F7105A">
              <w:rPr>
                <w:b/>
                <w:i/>
              </w:rPr>
              <w:t>Situation 2</w:t>
            </w:r>
            <w:r w:rsidRPr="00F7105A">
              <w:t xml:space="preserve">:  </w:t>
            </w:r>
          </w:p>
          <w:p w14:paraId="477BB969" w14:textId="77777777" w:rsidR="000F2907" w:rsidRPr="00F7105A" w:rsidRDefault="000F2907" w:rsidP="005A7D7C">
            <w:pPr>
              <w:pStyle w:val="BlockText"/>
              <w:numPr>
                <w:ilvl w:val="0"/>
                <w:numId w:val="138"/>
              </w:numPr>
              <w:ind w:left="162" w:hanging="162"/>
            </w:pPr>
            <w:r w:rsidRPr="00F7105A">
              <w:t>On 04/01/2015, VA received a claim for service connection for a right hip condition.</w:t>
            </w:r>
          </w:p>
          <w:p w14:paraId="7084C716" w14:textId="77777777" w:rsidR="000F2907" w:rsidRPr="00F7105A" w:rsidRDefault="000F2907" w:rsidP="005A7D7C">
            <w:pPr>
              <w:pStyle w:val="BlockText"/>
              <w:numPr>
                <w:ilvl w:val="0"/>
                <w:numId w:val="138"/>
              </w:numPr>
              <w:ind w:left="162" w:hanging="162"/>
            </w:pPr>
            <w:r w:rsidRPr="00F7105A">
              <w:t>On 04/15/2015, the Veteran was sent an adequate Section 5103 notice on a pending claim for right hip condition.</w:t>
            </w:r>
          </w:p>
          <w:p w14:paraId="30D67DF2" w14:textId="77777777" w:rsidR="000F2907" w:rsidRPr="00F7105A" w:rsidRDefault="000F2907" w:rsidP="005A7D7C">
            <w:pPr>
              <w:pStyle w:val="BlockText"/>
              <w:numPr>
                <w:ilvl w:val="0"/>
                <w:numId w:val="138"/>
              </w:numPr>
              <w:ind w:left="162" w:hanging="162"/>
            </w:pPr>
            <w:r w:rsidRPr="00F7105A">
              <w:t xml:space="preserve">On 04/23/2015, the Veteran died and prior to his death, no additional evidence was submitted that required development. </w:t>
            </w:r>
          </w:p>
          <w:p w14:paraId="2FAA766C" w14:textId="77777777" w:rsidR="000F2907" w:rsidRPr="00F7105A" w:rsidRDefault="000F2907" w:rsidP="005A7D7C">
            <w:pPr>
              <w:pStyle w:val="BlockText"/>
            </w:pPr>
          </w:p>
          <w:p w14:paraId="398DC7FB" w14:textId="77777777" w:rsidR="000F2907" w:rsidRPr="00F7105A" w:rsidRDefault="000F2907" w:rsidP="005A7D7C">
            <w:pPr>
              <w:pStyle w:val="BlockText"/>
            </w:pPr>
            <w:r w:rsidRPr="00F7105A">
              <w:rPr>
                <w:b/>
                <w:i/>
              </w:rPr>
              <w:t>Result</w:t>
            </w:r>
            <w:r w:rsidRPr="00F7105A">
              <w:t>:</w:t>
            </w:r>
          </w:p>
          <w:p w14:paraId="0F3DAB3F" w14:textId="5AC9FDF6" w:rsidR="000F2907" w:rsidRPr="00F7105A" w:rsidRDefault="000F2907" w:rsidP="005A7D7C">
            <w:pPr>
              <w:pStyle w:val="BlockText"/>
            </w:pPr>
            <w:r w:rsidRPr="00F7105A">
              <w:t>Since only 8 days have passed</w:t>
            </w:r>
            <w:r w:rsidR="0003287B" w:rsidRPr="00F7105A">
              <w:t>, at the time of the deceased claimant’s death,</w:t>
            </w:r>
            <w:r w:rsidRPr="00F7105A">
              <w:t xml:space="preserve"> since the 5103 notice, allow the substitute claimant 22 days to submit evidence when providing </w:t>
            </w:r>
            <w:r w:rsidR="00231534" w:rsidRPr="00F7105A">
              <w:t>a</w:t>
            </w:r>
            <w:r w:rsidRPr="00F7105A">
              <w:t xml:space="preserve"> notice</w:t>
            </w:r>
            <w:r w:rsidR="00231534" w:rsidRPr="00F7105A">
              <w:t xml:space="preserve"> to the substitute claimant that the request for substitution has been granted</w:t>
            </w:r>
            <w:r w:rsidRPr="00F7105A">
              <w:t xml:space="preserve">.  </w:t>
            </w:r>
          </w:p>
          <w:p w14:paraId="4B2A2FFE" w14:textId="3EA56AD9" w:rsidR="000F2907" w:rsidRPr="00F7105A" w:rsidRDefault="000F2907" w:rsidP="005A7D7C">
            <w:pPr>
              <w:pStyle w:val="BlockText"/>
            </w:pPr>
          </w:p>
        </w:tc>
      </w:tr>
    </w:tbl>
    <w:p w14:paraId="40BB7440" w14:textId="77777777" w:rsidR="00A83BE5" w:rsidRPr="00F7105A" w:rsidRDefault="00A83BE5" w:rsidP="00A83BE5">
      <w:pPr>
        <w:pStyle w:val="BlockLine"/>
      </w:pPr>
    </w:p>
    <w:tbl>
      <w:tblPr>
        <w:tblW w:w="0" w:type="auto"/>
        <w:tblLayout w:type="fixed"/>
        <w:tblLook w:val="04A0" w:firstRow="1" w:lastRow="0" w:firstColumn="1" w:lastColumn="0" w:noHBand="0" w:noVBand="1"/>
      </w:tblPr>
      <w:tblGrid>
        <w:gridCol w:w="1728"/>
        <w:gridCol w:w="7740"/>
      </w:tblGrid>
      <w:tr w:rsidR="00A83BE5" w:rsidRPr="00F7105A" w14:paraId="3750EA5C" w14:textId="77777777" w:rsidTr="00012F44">
        <w:trPr>
          <w:cantSplit/>
        </w:trPr>
        <w:tc>
          <w:tcPr>
            <w:tcW w:w="1728" w:type="dxa"/>
            <w:hideMark/>
          </w:tcPr>
          <w:p w14:paraId="72679649" w14:textId="57B0C2C8" w:rsidR="00A83BE5" w:rsidRPr="00F7105A" w:rsidRDefault="00A83BE5" w:rsidP="00012F44">
            <w:pPr>
              <w:pStyle w:val="Heading5"/>
              <w:numPr>
                <w:ilvl w:val="12"/>
                <w:numId w:val="0"/>
              </w:numPr>
            </w:pPr>
            <w:r w:rsidRPr="00F7105A">
              <w:lastRenderedPageBreak/>
              <w:t>g.  Example:  Calculating the Time Limit When a Section 5103 Notice Sent to the Original Claimant Has Expired</w:t>
            </w:r>
          </w:p>
        </w:tc>
        <w:tc>
          <w:tcPr>
            <w:tcW w:w="7740" w:type="dxa"/>
          </w:tcPr>
          <w:p w14:paraId="43033BAA" w14:textId="77777777" w:rsidR="00A83BE5" w:rsidRPr="00F7105A" w:rsidRDefault="00A83BE5" w:rsidP="00A83BE5">
            <w:pPr>
              <w:pStyle w:val="BlockText"/>
            </w:pPr>
            <w:r w:rsidRPr="00F7105A">
              <w:rPr>
                <w:b/>
                <w:i/>
              </w:rPr>
              <w:t>Situation</w:t>
            </w:r>
            <w:r w:rsidRPr="00F7105A">
              <w:t>:</w:t>
            </w:r>
          </w:p>
          <w:p w14:paraId="6E14D314" w14:textId="77777777" w:rsidR="00A83BE5" w:rsidRPr="00F7105A" w:rsidRDefault="00A83BE5" w:rsidP="00A83BE5">
            <w:pPr>
              <w:pStyle w:val="BlockText"/>
              <w:numPr>
                <w:ilvl w:val="0"/>
                <w:numId w:val="138"/>
              </w:numPr>
              <w:ind w:left="162" w:hanging="162"/>
            </w:pPr>
            <w:r w:rsidRPr="00F7105A">
              <w:t>On 04/01/2015, VA received a claim for service connection for a right hip condition.</w:t>
            </w:r>
          </w:p>
          <w:p w14:paraId="2FF29CCE" w14:textId="77777777" w:rsidR="00A83BE5" w:rsidRPr="00F7105A" w:rsidRDefault="00A83BE5" w:rsidP="00A83BE5">
            <w:pPr>
              <w:pStyle w:val="BlockText"/>
              <w:numPr>
                <w:ilvl w:val="0"/>
                <w:numId w:val="138"/>
              </w:numPr>
              <w:ind w:left="162" w:hanging="162"/>
            </w:pPr>
            <w:r w:rsidRPr="00F7105A">
              <w:t>On 04/15/2015, the Veteran was sent an adequate Section 5103 notice on a pending claim for right hip condition.</w:t>
            </w:r>
          </w:p>
          <w:p w14:paraId="09764C1A" w14:textId="77777777" w:rsidR="00A83BE5" w:rsidRPr="00F7105A" w:rsidRDefault="00A83BE5" w:rsidP="00A83BE5">
            <w:pPr>
              <w:pStyle w:val="BlockText"/>
              <w:numPr>
                <w:ilvl w:val="0"/>
                <w:numId w:val="138"/>
              </w:numPr>
              <w:ind w:left="162" w:hanging="162"/>
            </w:pPr>
            <w:r w:rsidRPr="00F7105A">
              <w:t xml:space="preserve">On 06/23/2015, the Veteran died and prior to his death, no additional evidence was submitted that required development. </w:t>
            </w:r>
          </w:p>
          <w:p w14:paraId="1A523CF1" w14:textId="77777777" w:rsidR="00A83BE5" w:rsidRPr="00F7105A" w:rsidRDefault="00A83BE5" w:rsidP="00A83BE5">
            <w:pPr>
              <w:pStyle w:val="BlockText"/>
            </w:pPr>
          </w:p>
          <w:p w14:paraId="5FF8A591" w14:textId="77777777" w:rsidR="00A83BE5" w:rsidRPr="00F7105A" w:rsidRDefault="00A83BE5" w:rsidP="00A83BE5">
            <w:pPr>
              <w:pStyle w:val="BlockText"/>
            </w:pPr>
            <w:r w:rsidRPr="00F7105A">
              <w:rPr>
                <w:b/>
                <w:i/>
              </w:rPr>
              <w:t>Result</w:t>
            </w:r>
            <w:r w:rsidRPr="00F7105A">
              <w:t xml:space="preserve">:  </w:t>
            </w:r>
          </w:p>
          <w:p w14:paraId="60F1CCF6" w14:textId="60F49878" w:rsidR="00A83BE5" w:rsidRPr="00F7105A" w:rsidRDefault="00A83BE5" w:rsidP="00A83BE5">
            <w:pPr>
              <w:pStyle w:val="BlockText"/>
            </w:pPr>
            <w:r w:rsidRPr="00F7105A">
              <w:t>Since the full 30 days for the Section 5103 notice had passed, no additional time is required.  The substitute claimant will receive the same rights as the Veteran would have received, but for his death, to appeal the decision of the right hip condition.</w:t>
            </w:r>
          </w:p>
        </w:tc>
      </w:tr>
    </w:tbl>
    <w:p w14:paraId="7B6B46F9" w14:textId="77777777" w:rsidR="00CB79ED" w:rsidRPr="00F7105A" w:rsidRDefault="00CB79ED" w:rsidP="00CB79ED">
      <w:pPr>
        <w:pStyle w:val="BlockLine"/>
      </w:pPr>
    </w:p>
    <w:p w14:paraId="363BA1F7" w14:textId="77777777" w:rsidR="00A83BE5" w:rsidRPr="00F7105A" w:rsidRDefault="00A83BE5" w:rsidP="00A83BE5"/>
    <w:p w14:paraId="28C152B4" w14:textId="77777777" w:rsidR="00A83BE5" w:rsidRPr="00F7105A" w:rsidRDefault="00A83BE5" w:rsidP="00A83BE5"/>
    <w:p w14:paraId="1B8E924B" w14:textId="77777777" w:rsidR="00A83BE5" w:rsidRPr="00F7105A" w:rsidRDefault="00A83BE5" w:rsidP="00A83BE5"/>
    <w:p w14:paraId="478F04FD" w14:textId="77777777" w:rsidR="00A83BE5" w:rsidRPr="00F7105A" w:rsidRDefault="00A83BE5" w:rsidP="00A83BE5"/>
    <w:sectPr w:rsidR="00A83BE5" w:rsidRPr="00F71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F86298"/>
    <w:lvl w:ilvl="0">
      <w:numFmt w:val="decimal"/>
      <w:lvlText w:val="*"/>
      <w:lvlJc w:val="left"/>
    </w:lvl>
  </w:abstractNum>
  <w:abstractNum w:abstractNumId="1">
    <w:nsid w:val="000D31B0"/>
    <w:multiLevelType w:val="hybridMultilevel"/>
    <w:tmpl w:val="A86257A2"/>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EF06CF"/>
    <w:multiLevelType w:val="hybridMultilevel"/>
    <w:tmpl w:val="A268DED2"/>
    <w:lvl w:ilvl="0" w:tplc="1870D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747EE"/>
    <w:multiLevelType w:val="hybridMultilevel"/>
    <w:tmpl w:val="6310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D67C74"/>
    <w:multiLevelType w:val="hybridMultilevel"/>
    <w:tmpl w:val="977297B4"/>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8308C"/>
    <w:multiLevelType w:val="hybridMultilevel"/>
    <w:tmpl w:val="3CE0C11A"/>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CF315F"/>
    <w:multiLevelType w:val="hybridMultilevel"/>
    <w:tmpl w:val="857C5C3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E57B1F"/>
    <w:multiLevelType w:val="hybridMultilevel"/>
    <w:tmpl w:val="39D0327E"/>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5749E7"/>
    <w:multiLevelType w:val="hybridMultilevel"/>
    <w:tmpl w:val="B6A6AD94"/>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892A1D"/>
    <w:multiLevelType w:val="hybridMultilevel"/>
    <w:tmpl w:val="CA86F16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E57201"/>
    <w:multiLevelType w:val="hybridMultilevel"/>
    <w:tmpl w:val="E6780E3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33CC0"/>
    <w:multiLevelType w:val="hybridMultilevel"/>
    <w:tmpl w:val="201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6F4510"/>
    <w:multiLevelType w:val="hybridMultilevel"/>
    <w:tmpl w:val="98D2325A"/>
    <w:lvl w:ilvl="0" w:tplc="A3AA21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60D41"/>
    <w:multiLevelType w:val="hybridMultilevel"/>
    <w:tmpl w:val="668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E5696D"/>
    <w:multiLevelType w:val="hybridMultilevel"/>
    <w:tmpl w:val="8334D5C0"/>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4D7303"/>
    <w:multiLevelType w:val="hybridMultilevel"/>
    <w:tmpl w:val="FA5414B4"/>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15AA5"/>
    <w:multiLevelType w:val="hybridMultilevel"/>
    <w:tmpl w:val="8CE6D776"/>
    <w:lvl w:ilvl="0" w:tplc="7FA69B56">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7">
    <w:nsid w:val="103616B8"/>
    <w:multiLevelType w:val="hybridMultilevel"/>
    <w:tmpl w:val="972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0E0055"/>
    <w:multiLevelType w:val="hybridMultilevel"/>
    <w:tmpl w:val="DB60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673D5C"/>
    <w:multiLevelType w:val="hybridMultilevel"/>
    <w:tmpl w:val="693C798E"/>
    <w:lvl w:ilvl="0" w:tplc="1870D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2832E7"/>
    <w:multiLevelType w:val="hybridMultilevel"/>
    <w:tmpl w:val="E7C046A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252E91"/>
    <w:multiLevelType w:val="hybridMultilevel"/>
    <w:tmpl w:val="69A0B608"/>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8F63C5"/>
    <w:multiLevelType w:val="hybridMultilevel"/>
    <w:tmpl w:val="9894E228"/>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AA604E"/>
    <w:multiLevelType w:val="hybridMultilevel"/>
    <w:tmpl w:val="C7A6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B50596"/>
    <w:multiLevelType w:val="hybridMultilevel"/>
    <w:tmpl w:val="D788F976"/>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C067E7"/>
    <w:multiLevelType w:val="hybridMultilevel"/>
    <w:tmpl w:val="D086651A"/>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C34531"/>
    <w:multiLevelType w:val="hybridMultilevel"/>
    <w:tmpl w:val="440603F6"/>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146D70"/>
    <w:multiLevelType w:val="hybridMultilevel"/>
    <w:tmpl w:val="489E57FC"/>
    <w:lvl w:ilvl="0" w:tplc="076AE5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1A40F9"/>
    <w:multiLevelType w:val="hybridMultilevel"/>
    <w:tmpl w:val="8D3EE84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D31E3C"/>
    <w:multiLevelType w:val="hybridMultilevel"/>
    <w:tmpl w:val="5436FD70"/>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9C1CC5"/>
    <w:multiLevelType w:val="hybridMultilevel"/>
    <w:tmpl w:val="AF6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A512E7"/>
    <w:multiLevelType w:val="hybridMultilevel"/>
    <w:tmpl w:val="A28C442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2342BC"/>
    <w:multiLevelType w:val="hybridMultilevel"/>
    <w:tmpl w:val="D21AEE74"/>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734F28"/>
    <w:multiLevelType w:val="hybridMultilevel"/>
    <w:tmpl w:val="DF3EE3F8"/>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5109A9"/>
    <w:multiLevelType w:val="hybridMultilevel"/>
    <w:tmpl w:val="96ACD422"/>
    <w:lvl w:ilvl="0" w:tplc="076AE5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674B7E"/>
    <w:multiLevelType w:val="hybridMultilevel"/>
    <w:tmpl w:val="C1BCFD28"/>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AD5562"/>
    <w:multiLevelType w:val="hybridMultilevel"/>
    <w:tmpl w:val="95B6F47A"/>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C80690"/>
    <w:multiLevelType w:val="hybridMultilevel"/>
    <w:tmpl w:val="AF20CC2A"/>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94340E"/>
    <w:multiLevelType w:val="hybridMultilevel"/>
    <w:tmpl w:val="8706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B515A6"/>
    <w:multiLevelType w:val="hybridMultilevel"/>
    <w:tmpl w:val="917475D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DF3D26"/>
    <w:multiLevelType w:val="hybridMultilevel"/>
    <w:tmpl w:val="29FC274C"/>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B00207"/>
    <w:multiLevelType w:val="hybridMultilevel"/>
    <w:tmpl w:val="0674EF3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5D50F6F"/>
    <w:multiLevelType w:val="hybridMultilevel"/>
    <w:tmpl w:val="D2743B9C"/>
    <w:lvl w:ilvl="0" w:tplc="A3AA21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D15A34"/>
    <w:multiLevelType w:val="hybridMultilevel"/>
    <w:tmpl w:val="A2647A28"/>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E25BB7"/>
    <w:multiLevelType w:val="hybridMultilevel"/>
    <w:tmpl w:val="65A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75F1500"/>
    <w:multiLevelType w:val="hybridMultilevel"/>
    <w:tmpl w:val="95C2C94C"/>
    <w:lvl w:ilvl="0" w:tplc="7FA69B56">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6">
    <w:nsid w:val="27BA491F"/>
    <w:multiLevelType w:val="hybridMultilevel"/>
    <w:tmpl w:val="BB100A80"/>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D643BA"/>
    <w:multiLevelType w:val="hybridMultilevel"/>
    <w:tmpl w:val="E578CD8C"/>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92B0FD2"/>
    <w:multiLevelType w:val="hybridMultilevel"/>
    <w:tmpl w:val="52D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9EB6644"/>
    <w:multiLevelType w:val="hybridMultilevel"/>
    <w:tmpl w:val="3692D41A"/>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B657C4F"/>
    <w:multiLevelType w:val="hybridMultilevel"/>
    <w:tmpl w:val="68A4CC52"/>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EE5B82"/>
    <w:multiLevelType w:val="hybridMultilevel"/>
    <w:tmpl w:val="C952F8E6"/>
    <w:lvl w:ilvl="0" w:tplc="8B3E4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EF17C9"/>
    <w:multiLevelType w:val="hybridMultilevel"/>
    <w:tmpl w:val="5926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794FC3"/>
    <w:multiLevelType w:val="hybridMultilevel"/>
    <w:tmpl w:val="551C6C04"/>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0A90F26"/>
    <w:multiLevelType w:val="hybridMultilevel"/>
    <w:tmpl w:val="A0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0DE69A0"/>
    <w:multiLevelType w:val="hybridMultilevel"/>
    <w:tmpl w:val="BD5AC85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14B4E03"/>
    <w:multiLevelType w:val="hybridMultilevel"/>
    <w:tmpl w:val="08D8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18D2D3D"/>
    <w:multiLevelType w:val="hybridMultilevel"/>
    <w:tmpl w:val="74043E9C"/>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1B74C0"/>
    <w:multiLevelType w:val="hybridMultilevel"/>
    <w:tmpl w:val="6302DC24"/>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44610CF"/>
    <w:multiLevelType w:val="hybridMultilevel"/>
    <w:tmpl w:val="34AC24D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4A60C26"/>
    <w:multiLevelType w:val="hybridMultilevel"/>
    <w:tmpl w:val="623E678A"/>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4A84A04"/>
    <w:multiLevelType w:val="hybridMultilevel"/>
    <w:tmpl w:val="922077F8"/>
    <w:lvl w:ilvl="0" w:tplc="076AE5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4D352F5"/>
    <w:multiLevelType w:val="hybridMultilevel"/>
    <w:tmpl w:val="AB2672C0"/>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4F84E0A"/>
    <w:multiLevelType w:val="hybridMultilevel"/>
    <w:tmpl w:val="1ADCDCE8"/>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5605B37"/>
    <w:multiLevelType w:val="hybridMultilevel"/>
    <w:tmpl w:val="5032F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5677397"/>
    <w:multiLevelType w:val="hybridMultilevel"/>
    <w:tmpl w:val="4E825FE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90653C"/>
    <w:multiLevelType w:val="hybridMultilevel"/>
    <w:tmpl w:val="078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92F11B2"/>
    <w:multiLevelType w:val="hybridMultilevel"/>
    <w:tmpl w:val="F8AA2706"/>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99D6962"/>
    <w:multiLevelType w:val="hybridMultilevel"/>
    <w:tmpl w:val="607036B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A8654A8"/>
    <w:multiLevelType w:val="hybridMultilevel"/>
    <w:tmpl w:val="D3EE1344"/>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C4B50B1"/>
    <w:multiLevelType w:val="hybridMultilevel"/>
    <w:tmpl w:val="DB8C42F6"/>
    <w:lvl w:ilvl="0" w:tplc="076AE5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CA54019"/>
    <w:multiLevelType w:val="hybridMultilevel"/>
    <w:tmpl w:val="5E08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D786455"/>
    <w:multiLevelType w:val="hybridMultilevel"/>
    <w:tmpl w:val="BAB661EC"/>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E23152F"/>
    <w:multiLevelType w:val="hybridMultilevel"/>
    <w:tmpl w:val="9FA4FEA4"/>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F415251"/>
    <w:multiLevelType w:val="multilevel"/>
    <w:tmpl w:val="143A350E"/>
    <w:lvl w:ilvl="0">
      <w:start w:val="1"/>
      <w:numFmt w:val="decimal"/>
      <w:lvlText w:val="%1."/>
      <w:lvlJc w:val="left"/>
      <w:pPr>
        <w:tabs>
          <w:tab w:val="num" w:pos="360"/>
        </w:tabs>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5">
    <w:nsid w:val="3FAB4CA6"/>
    <w:multiLevelType w:val="hybridMultilevel"/>
    <w:tmpl w:val="A41A026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021634B"/>
    <w:multiLevelType w:val="hybridMultilevel"/>
    <w:tmpl w:val="062C255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158139B"/>
    <w:multiLevelType w:val="hybridMultilevel"/>
    <w:tmpl w:val="BDA261E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8">
    <w:nsid w:val="41C30908"/>
    <w:multiLevelType w:val="hybridMultilevel"/>
    <w:tmpl w:val="4C12E2E0"/>
    <w:lvl w:ilvl="0" w:tplc="076AE5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B1613E"/>
    <w:multiLevelType w:val="hybridMultilevel"/>
    <w:tmpl w:val="AC442B54"/>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F03EB3"/>
    <w:multiLevelType w:val="hybridMultilevel"/>
    <w:tmpl w:val="142C4214"/>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270C78"/>
    <w:multiLevelType w:val="hybridMultilevel"/>
    <w:tmpl w:val="F14236CC"/>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4640B1"/>
    <w:multiLevelType w:val="hybridMultilevel"/>
    <w:tmpl w:val="FDE006BE"/>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6A2677"/>
    <w:multiLevelType w:val="hybridMultilevel"/>
    <w:tmpl w:val="BE4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FC6E8F"/>
    <w:multiLevelType w:val="hybridMultilevel"/>
    <w:tmpl w:val="862EF8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5">
    <w:nsid w:val="48687CF1"/>
    <w:multiLevelType w:val="hybridMultilevel"/>
    <w:tmpl w:val="ECC4CFAE"/>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BFD66E4"/>
    <w:multiLevelType w:val="hybridMultilevel"/>
    <w:tmpl w:val="F78086B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C982A33"/>
    <w:multiLevelType w:val="hybridMultilevel"/>
    <w:tmpl w:val="28EE8302"/>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DA91561"/>
    <w:multiLevelType w:val="hybridMultilevel"/>
    <w:tmpl w:val="D3ACEF80"/>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BB1605"/>
    <w:multiLevelType w:val="hybridMultilevel"/>
    <w:tmpl w:val="1622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EEB60A8"/>
    <w:multiLevelType w:val="hybridMultilevel"/>
    <w:tmpl w:val="C39CB79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F826E24"/>
    <w:multiLevelType w:val="hybridMultilevel"/>
    <w:tmpl w:val="341801C4"/>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04D4F8F"/>
    <w:multiLevelType w:val="hybridMultilevel"/>
    <w:tmpl w:val="DE0622AE"/>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0981E53"/>
    <w:multiLevelType w:val="hybridMultilevel"/>
    <w:tmpl w:val="FDF8CCF4"/>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1FD0F15"/>
    <w:multiLevelType w:val="hybridMultilevel"/>
    <w:tmpl w:val="AE184624"/>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35F3781"/>
    <w:multiLevelType w:val="hybridMultilevel"/>
    <w:tmpl w:val="0F429F46"/>
    <w:lvl w:ilvl="0" w:tplc="5D8EAE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4895EBC"/>
    <w:multiLevelType w:val="hybridMultilevel"/>
    <w:tmpl w:val="22A6A7D0"/>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4E76545"/>
    <w:multiLevelType w:val="hybridMultilevel"/>
    <w:tmpl w:val="A9D83EE0"/>
    <w:lvl w:ilvl="0" w:tplc="076AE5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52067A2"/>
    <w:multiLevelType w:val="hybridMultilevel"/>
    <w:tmpl w:val="040CB810"/>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5B30213"/>
    <w:multiLevelType w:val="hybridMultilevel"/>
    <w:tmpl w:val="5D8A09D8"/>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7163508"/>
    <w:multiLevelType w:val="hybridMultilevel"/>
    <w:tmpl w:val="5B380E78"/>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7440473"/>
    <w:multiLevelType w:val="hybridMultilevel"/>
    <w:tmpl w:val="D2D02614"/>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856199E"/>
    <w:multiLevelType w:val="hybridMultilevel"/>
    <w:tmpl w:val="FCE20612"/>
    <w:lvl w:ilvl="0" w:tplc="5D8EAE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A3D2BA0"/>
    <w:multiLevelType w:val="hybridMultilevel"/>
    <w:tmpl w:val="C978A1A4"/>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AFA7B30"/>
    <w:multiLevelType w:val="hybridMultilevel"/>
    <w:tmpl w:val="73E6D33C"/>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BD11B04"/>
    <w:multiLevelType w:val="hybridMultilevel"/>
    <w:tmpl w:val="036C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C197177"/>
    <w:multiLevelType w:val="hybridMultilevel"/>
    <w:tmpl w:val="56A6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D1113AF"/>
    <w:multiLevelType w:val="hybridMultilevel"/>
    <w:tmpl w:val="C1DA4730"/>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E135C46"/>
    <w:multiLevelType w:val="hybridMultilevel"/>
    <w:tmpl w:val="7CB24026"/>
    <w:lvl w:ilvl="0" w:tplc="076AE5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E8971DB"/>
    <w:multiLevelType w:val="hybridMultilevel"/>
    <w:tmpl w:val="5BEE315C"/>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E954418"/>
    <w:multiLevelType w:val="hybridMultilevel"/>
    <w:tmpl w:val="36EA225E"/>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F673CCA"/>
    <w:multiLevelType w:val="hybridMultilevel"/>
    <w:tmpl w:val="8856C19A"/>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07238A2"/>
    <w:multiLevelType w:val="hybridMultilevel"/>
    <w:tmpl w:val="C0562E38"/>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3086845"/>
    <w:multiLevelType w:val="hybridMultilevel"/>
    <w:tmpl w:val="C2FE2770"/>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3A04815"/>
    <w:multiLevelType w:val="hybridMultilevel"/>
    <w:tmpl w:val="031ED5EA"/>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4F0210D"/>
    <w:multiLevelType w:val="hybridMultilevel"/>
    <w:tmpl w:val="5F88664E"/>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5AC4498"/>
    <w:multiLevelType w:val="hybridMultilevel"/>
    <w:tmpl w:val="9A60C56E"/>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B062088"/>
    <w:multiLevelType w:val="hybridMultilevel"/>
    <w:tmpl w:val="7FBE2B2E"/>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C3B6052"/>
    <w:multiLevelType w:val="hybridMultilevel"/>
    <w:tmpl w:val="0344B7AE"/>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C6B02AF"/>
    <w:multiLevelType w:val="singleLevel"/>
    <w:tmpl w:val="CBC006D8"/>
    <w:lvl w:ilvl="0">
      <w:start w:val="1"/>
      <w:numFmt w:val="bullet"/>
      <w:lvlText w:val=""/>
      <w:lvlJc w:val="left"/>
      <w:pPr>
        <w:tabs>
          <w:tab w:val="num" w:pos="547"/>
        </w:tabs>
        <w:ind w:left="547" w:hanging="360"/>
      </w:pPr>
      <w:rPr>
        <w:rFonts w:ascii="Symbol" w:hAnsi="Symbol" w:hint="default"/>
        <w:color w:val="auto"/>
      </w:rPr>
    </w:lvl>
  </w:abstractNum>
  <w:abstractNum w:abstractNumId="121">
    <w:nsid w:val="6DA35B4F"/>
    <w:multiLevelType w:val="hybridMultilevel"/>
    <w:tmpl w:val="5E4AA98E"/>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DB32D7A"/>
    <w:multiLevelType w:val="hybridMultilevel"/>
    <w:tmpl w:val="B2D64044"/>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2085EAE"/>
    <w:multiLevelType w:val="hybridMultilevel"/>
    <w:tmpl w:val="FE549086"/>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3857ED6"/>
    <w:multiLevelType w:val="hybridMultilevel"/>
    <w:tmpl w:val="44D28B16"/>
    <w:lvl w:ilvl="0" w:tplc="907080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49E24DE"/>
    <w:multiLevelType w:val="hybridMultilevel"/>
    <w:tmpl w:val="163C6C22"/>
    <w:lvl w:ilvl="0" w:tplc="076AE5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522797D"/>
    <w:multiLevelType w:val="hybridMultilevel"/>
    <w:tmpl w:val="138899E0"/>
    <w:lvl w:ilvl="0" w:tplc="8B3E4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5D12914"/>
    <w:multiLevelType w:val="hybridMultilevel"/>
    <w:tmpl w:val="442A6480"/>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6B72700"/>
    <w:multiLevelType w:val="hybridMultilevel"/>
    <w:tmpl w:val="DD686978"/>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6EF12D7"/>
    <w:multiLevelType w:val="hybridMultilevel"/>
    <w:tmpl w:val="651E9A8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0">
    <w:nsid w:val="773D2684"/>
    <w:multiLevelType w:val="hybridMultilevel"/>
    <w:tmpl w:val="9872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83609FE"/>
    <w:multiLevelType w:val="hybridMultilevel"/>
    <w:tmpl w:val="EE92FB98"/>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133">
    <w:nsid w:val="78774BC9"/>
    <w:multiLevelType w:val="hybridMultilevel"/>
    <w:tmpl w:val="2B5CBD4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99A621B"/>
    <w:multiLevelType w:val="hybridMultilevel"/>
    <w:tmpl w:val="D694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9A57118"/>
    <w:multiLevelType w:val="hybridMultilevel"/>
    <w:tmpl w:val="C716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9BC066D"/>
    <w:multiLevelType w:val="hybridMultilevel"/>
    <w:tmpl w:val="7898C58C"/>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A846CEE"/>
    <w:multiLevelType w:val="hybridMultilevel"/>
    <w:tmpl w:val="7664459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AAB3B97"/>
    <w:multiLevelType w:val="hybridMultilevel"/>
    <w:tmpl w:val="95D23C64"/>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B3B565A"/>
    <w:multiLevelType w:val="hybridMultilevel"/>
    <w:tmpl w:val="0CF6B66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C30063F"/>
    <w:multiLevelType w:val="hybridMultilevel"/>
    <w:tmpl w:val="1300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D20080D"/>
    <w:multiLevelType w:val="hybridMultilevel"/>
    <w:tmpl w:val="FFEA5A84"/>
    <w:lvl w:ilvl="0" w:tplc="869A5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D253ECD"/>
    <w:multiLevelType w:val="hybridMultilevel"/>
    <w:tmpl w:val="E0420574"/>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DB13588"/>
    <w:multiLevelType w:val="hybridMultilevel"/>
    <w:tmpl w:val="AC246BD6"/>
    <w:lvl w:ilvl="0" w:tplc="112AF3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EFB2A47"/>
    <w:multiLevelType w:val="hybridMultilevel"/>
    <w:tmpl w:val="441064D6"/>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F024876"/>
    <w:multiLevelType w:val="hybridMultilevel"/>
    <w:tmpl w:val="3CCCBDFC"/>
    <w:lvl w:ilvl="0" w:tplc="5D0E78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3"/>
  </w:num>
  <w:num w:numId="2">
    <w:abstractNumId w:val="113"/>
  </w:num>
  <w:num w:numId="3">
    <w:abstractNumId w:val="51"/>
  </w:num>
  <w:num w:numId="4">
    <w:abstractNumId w:val="126"/>
  </w:num>
  <w:num w:numId="5">
    <w:abstractNumId w:val="42"/>
  </w:num>
  <w:num w:numId="6">
    <w:abstractNumId w:val="77"/>
  </w:num>
  <w:num w:numId="7">
    <w:abstractNumId w:val="12"/>
  </w:num>
  <w:num w:numId="8">
    <w:abstractNumId w:val="32"/>
  </w:num>
  <w:num w:numId="9">
    <w:abstractNumId w:val="130"/>
  </w:num>
  <w:num w:numId="10">
    <w:abstractNumId w:val="71"/>
  </w:num>
  <w:num w:numId="11">
    <w:abstractNumId w:val="13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5"/>
  </w:num>
  <w:num w:numId="14">
    <w:abstractNumId w:val="129"/>
  </w:num>
  <w:num w:numId="15">
    <w:abstractNumId w:val="45"/>
  </w:num>
  <w:num w:numId="16">
    <w:abstractNumId w:val="1"/>
  </w:num>
  <w:num w:numId="17">
    <w:abstractNumId w:val="3"/>
  </w:num>
  <w:num w:numId="18">
    <w:abstractNumId w:val="23"/>
  </w:num>
  <w:num w:numId="19">
    <w:abstractNumId w:val="16"/>
  </w:num>
  <w:num w:numId="20">
    <w:abstractNumId w:val="26"/>
  </w:num>
  <w:num w:numId="21">
    <w:abstractNumId w:val="52"/>
  </w:num>
  <w:num w:numId="22">
    <w:abstractNumId w:val="13"/>
  </w:num>
  <w:num w:numId="23">
    <w:abstractNumId w:val="84"/>
  </w:num>
  <w:num w:numId="24">
    <w:abstractNumId w:val="30"/>
  </w:num>
  <w:num w:numId="25">
    <w:abstractNumId w:val="18"/>
  </w:num>
  <w:num w:numId="26">
    <w:abstractNumId w:val="89"/>
  </w:num>
  <w:num w:numId="27">
    <w:abstractNumId w:val="5"/>
  </w:num>
  <w:num w:numId="28">
    <w:abstractNumId w:val="140"/>
  </w:num>
  <w:num w:numId="29">
    <w:abstractNumId w:val="62"/>
  </w:num>
  <w:num w:numId="30">
    <w:abstractNumId w:val="83"/>
  </w:num>
  <w:num w:numId="31">
    <w:abstractNumId w:val="38"/>
  </w:num>
  <w:num w:numId="32">
    <w:abstractNumId w:val="108"/>
  </w:num>
  <w:num w:numId="33">
    <w:abstractNumId w:val="78"/>
  </w:num>
  <w:num w:numId="34">
    <w:abstractNumId w:val="61"/>
  </w:num>
  <w:num w:numId="35">
    <w:abstractNumId w:val="70"/>
  </w:num>
  <w:num w:numId="36">
    <w:abstractNumId w:val="34"/>
  </w:num>
  <w:num w:numId="37">
    <w:abstractNumId w:val="27"/>
  </w:num>
  <w:num w:numId="38">
    <w:abstractNumId w:val="97"/>
  </w:num>
  <w:num w:numId="39">
    <w:abstractNumId w:val="125"/>
  </w:num>
  <w:num w:numId="40">
    <w:abstractNumId w:val="95"/>
  </w:num>
  <w:num w:numId="41">
    <w:abstractNumId w:val="102"/>
  </w:num>
  <w:num w:numId="42">
    <w:abstractNumId w:val="123"/>
  </w:num>
  <w:num w:numId="43">
    <w:abstractNumId w:val="53"/>
  </w:num>
  <w:num w:numId="44">
    <w:abstractNumId w:val="109"/>
  </w:num>
  <w:num w:numId="45">
    <w:abstractNumId w:val="92"/>
  </w:num>
  <w:num w:numId="46">
    <w:abstractNumId w:val="58"/>
  </w:num>
  <w:num w:numId="47">
    <w:abstractNumId w:val="4"/>
  </w:num>
  <w:num w:numId="48">
    <w:abstractNumId w:val="24"/>
  </w:num>
  <w:num w:numId="49">
    <w:abstractNumId w:val="50"/>
  </w:num>
  <w:num w:numId="50">
    <w:abstractNumId w:val="127"/>
  </w:num>
  <w:num w:numId="51">
    <w:abstractNumId w:val="69"/>
  </w:num>
  <w:num w:numId="52">
    <w:abstractNumId w:val="8"/>
  </w:num>
  <w:num w:numId="53">
    <w:abstractNumId w:val="141"/>
  </w:num>
  <w:num w:numId="54">
    <w:abstractNumId w:val="43"/>
  </w:num>
  <w:num w:numId="55">
    <w:abstractNumId w:val="40"/>
  </w:num>
  <w:num w:numId="56">
    <w:abstractNumId w:val="118"/>
  </w:num>
  <w:num w:numId="57">
    <w:abstractNumId w:val="72"/>
  </w:num>
  <w:num w:numId="58">
    <w:abstractNumId w:val="124"/>
  </w:num>
  <w:num w:numId="59">
    <w:abstractNumId w:val="19"/>
  </w:num>
  <w:num w:numId="60">
    <w:abstractNumId w:val="2"/>
  </w:num>
  <w:num w:numId="61">
    <w:abstractNumId w:val="143"/>
  </w:num>
  <w:num w:numId="62">
    <w:abstractNumId w:val="29"/>
  </w:num>
  <w:num w:numId="63">
    <w:abstractNumId w:val="98"/>
  </w:num>
  <w:num w:numId="64">
    <w:abstractNumId w:val="119"/>
  </w:num>
  <w:num w:numId="65">
    <w:abstractNumId w:val="96"/>
  </w:num>
  <w:num w:numId="66">
    <w:abstractNumId w:val="39"/>
  </w:num>
  <w:num w:numId="67">
    <w:abstractNumId w:val="86"/>
  </w:num>
  <w:num w:numId="68">
    <w:abstractNumId w:val="46"/>
  </w:num>
  <w:num w:numId="69">
    <w:abstractNumId w:val="35"/>
  </w:num>
  <w:num w:numId="70">
    <w:abstractNumId w:val="80"/>
  </w:num>
  <w:num w:numId="71">
    <w:abstractNumId w:val="9"/>
  </w:num>
  <w:num w:numId="72">
    <w:abstractNumId w:val="60"/>
  </w:num>
  <w:num w:numId="73">
    <w:abstractNumId w:val="85"/>
  </w:num>
  <w:num w:numId="74">
    <w:abstractNumId w:val="88"/>
  </w:num>
  <w:num w:numId="75">
    <w:abstractNumId w:val="22"/>
  </w:num>
  <w:num w:numId="76">
    <w:abstractNumId w:val="117"/>
  </w:num>
  <w:num w:numId="77">
    <w:abstractNumId w:val="137"/>
  </w:num>
  <w:num w:numId="78">
    <w:abstractNumId w:val="47"/>
  </w:num>
  <w:num w:numId="79">
    <w:abstractNumId w:val="100"/>
  </w:num>
  <w:num w:numId="80">
    <w:abstractNumId w:val="31"/>
  </w:num>
  <w:num w:numId="81">
    <w:abstractNumId w:val="73"/>
  </w:num>
  <w:num w:numId="82">
    <w:abstractNumId w:val="6"/>
  </w:num>
  <w:num w:numId="83">
    <w:abstractNumId w:val="111"/>
  </w:num>
  <w:num w:numId="84">
    <w:abstractNumId w:val="15"/>
  </w:num>
  <w:num w:numId="85">
    <w:abstractNumId w:val="49"/>
  </w:num>
  <w:num w:numId="86">
    <w:abstractNumId w:val="75"/>
  </w:num>
  <w:num w:numId="87">
    <w:abstractNumId w:val="114"/>
  </w:num>
  <w:num w:numId="88">
    <w:abstractNumId w:val="90"/>
  </w:num>
  <w:num w:numId="89">
    <w:abstractNumId w:val="41"/>
  </w:num>
  <w:num w:numId="90">
    <w:abstractNumId w:val="142"/>
  </w:num>
  <w:num w:numId="91">
    <w:abstractNumId w:val="20"/>
  </w:num>
  <w:num w:numId="92">
    <w:abstractNumId w:val="110"/>
  </w:num>
  <w:num w:numId="93">
    <w:abstractNumId w:val="115"/>
  </w:num>
  <w:num w:numId="94">
    <w:abstractNumId w:val="55"/>
  </w:num>
  <w:num w:numId="95">
    <w:abstractNumId w:val="68"/>
  </w:num>
  <w:num w:numId="96">
    <w:abstractNumId w:val="37"/>
  </w:num>
  <w:num w:numId="97">
    <w:abstractNumId w:val="145"/>
  </w:num>
  <w:num w:numId="98">
    <w:abstractNumId w:val="104"/>
  </w:num>
  <w:num w:numId="99">
    <w:abstractNumId w:val="33"/>
  </w:num>
  <w:num w:numId="100">
    <w:abstractNumId w:val="136"/>
  </w:num>
  <w:num w:numId="101">
    <w:abstractNumId w:val="82"/>
  </w:num>
  <w:num w:numId="102">
    <w:abstractNumId w:val="121"/>
  </w:num>
  <w:num w:numId="103">
    <w:abstractNumId w:val="91"/>
  </w:num>
  <w:num w:numId="104">
    <w:abstractNumId w:val="93"/>
  </w:num>
  <w:num w:numId="105">
    <w:abstractNumId w:val="76"/>
  </w:num>
  <w:num w:numId="106">
    <w:abstractNumId w:val="7"/>
  </w:num>
  <w:num w:numId="107">
    <w:abstractNumId w:val="14"/>
  </w:num>
  <w:num w:numId="108">
    <w:abstractNumId w:val="138"/>
  </w:num>
  <w:num w:numId="109">
    <w:abstractNumId w:val="139"/>
  </w:num>
  <w:num w:numId="110">
    <w:abstractNumId w:val="107"/>
  </w:num>
  <w:num w:numId="111">
    <w:abstractNumId w:val="25"/>
  </w:num>
  <w:num w:numId="112">
    <w:abstractNumId w:val="101"/>
  </w:num>
  <w:num w:numId="113">
    <w:abstractNumId w:val="65"/>
  </w:num>
  <w:num w:numId="114">
    <w:abstractNumId w:val="36"/>
  </w:num>
  <w:num w:numId="115">
    <w:abstractNumId w:val="59"/>
  </w:num>
  <w:num w:numId="116">
    <w:abstractNumId w:val="144"/>
  </w:num>
  <w:num w:numId="117">
    <w:abstractNumId w:val="133"/>
  </w:num>
  <w:num w:numId="118">
    <w:abstractNumId w:val="28"/>
  </w:num>
  <w:num w:numId="119">
    <w:abstractNumId w:val="10"/>
  </w:num>
  <w:num w:numId="120">
    <w:abstractNumId w:val="21"/>
  </w:num>
  <w:num w:numId="121">
    <w:abstractNumId w:val="63"/>
  </w:num>
  <w:num w:numId="122">
    <w:abstractNumId w:val="87"/>
  </w:num>
  <w:num w:numId="123">
    <w:abstractNumId w:val="79"/>
  </w:num>
  <w:num w:numId="124">
    <w:abstractNumId w:val="99"/>
  </w:num>
  <w:num w:numId="125">
    <w:abstractNumId w:val="81"/>
  </w:num>
  <w:num w:numId="126">
    <w:abstractNumId w:val="44"/>
  </w:num>
  <w:num w:numId="127">
    <w:abstractNumId w:val="57"/>
  </w:num>
  <w:num w:numId="128">
    <w:abstractNumId w:val="94"/>
  </w:num>
  <w:num w:numId="129">
    <w:abstractNumId w:val="54"/>
  </w:num>
  <w:num w:numId="130">
    <w:abstractNumId w:val="128"/>
  </w:num>
  <w:num w:numId="131">
    <w:abstractNumId w:val="103"/>
  </w:num>
  <w:num w:numId="132">
    <w:abstractNumId w:val="17"/>
  </w:num>
  <w:num w:numId="133">
    <w:abstractNumId w:val="48"/>
  </w:num>
  <w:num w:numId="134">
    <w:abstractNumId w:val="66"/>
  </w:num>
  <w:num w:numId="135">
    <w:abstractNumId w:val="122"/>
  </w:num>
  <w:num w:numId="136">
    <w:abstractNumId w:val="135"/>
  </w:num>
  <w:num w:numId="137">
    <w:abstractNumId w:val="56"/>
  </w:num>
  <w:num w:numId="138">
    <w:abstractNumId w:val="11"/>
  </w:num>
  <w:num w:numId="139">
    <w:abstractNumId w:val="106"/>
  </w:num>
  <w:num w:numId="140">
    <w:abstractNumId w:val="112"/>
  </w:num>
  <w:num w:numId="141">
    <w:abstractNumId w:val="131"/>
  </w:num>
  <w:num w:numId="142">
    <w:abstractNumId w:val="67"/>
  </w:num>
  <w:num w:numId="143">
    <w:abstractNumId w:val="64"/>
  </w:num>
  <w:num w:numId="144">
    <w:abstractNumId w:val="132"/>
  </w:num>
  <w:num w:numId="145">
    <w:abstractNumId w:val="120"/>
  </w:num>
  <w:num w:numId="146">
    <w:abstractNumId w:val="74"/>
  </w:num>
  <w:num w:numId="147">
    <w:abstractNumId w:val="11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92"/>
    <w:rsid w:val="00020735"/>
    <w:rsid w:val="0003064A"/>
    <w:rsid w:val="0003287B"/>
    <w:rsid w:val="000617D9"/>
    <w:rsid w:val="00093149"/>
    <w:rsid w:val="000E661A"/>
    <w:rsid w:val="000F2907"/>
    <w:rsid w:val="000F499A"/>
    <w:rsid w:val="00111258"/>
    <w:rsid w:val="00114C39"/>
    <w:rsid w:val="00117F2A"/>
    <w:rsid w:val="001226A7"/>
    <w:rsid w:val="001D41B5"/>
    <w:rsid w:val="001E1038"/>
    <w:rsid w:val="001F0AD0"/>
    <w:rsid w:val="00206F47"/>
    <w:rsid w:val="00207C3D"/>
    <w:rsid w:val="0021624C"/>
    <w:rsid w:val="00231534"/>
    <w:rsid w:val="00270C8F"/>
    <w:rsid w:val="003401ED"/>
    <w:rsid w:val="0035305B"/>
    <w:rsid w:val="0036575A"/>
    <w:rsid w:val="003A262C"/>
    <w:rsid w:val="003C4F71"/>
    <w:rsid w:val="004238C2"/>
    <w:rsid w:val="00447F97"/>
    <w:rsid w:val="00475583"/>
    <w:rsid w:val="00497992"/>
    <w:rsid w:val="004E0860"/>
    <w:rsid w:val="004F084A"/>
    <w:rsid w:val="00514564"/>
    <w:rsid w:val="005240C2"/>
    <w:rsid w:val="00524F17"/>
    <w:rsid w:val="0054360D"/>
    <w:rsid w:val="00544B16"/>
    <w:rsid w:val="0055051E"/>
    <w:rsid w:val="005562F0"/>
    <w:rsid w:val="005576A8"/>
    <w:rsid w:val="00561DC2"/>
    <w:rsid w:val="005A6B0B"/>
    <w:rsid w:val="005A7D7C"/>
    <w:rsid w:val="005D4865"/>
    <w:rsid w:val="00652AF4"/>
    <w:rsid w:val="00655ECF"/>
    <w:rsid w:val="006F69B7"/>
    <w:rsid w:val="0070096B"/>
    <w:rsid w:val="0072720C"/>
    <w:rsid w:val="00732E44"/>
    <w:rsid w:val="00754C2F"/>
    <w:rsid w:val="00757BB1"/>
    <w:rsid w:val="00761ABF"/>
    <w:rsid w:val="00794FE1"/>
    <w:rsid w:val="007A2CC5"/>
    <w:rsid w:val="007B009A"/>
    <w:rsid w:val="007B7A87"/>
    <w:rsid w:val="007C0050"/>
    <w:rsid w:val="007F0690"/>
    <w:rsid w:val="0080534B"/>
    <w:rsid w:val="00857999"/>
    <w:rsid w:val="00864DE6"/>
    <w:rsid w:val="009143D5"/>
    <w:rsid w:val="0092528F"/>
    <w:rsid w:val="009451BB"/>
    <w:rsid w:val="0099547D"/>
    <w:rsid w:val="009A5738"/>
    <w:rsid w:val="009D0E4A"/>
    <w:rsid w:val="00A0428B"/>
    <w:rsid w:val="00A25AC6"/>
    <w:rsid w:val="00A31030"/>
    <w:rsid w:val="00A45C01"/>
    <w:rsid w:val="00A473C5"/>
    <w:rsid w:val="00A64312"/>
    <w:rsid w:val="00A80B06"/>
    <w:rsid w:val="00A83BE5"/>
    <w:rsid w:val="00AA0EA4"/>
    <w:rsid w:val="00AB4E02"/>
    <w:rsid w:val="00AD0DA6"/>
    <w:rsid w:val="00AE7841"/>
    <w:rsid w:val="00B43028"/>
    <w:rsid w:val="00B575C1"/>
    <w:rsid w:val="00B61AF3"/>
    <w:rsid w:val="00B876CA"/>
    <w:rsid w:val="00B96714"/>
    <w:rsid w:val="00BA218F"/>
    <w:rsid w:val="00C43F51"/>
    <w:rsid w:val="00C60CA8"/>
    <w:rsid w:val="00CB3F99"/>
    <w:rsid w:val="00CB79ED"/>
    <w:rsid w:val="00CC7BAF"/>
    <w:rsid w:val="00CD0DC9"/>
    <w:rsid w:val="00D17BBE"/>
    <w:rsid w:val="00D6541A"/>
    <w:rsid w:val="00D75228"/>
    <w:rsid w:val="00D76497"/>
    <w:rsid w:val="00D76F97"/>
    <w:rsid w:val="00DB4B5D"/>
    <w:rsid w:val="00DE4E87"/>
    <w:rsid w:val="00DF0288"/>
    <w:rsid w:val="00DF3695"/>
    <w:rsid w:val="00DF7D94"/>
    <w:rsid w:val="00E44146"/>
    <w:rsid w:val="00E71B65"/>
    <w:rsid w:val="00E72CDD"/>
    <w:rsid w:val="00E734E5"/>
    <w:rsid w:val="00EC1BA6"/>
    <w:rsid w:val="00EC4F83"/>
    <w:rsid w:val="00F071D5"/>
    <w:rsid w:val="00F101A7"/>
    <w:rsid w:val="00F13363"/>
    <w:rsid w:val="00F2311B"/>
    <w:rsid w:val="00F6436E"/>
    <w:rsid w:val="00F7105A"/>
    <w:rsid w:val="00F84490"/>
    <w:rsid w:val="00F87BC0"/>
    <w:rsid w:val="00FC7DF2"/>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92"/>
    <w:pP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uiPriority w:val="9"/>
    <w:unhideWhenUsed/>
    <w:qFormat/>
    <w:rsid w:val="005D4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Map Title"/>
    <w:basedOn w:val="Normal"/>
    <w:next w:val="Normal"/>
    <w:link w:val="Heading4Char"/>
    <w:qFormat/>
    <w:rsid w:val="00497992"/>
    <w:pPr>
      <w:spacing w:after="240"/>
      <w:outlineLvl w:val="3"/>
    </w:pPr>
    <w:rPr>
      <w:rFonts w:ascii="Arial" w:hAnsi="Arial"/>
      <w:b/>
      <w:sz w:val="32"/>
      <w:szCs w:val="20"/>
    </w:rPr>
  </w:style>
  <w:style w:type="paragraph" w:styleId="Heading5">
    <w:name w:val="heading 5"/>
    <w:aliases w:val="Block Label"/>
    <w:basedOn w:val="Normal"/>
    <w:link w:val="Heading5Char"/>
    <w:qFormat/>
    <w:rsid w:val="00497992"/>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497992"/>
    <w:rPr>
      <w:rFonts w:ascii="Arial" w:eastAsia="Times New Roman" w:hAnsi="Arial" w:cs="Times New Roman"/>
      <w:b/>
      <w:color w:val="000000"/>
      <w:sz w:val="32"/>
      <w:szCs w:val="20"/>
    </w:rPr>
  </w:style>
  <w:style w:type="character" w:customStyle="1" w:styleId="Heading5Char">
    <w:name w:val="Heading 5 Char"/>
    <w:aliases w:val="Block Label Char"/>
    <w:basedOn w:val="DefaultParagraphFont"/>
    <w:link w:val="Heading5"/>
    <w:rsid w:val="00497992"/>
    <w:rPr>
      <w:rFonts w:ascii="Times New Roman" w:eastAsia="Times New Roman" w:hAnsi="Times New Roman" w:cs="Times New Roman"/>
      <w:b/>
      <w:color w:val="000000"/>
      <w:szCs w:val="20"/>
    </w:rPr>
  </w:style>
  <w:style w:type="paragraph" w:customStyle="1" w:styleId="BlockLine">
    <w:name w:val="Block Line"/>
    <w:basedOn w:val="Normal"/>
    <w:next w:val="Normal"/>
    <w:rsid w:val="00497992"/>
    <w:pPr>
      <w:pBdr>
        <w:top w:val="single" w:sz="6" w:space="1" w:color="auto"/>
        <w:between w:val="single" w:sz="6" w:space="1" w:color="auto"/>
      </w:pBdr>
      <w:spacing w:before="240"/>
      <w:ind w:left="1728"/>
    </w:pPr>
    <w:rPr>
      <w:szCs w:val="20"/>
    </w:rPr>
  </w:style>
  <w:style w:type="paragraph" w:styleId="BlockText">
    <w:name w:val="Block Text"/>
    <w:basedOn w:val="Normal"/>
    <w:rsid w:val="00497992"/>
  </w:style>
  <w:style w:type="paragraph" w:customStyle="1" w:styleId="BulletText1">
    <w:name w:val="Bullet Text 1"/>
    <w:basedOn w:val="Normal"/>
    <w:rsid w:val="00497992"/>
    <w:pPr>
      <w:numPr>
        <w:numId w:val="1"/>
      </w:numPr>
    </w:pPr>
    <w:rPr>
      <w:szCs w:val="20"/>
    </w:rPr>
  </w:style>
  <w:style w:type="paragraph" w:customStyle="1" w:styleId="ContinuedOnNextPa">
    <w:name w:val="Continued On Next Pa"/>
    <w:basedOn w:val="Normal"/>
    <w:next w:val="Normal"/>
    <w:rsid w:val="00497992"/>
    <w:pPr>
      <w:pBdr>
        <w:top w:val="single" w:sz="6" w:space="1" w:color="auto"/>
        <w:between w:val="single" w:sz="6" w:space="1" w:color="auto"/>
      </w:pBdr>
      <w:spacing w:before="240"/>
      <w:ind w:left="1728"/>
      <w:jc w:val="right"/>
    </w:pPr>
    <w:rPr>
      <w:i/>
      <w:sz w:val="20"/>
      <w:szCs w:val="20"/>
    </w:rPr>
  </w:style>
  <w:style w:type="character" w:styleId="Hyperlink">
    <w:name w:val="Hyperlink"/>
    <w:rsid w:val="00497992"/>
    <w:rPr>
      <w:color w:val="0000FF"/>
      <w:u w:val="single"/>
    </w:rPr>
  </w:style>
  <w:style w:type="character" w:styleId="CommentReference">
    <w:name w:val="annotation reference"/>
    <w:rsid w:val="00A473C5"/>
    <w:rPr>
      <w:sz w:val="16"/>
      <w:szCs w:val="16"/>
    </w:rPr>
  </w:style>
  <w:style w:type="paragraph" w:styleId="CommentText">
    <w:name w:val="annotation text"/>
    <w:basedOn w:val="Normal"/>
    <w:link w:val="CommentTextChar"/>
    <w:rsid w:val="00A473C5"/>
    <w:rPr>
      <w:sz w:val="20"/>
      <w:szCs w:val="20"/>
    </w:rPr>
  </w:style>
  <w:style w:type="character" w:customStyle="1" w:styleId="CommentTextChar">
    <w:name w:val="Comment Text Char"/>
    <w:basedOn w:val="DefaultParagraphFont"/>
    <w:link w:val="CommentText"/>
    <w:rsid w:val="00A473C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A473C5"/>
    <w:rPr>
      <w:rFonts w:ascii="Tahoma" w:hAnsi="Tahoma" w:cs="Tahoma"/>
      <w:sz w:val="16"/>
      <w:szCs w:val="16"/>
    </w:rPr>
  </w:style>
  <w:style w:type="character" w:customStyle="1" w:styleId="BalloonTextChar">
    <w:name w:val="Balloon Text Char"/>
    <w:basedOn w:val="DefaultParagraphFont"/>
    <w:link w:val="BalloonText"/>
    <w:uiPriority w:val="99"/>
    <w:semiHidden/>
    <w:rsid w:val="00A473C5"/>
    <w:rPr>
      <w:rFonts w:ascii="Tahoma" w:eastAsia="Times New Roman" w:hAnsi="Tahoma" w:cs="Tahoma"/>
      <w:color w:val="000000"/>
      <w:sz w:val="16"/>
      <w:szCs w:val="16"/>
    </w:rPr>
  </w:style>
  <w:style w:type="paragraph" w:styleId="ListParagraph">
    <w:name w:val="List Paragraph"/>
    <w:basedOn w:val="Normal"/>
    <w:uiPriority w:val="34"/>
    <w:qFormat/>
    <w:rsid w:val="007A2CC5"/>
    <w:pPr>
      <w:ind w:left="720"/>
      <w:contextualSpacing/>
    </w:pPr>
  </w:style>
  <w:style w:type="character" w:customStyle="1" w:styleId="Heading2Char">
    <w:name w:val="Heading 2 Char"/>
    <w:basedOn w:val="DefaultParagraphFont"/>
    <w:link w:val="Heading2"/>
    <w:uiPriority w:val="9"/>
    <w:rsid w:val="005D4865"/>
    <w:rPr>
      <w:rFonts w:asciiTheme="majorHAnsi" w:eastAsiaTheme="majorEastAsia" w:hAnsiTheme="majorHAnsi" w:cstheme="majorBidi"/>
      <w:b/>
      <w:bCs/>
      <w:color w:val="4F81BD" w:themeColor="accent1"/>
      <w:sz w:val="26"/>
      <w:szCs w:val="26"/>
    </w:rPr>
  </w:style>
  <w:style w:type="paragraph" w:customStyle="1" w:styleId="BulletText2">
    <w:name w:val="Bullet Text 2"/>
    <w:basedOn w:val="Normal"/>
    <w:rsid w:val="00F87BC0"/>
    <w:pPr>
      <w:numPr>
        <w:numId w:val="16"/>
      </w:numPr>
    </w:pPr>
    <w:rPr>
      <w:szCs w:val="20"/>
    </w:rPr>
  </w:style>
  <w:style w:type="table" w:styleId="TableGrid">
    <w:name w:val="Table Grid"/>
    <w:basedOn w:val="TableNormal"/>
    <w:uiPriority w:val="59"/>
    <w:rsid w:val="00A6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576A8"/>
    <w:rPr>
      <w:b/>
      <w:bCs/>
    </w:rPr>
  </w:style>
  <w:style w:type="character" w:customStyle="1" w:styleId="CommentSubjectChar">
    <w:name w:val="Comment Subject Char"/>
    <w:basedOn w:val="CommentTextChar"/>
    <w:link w:val="CommentSubject"/>
    <w:uiPriority w:val="99"/>
    <w:semiHidden/>
    <w:rsid w:val="005576A8"/>
    <w:rPr>
      <w:rFonts w:ascii="Times New Roman" w:eastAsia="Times New Roman" w:hAnsi="Times New Roman" w:cs="Times New Roman"/>
      <w:b/>
      <w:bCs/>
      <w:color w:val="000000"/>
      <w:sz w:val="20"/>
      <w:szCs w:val="20"/>
    </w:rPr>
  </w:style>
  <w:style w:type="paragraph" w:styleId="Revision">
    <w:name w:val="Revision"/>
    <w:hidden/>
    <w:uiPriority w:val="99"/>
    <w:semiHidden/>
    <w:rsid w:val="005576A8"/>
    <w:pPr>
      <w:spacing w:after="0" w:line="240" w:lineRule="auto"/>
    </w:pPr>
    <w:rPr>
      <w:rFonts w:ascii="Times New Roman" w:eastAsia="Times New Roman" w:hAnsi="Times New Roman" w:cs="Times New Roman"/>
      <w:color w:val="000000"/>
      <w:sz w:val="24"/>
      <w:szCs w:val="24"/>
    </w:rPr>
  </w:style>
  <w:style w:type="paragraph" w:customStyle="1" w:styleId="MapTitleContinued">
    <w:name w:val="Map Title. Continued"/>
    <w:basedOn w:val="Normal"/>
    <w:rsid w:val="00864DE6"/>
    <w:pPr>
      <w:spacing w:after="240"/>
    </w:pPr>
    <w:rPr>
      <w:rFonts w:ascii="Arial" w:hAnsi="Arial"/>
      <w:b/>
      <w:color w:val="auto"/>
      <w:sz w:val="32"/>
      <w:szCs w:val="20"/>
    </w:rPr>
  </w:style>
  <w:style w:type="paragraph" w:customStyle="1" w:styleId="TableHeaderText">
    <w:name w:val="Table Header Text"/>
    <w:basedOn w:val="TableText"/>
    <w:rsid w:val="00864DE6"/>
    <w:pPr>
      <w:jc w:val="center"/>
    </w:pPr>
    <w:rPr>
      <w:b/>
    </w:rPr>
  </w:style>
  <w:style w:type="paragraph" w:customStyle="1" w:styleId="TableText">
    <w:name w:val="Table Text"/>
    <w:basedOn w:val="Normal"/>
    <w:rsid w:val="00864DE6"/>
    <w:rPr>
      <w:color w:val="auto"/>
      <w:szCs w:val="20"/>
    </w:rPr>
  </w:style>
  <w:style w:type="character" w:styleId="FollowedHyperlink">
    <w:name w:val="FollowedHyperlink"/>
    <w:basedOn w:val="DefaultParagraphFont"/>
    <w:uiPriority w:val="99"/>
    <w:semiHidden/>
    <w:unhideWhenUsed/>
    <w:rsid w:val="00D75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92"/>
    <w:pP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uiPriority w:val="9"/>
    <w:unhideWhenUsed/>
    <w:qFormat/>
    <w:rsid w:val="005D4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Map Title"/>
    <w:basedOn w:val="Normal"/>
    <w:next w:val="Normal"/>
    <w:link w:val="Heading4Char"/>
    <w:qFormat/>
    <w:rsid w:val="00497992"/>
    <w:pPr>
      <w:spacing w:after="240"/>
      <w:outlineLvl w:val="3"/>
    </w:pPr>
    <w:rPr>
      <w:rFonts w:ascii="Arial" w:hAnsi="Arial"/>
      <w:b/>
      <w:sz w:val="32"/>
      <w:szCs w:val="20"/>
    </w:rPr>
  </w:style>
  <w:style w:type="paragraph" w:styleId="Heading5">
    <w:name w:val="heading 5"/>
    <w:aliases w:val="Block Label"/>
    <w:basedOn w:val="Normal"/>
    <w:link w:val="Heading5Char"/>
    <w:qFormat/>
    <w:rsid w:val="00497992"/>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497992"/>
    <w:rPr>
      <w:rFonts w:ascii="Arial" w:eastAsia="Times New Roman" w:hAnsi="Arial" w:cs="Times New Roman"/>
      <w:b/>
      <w:color w:val="000000"/>
      <w:sz w:val="32"/>
      <w:szCs w:val="20"/>
    </w:rPr>
  </w:style>
  <w:style w:type="character" w:customStyle="1" w:styleId="Heading5Char">
    <w:name w:val="Heading 5 Char"/>
    <w:aliases w:val="Block Label Char"/>
    <w:basedOn w:val="DefaultParagraphFont"/>
    <w:link w:val="Heading5"/>
    <w:rsid w:val="00497992"/>
    <w:rPr>
      <w:rFonts w:ascii="Times New Roman" w:eastAsia="Times New Roman" w:hAnsi="Times New Roman" w:cs="Times New Roman"/>
      <w:b/>
      <w:color w:val="000000"/>
      <w:szCs w:val="20"/>
    </w:rPr>
  </w:style>
  <w:style w:type="paragraph" w:customStyle="1" w:styleId="BlockLine">
    <w:name w:val="Block Line"/>
    <w:basedOn w:val="Normal"/>
    <w:next w:val="Normal"/>
    <w:rsid w:val="00497992"/>
    <w:pPr>
      <w:pBdr>
        <w:top w:val="single" w:sz="6" w:space="1" w:color="auto"/>
        <w:between w:val="single" w:sz="6" w:space="1" w:color="auto"/>
      </w:pBdr>
      <w:spacing w:before="240"/>
      <w:ind w:left="1728"/>
    </w:pPr>
    <w:rPr>
      <w:szCs w:val="20"/>
    </w:rPr>
  </w:style>
  <w:style w:type="paragraph" w:styleId="BlockText">
    <w:name w:val="Block Text"/>
    <w:basedOn w:val="Normal"/>
    <w:rsid w:val="00497992"/>
  </w:style>
  <w:style w:type="paragraph" w:customStyle="1" w:styleId="BulletText1">
    <w:name w:val="Bullet Text 1"/>
    <w:basedOn w:val="Normal"/>
    <w:rsid w:val="00497992"/>
    <w:pPr>
      <w:numPr>
        <w:numId w:val="1"/>
      </w:numPr>
    </w:pPr>
    <w:rPr>
      <w:szCs w:val="20"/>
    </w:rPr>
  </w:style>
  <w:style w:type="paragraph" w:customStyle="1" w:styleId="ContinuedOnNextPa">
    <w:name w:val="Continued On Next Pa"/>
    <w:basedOn w:val="Normal"/>
    <w:next w:val="Normal"/>
    <w:rsid w:val="00497992"/>
    <w:pPr>
      <w:pBdr>
        <w:top w:val="single" w:sz="6" w:space="1" w:color="auto"/>
        <w:between w:val="single" w:sz="6" w:space="1" w:color="auto"/>
      </w:pBdr>
      <w:spacing w:before="240"/>
      <w:ind w:left="1728"/>
      <w:jc w:val="right"/>
    </w:pPr>
    <w:rPr>
      <w:i/>
      <w:sz w:val="20"/>
      <w:szCs w:val="20"/>
    </w:rPr>
  </w:style>
  <w:style w:type="character" w:styleId="Hyperlink">
    <w:name w:val="Hyperlink"/>
    <w:rsid w:val="00497992"/>
    <w:rPr>
      <w:color w:val="0000FF"/>
      <w:u w:val="single"/>
    </w:rPr>
  </w:style>
  <w:style w:type="character" w:styleId="CommentReference">
    <w:name w:val="annotation reference"/>
    <w:rsid w:val="00A473C5"/>
    <w:rPr>
      <w:sz w:val="16"/>
      <w:szCs w:val="16"/>
    </w:rPr>
  </w:style>
  <w:style w:type="paragraph" w:styleId="CommentText">
    <w:name w:val="annotation text"/>
    <w:basedOn w:val="Normal"/>
    <w:link w:val="CommentTextChar"/>
    <w:rsid w:val="00A473C5"/>
    <w:rPr>
      <w:sz w:val="20"/>
      <w:szCs w:val="20"/>
    </w:rPr>
  </w:style>
  <w:style w:type="character" w:customStyle="1" w:styleId="CommentTextChar">
    <w:name w:val="Comment Text Char"/>
    <w:basedOn w:val="DefaultParagraphFont"/>
    <w:link w:val="CommentText"/>
    <w:rsid w:val="00A473C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A473C5"/>
    <w:rPr>
      <w:rFonts w:ascii="Tahoma" w:hAnsi="Tahoma" w:cs="Tahoma"/>
      <w:sz w:val="16"/>
      <w:szCs w:val="16"/>
    </w:rPr>
  </w:style>
  <w:style w:type="character" w:customStyle="1" w:styleId="BalloonTextChar">
    <w:name w:val="Balloon Text Char"/>
    <w:basedOn w:val="DefaultParagraphFont"/>
    <w:link w:val="BalloonText"/>
    <w:uiPriority w:val="99"/>
    <w:semiHidden/>
    <w:rsid w:val="00A473C5"/>
    <w:rPr>
      <w:rFonts w:ascii="Tahoma" w:eastAsia="Times New Roman" w:hAnsi="Tahoma" w:cs="Tahoma"/>
      <w:color w:val="000000"/>
      <w:sz w:val="16"/>
      <w:szCs w:val="16"/>
    </w:rPr>
  </w:style>
  <w:style w:type="paragraph" w:styleId="ListParagraph">
    <w:name w:val="List Paragraph"/>
    <w:basedOn w:val="Normal"/>
    <w:uiPriority w:val="34"/>
    <w:qFormat/>
    <w:rsid w:val="007A2CC5"/>
    <w:pPr>
      <w:ind w:left="720"/>
      <w:contextualSpacing/>
    </w:pPr>
  </w:style>
  <w:style w:type="character" w:customStyle="1" w:styleId="Heading2Char">
    <w:name w:val="Heading 2 Char"/>
    <w:basedOn w:val="DefaultParagraphFont"/>
    <w:link w:val="Heading2"/>
    <w:uiPriority w:val="9"/>
    <w:rsid w:val="005D4865"/>
    <w:rPr>
      <w:rFonts w:asciiTheme="majorHAnsi" w:eastAsiaTheme="majorEastAsia" w:hAnsiTheme="majorHAnsi" w:cstheme="majorBidi"/>
      <w:b/>
      <w:bCs/>
      <w:color w:val="4F81BD" w:themeColor="accent1"/>
      <w:sz w:val="26"/>
      <w:szCs w:val="26"/>
    </w:rPr>
  </w:style>
  <w:style w:type="paragraph" w:customStyle="1" w:styleId="BulletText2">
    <w:name w:val="Bullet Text 2"/>
    <w:basedOn w:val="Normal"/>
    <w:rsid w:val="00F87BC0"/>
    <w:pPr>
      <w:numPr>
        <w:numId w:val="16"/>
      </w:numPr>
    </w:pPr>
    <w:rPr>
      <w:szCs w:val="20"/>
    </w:rPr>
  </w:style>
  <w:style w:type="table" w:styleId="TableGrid">
    <w:name w:val="Table Grid"/>
    <w:basedOn w:val="TableNormal"/>
    <w:uiPriority w:val="59"/>
    <w:rsid w:val="00A6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576A8"/>
    <w:rPr>
      <w:b/>
      <w:bCs/>
    </w:rPr>
  </w:style>
  <w:style w:type="character" w:customStyle="1" w:styleId="CommentSubjectChar">
    <w:name w:val="Comment Subject Char"/>
    <w:basedOn w:val="CommentTextChar"/>
    <w:link w:val="CommentSubject"/>
    <w:uiPriority w:val="99"/>
    <w:semiHidden/>
    <w:rsid w:val="005576A8"/>
    <w:rPr>
      <w:rFonts w:ascii="Times New Roman" w:eastAsia="Times New Roman" w:hAnsi="Times New Roman" w:cs="Times New Roman"/>
      <w:b/>
      <w:bCs/>
      <w:color w:val="000000"/>
      <w:sz w:val="20"/>
      <w:szCs w:val="20"/>
    </w:rPr>
  </w:style>
  <w:style w:type="paragraph" w:styleId="Revision">
    <w:name w:val="Revision"/>
    <w:hidden/>
    <w:uiPriority w:val="99"/>
    <w:semiHidden/>
    <w:rsid w:val="005576A8"/>
    <w:pPr>
      <w:spacing w:after="0" w:line="240" w:lineRule="auto"/>
    </w:pPr>
    <w:rPr>
      <w:rFonts w:ascii="Times New Roman" w:eastAsia="Times New Roman" w:hAnsi="Times New Roman" w:cs="Times New Roman"/>
      <w:color w:val="000000"/>
      <w:sz w:val="24"/>
      <w:szCs w:val="24"/>
    </w:rPr>
  </w:style>
  <w:style w:type="paragraph" w:customStyle="1" w:styleId="MapTitleContinued">
    <w:name w:val="Map Title. Continued"/>
    <w:basedOn w:val="Normal"/>
    <w:rsid w:val="00864DE6"/>
    <w:pPr>
      <w:spacing w:after="240"/>
    </w:pPr>
    <w:rPr>
      <w:rFonts w:ascii="Arial" w:hAnsi="Arial"/>
      <w:b/>
      <w:color w:val="auto"/>
      <w:sz w:val="32"/>
      <w:szCs w:val="20"/>
    </w:rPr>
  </w:style>
  <w:style w:type="paragraph" w:customStyle="1" w:styleId="TableHeaderText">
    <w:name w:val="Table Header Text"/>
    <w:basedOn w:val="TableText"/>
    <w:rsid w:val="00864DE6"/>
    <w:pPr>
      <w:jc w:val="center"/>
    </w:pPr>
    <w:rPr>
      <w:b/>
    </w:rPr>
  </w:style>
  <w:style w:type="paragraph" w:customStyle="1" w:styleId="TableText">
    <w:name w:val="Table Text"/>
    <w:basedOn w:val="Normal"/>
    <w:rsid w:val="00864DE6"/>
    <w:rPr>
      <w:color w:val="auto"/>
      <w:szCs w:val="20"/>
    </w:rPr>
  </w:style>
  <w:style w:type="character" w:styleId="FollowedHyperlink">
    <w:name w:val="FollowedHyperlink"/>
    <w:basedOn w:val="DefaultParagraphFont"/>
    <w:uiPriority w:val="99"/>
    <w:semiHidden/>
    <w:unhideWhenUsed/>
    <w:rsid w:val="00D75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2a9bb7e728b965b2294ff93159aa62d7&amp;mc=true&amp;node=se38.1.3_11000&amp;rgn=div8"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fr.gov/cgi-bin/text-idx?SID=2a9bb7e728b965b2294ff93159aa62d7&amp;mc=true&amp;node=se38.1.3_11010&amp;rgn=div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2b251e5a0908a5b09ec91f698162ff95&amp;node=se38.1.3_11010&amp;rgn=div8" TargetMode="External"/><Relationship Id="rId5" Type="http://schemas.openxmlformats.org/officeDocument/2006/relationships/numbering" Target="numbering.xml"/><Relationship Id="rId15" Type="http://schemas.openxmlformats.org/officeDocument/2006/relationships/hyperlink" Target="http://www.ecfr.gov/cgi-bin/text-idx?SID=2a9bb7e728b965b2294ff93159aa62d7&amp;mc=true&amp;node=se38.1.3_11010&amp;rgn=div8" TargetMode="External"/><Relationship Id="rId10" Type="http://schemas.openxmlformats.org/officeDocument/2006/relationships/hyperlink" Target="https://www.law.cornell.edu/uscode/text/38/5121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2a9bb7e728b965b2294ff93159aa62d7&amp;mc=true&amp;node=se38.1.3_11010&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7A58-D6C3-44D1-AD65-522D93484C14}">
  <ds:schemaRef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b438dcf7-3998-4283-b7fc-0ec6fa8e430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5931CEA-A680-4C89-9FCD-DC2ACA63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86322-420A-4287-B0B8-A8400C721CDF}">
  <ds:schemaRefs>
    <ds:schemaRef ds:uri="http://schemas.microsoft.com/sharepoint/v3/contenttype/forms"/>
  </ds:schemaRefs>
</ds:datastoreItem>
</file>

<file path=customXml/itemProps4.xml><?xml version="1.0" encoding="utf-8"?>
<ds:datastoreItem xmlns:ds="http://schemas.openxmlformats.org/officeDocument/2006/customXml" ds:itemID="{C228DE0A-59AA-477D-8581-040D099F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8</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Nicely, Sharon</dc:creator>
  <cp:lastModifiedBy>Amy Hamma</cp:lastModifiedBy>
  <cp:revision>61</cp:revision>
  <cp:lastPrinted>2015-07-23T14:31:00Z</cp:lastPrinted>
  <dcterms:created xsi:type="dcterms:W3CDTF">2015-07-17T15:44:00Z</dcterms:created>
  <dcterms:modified xsi:type="dcterms:W3CDTF">2015-07-28T21:30:00Z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