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224506">
      <w:pPr>
        <w:pStyle w:val="Heading4"/>
        <w:tabs>
          <w:tab w:val="left" w:pos="5040"/>
          <w:tab w:val="center" w:pos="5760"/>
          <w:tab w:val="center" w:pos="59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 w:rsidR="00224506">
        <w:rPr>
          <w:rFonts w:ascii="Times New Roman" w:hAnsi="Times New Roman"/>
          <w:sz w:val="20"/>
        </w:rPr>
        <w:tab/>
      </w:r>
      <w:r w:rsidR="00224506">
        <w:rPr>
          <w:rFonts w:ascii="Times New Roman" w:hAnsi="Times New Roman"/>
          <w:sz w:val="20"/>
        </w:rPr>
        <w:tab/>
      </w:r>
      <w:r w:rsidR="002245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M21-1MR, </w:t>
      </w:r>
      <w:r w:rsidR="007308F1">
        <w:rPr>
          <w:rFonts w:ascii="Times New Roman" w:hAnsi="Times New Roman"/>
          <w:sz w:val="20"/>
        </w:rPr>
        <w:t xml:space="preserve">Part </w:t>
      </w:r>
      <w:r w:rsidR="003B5AAA">
        <w:rPr>
          <w:rFonts w:ascii="Times New Roman" w:hAnsi="Times New Roman"/>
          <w:sz w:val="20"/>
        </w:rPr>
        <w:t>VII, Chapter 5, Section A</w:t>
      </w:r>
    </w:p>
    <w:p w:rsidR="00504F80" w:rsidRDefault="00504F80" w:rsidP="00224506">
      <w:pPr>
        <w:tabs>
          <w:tab w:val="center" w:pos="8550"/>
        </w:tabs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 w:rsidR="00224506">
        <w:rPr>
          <w:b/>
          <w:bCs/>
          <w:sz w:val="20"/>
        </w:rPr>
        <w:t>September 23, 2013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3B5AAA">
              <w:t>VII</w:t>
            </w:r>
            <w:r w:rsidR="006102B4">
              <w:t xml:space="preserve">, </w:t>
            </w:r>
            <w:r w:rsidR="003B5AAA">
              <w:t xml:space="preserve">Burial Benefits and Allowance, </w:t>
            </w:r>
            <w:r w:rsidR="006102B4">
              <w:t xml:space="preserve">Chapter </w:t>
            </w:r>
            <w:proofErr w:type="gramStart"/>
            <w:r w:rsidR="003B5AAA">
              <w:t>5</w:t>
            </w:r>
            <w:r w:rsidR="006102B4">
              <w:t>,</w:t>
            </w:r>
            <w:proofErr w:type="gramEnd"/>
            <w:r w:rsidR="006102B4">
              <w:t xml:space="preserve"> Section </w:t>
            </w:r>
            <w:r w:rsidR="003B5AAA">
              <w:t>A, “Presidential Memorial Certificates</w:t>
            </w:r>
            <w:r w:rsidR="006102B4">
              <w:t>.”</w:t>
            </w: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</w:t>
            </w:r>
          </w:p>
          <w:p w:rsidR="00504F80" w:rsidRDefault="00504F80" w:rsidP="007308F1">
            <w:pPr>
              <w:pStyle w:val="BlockText"/>
            </w:pPr>
            <w:r>
              <w:t xml:space="preserve">Minor editorial changes have also been made to </w:t>
            </w:r>
          </w:p>
          <w:p w:rsidR="00504F80" w:rsidRDefault="00504F80" w:rsidP="007308F1">
            <w:pPr>
              <w:pStyle w:val="BulletText1"/>
            </w:pPr>
            <w:r>
              <w:t>update incorrect or obsolete hyperlink references</w:t>
            </w:r>
          </w:p>
          <w:p w:rsidR="00504F80" w:rsidRDefault="00504F80" w:rsidP="007308F1">
            <w:pPr>
              <w:pStyle w:val="BulletText1"/>
            </w:pPr>
            <w:r>
              <w:t>update the term “veteran” to “Veteran”</w:t>
            </w:r>
          </w:p>
          <w:p w:rsidR="00504F80" w:rsidRDefault="00504F80" w:rsidP="007308F1">
            <w:pPr>
              <w:pStyle w:val="BulletText1"/>
            </w:pPr>
            <w:r>
              <w:t>update obsolete terminology, where appropriate</w:t>
            </w:r>
          </w:p>
          <w:p w:rsidR="00504F80" w:rsidRDefault="00504F80" w:rsidP="007308F1">
            <w:pPr>
              <w:pStyle w:val="BulletText1"/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and </w:t>
            </w:r>
          </w:p>
          <w:p w:rsidR="00504F80" w:rsidRPr="00EA3A57" w:rsidRDefault="00504F80" w:rsidP="007308F1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:rsidTr="00CC1F9B">
        <w:trPr>
          <w:trHeight w:val="180"/>
        </w:trPr>
        <w:tc>
          <w:tcPr>
            <w:tcW w:w="3011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  <w:r w:rsidR="00221F07">
              <w:t>(s)</w:t>
            </w:r>
          </w:p>
        </w:tc>
        <w:tc>
          <w:tcPr>
            <w:tcW w:w="56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CC1F9B">
        <w:trPr>
          <w:trHeight w:val="180"/>
        </w:trPr>
        <w:tc>
          <w:tcPr>
            <w:tcW w:w="3011" w:type="pct"/>
            <w:shd w:val="clear" w:color="auto" w:fill="auto"/>
          </w:tcPr>
          <w:p w:rsidR="00C24D50" w:rsidRPr="00C24D50" w:rsidRDefault="006102B4" w:rsidP="0002661D">
            <w:pPr>
              <w:pStyle w:val="TableText"/>
            </w:pPr>
            <w:r>
              <w:t xml:space="preserve">To </w:t>
            </w:r>
            <w:r w:rsidR="0002661D">
              <w:t xml:space="preserve">include as a qualifying death for Presidential Memorial Certificate (PMC) </w:t>
            </w:r>
            <w:proofErr w:type="spellStart"/>
            <w:r w:rsidR="0002661D">
              <w:t>eligiblity</w:t>
            </w:r>
            <w:proofErr w:type="spellEnd"/>
            <w:r w:rsidR="0002661D">
              <w:t xml:space="preserve"> those individuals who died in active service on or after August 6, 2013</w:t>
            </w:r>
            <w:proofErr w:type="gramStart"/>
            <w:r w:rsidR="0002661D">
              <w:t xml:space="preserve">. </w:t>
            </w:r>
            <w:proofErr w:type="gramEnd"/>
            <w:r w:rsidR="0002661D">
              <w:t xml:space="preserve">This change is per Section </w:t>
            </w:r>
            <w:r w:rsidR="000716DA">
              <w:t>603 of Public Law 112-154</w:t>
            </w:r>
            <w:r w:rsidR="00224506">
              <w:t>, which amended 38 U.S.C. 112</w:t>
            </w:r>
            <w:proofErr w:type="gramStart"/>
            <w:r w:rsidR="0002661D">
              <w:t xml:space="preserve">. </w:t>
            </w:r>
            <w:proofErr w:type="gramEnd"/>
          </w:p>
        </w:tc>
        <w:tc>
          <w:tcPr>
            <w:tcW w:w="1420" w:type="pct"/>
            <w:shd w:val="clear" w:color="auto" w:fill="auto"/>
          </w:tcPr>
          <w:p w:rsidR="00C24D50" w:rsidRPr="00C24D50" w:rsidRDefault="00C24D50" w:rsidP="003B5AAA">
            <w:pPr>
              <w:pStyle w:val="TableText"/>
            </w:pPr>
            <w:r w:rsidRPr="00C24D50">
              <w:t xml:space="preserve">Part </w:t>
            </w:r>
            <w:r w:rsidR="003B5AAA">
              <w:t>VII</w:t>
            </w:r>
            <w:r w:rsidRPr="00C24D50">
              <w:t xml:space="preserve">, Chapter </w:t>
            </w:r>
            <w:r w:rsidR="003B5AAA">
              <w:t>5</w:t>
            </w:r>
            <w:r w:rsidRPr="00C24D50">
              <w:t xml:space="preserve">, </w:t>
            </w:r>
            <w:r w:rsidR="006102B4">
              <w:t xml:space="preserve">Section </w:t>
            </w:r>
            <w:r w:rsidR="003B5AAA">
              <w:t>A</w:t>
            </w:r>
            <w:r w:rsidR="006102B4">
              <w:t xml:space="preserve">, Topic </w:t>
            </w:r>
            <w:r w:rsidR="003B5AAA">
              <w:t>1</w:t>
            </w:r>
            <w:r w:rsidRPr="00C24D50">
              <w:t>, Block a (</w:t>
            </w:r>
            <w:r w:rsidR="003B5AAA">
              <w:t>VII.5.A.1.a</w:t>
            </w:r>
            <w:r w:rsidRPr="00C24D50">
              <w:t>)</w:t>
            </w:r>
          </w:p>
        </w:tc>
        <w:tc>
          <w:tcPr>
            <w:tcW w:w="569" w:type="pct"/>
            <w:shd w:val="clear" w:color="auto" w:fill="auto"/>
          </w:tcPr>
          <w:p w:rsidR="00C24D50" w:rsidRDefault="003B5AAA" w:rsidP="002F7397">
            <w:pPr>
              <w:pStyle w:val="TableText"/>
            </w:pPr>
            <w:r>
              <w:t>5-A</w:t>
            </w:r>
            <w:r w:rsidR="006102B4">
              <w:t>-2</w:t>
            </w:r>
          </w:p>
        </w:tc>
      </w:tr>
      <w:tr w:rsidR="0002661D" w:rsidTr="00CC1F9B">
        <w:trPr>
          <w:trHeight w:val="180"/>
        </w:trPr>
        <w:tc>
          <w:tcPr>
            <w:tcW w:w="3011" w:type="pct"/>
            <w:shd w:val="clear" w:color="auto" w:fill="auto"/>
          </w:tcPr>
          <w:p w:rsidR="0002661D" w:rsidRDefault="0002661D" w:rsidP="000716DA">
            <w:pPr>
              <w:pStyle w:val="TableText"/>
            </w:pPr>
            <w:r>
              <w:t xml:space="preserve">To state that the deaths </w:t>
            </w:r>
            <w:r w:rsidR="000716DA">
              <w:t>of individuals</w:t>
            </w:r>
            <w:r>
              <w:t xml:space="preserve"> convicted of certain sex crimes are</w:t>
            </w:r>
            <w:r w:rsidR="000716DA">
              <w:t xml:space="preserve"> not qualifying deaths for a PMC.  This change is per Section 105 of Public Law 112-260</w:t>
            </w:r>
            <w:r w:rsidR="00224506">
              <w:t>, which amended 38 U.S.C. 2411</w:t>
            </w:r>
            <w:r w:rsidR="000716DA">
              <w:t>.</w:t>
            </w:r>
          </w:p>
        </w:tc>
        <w:tc>
          <w:tcPr>
            <w:tcW w:w="1420" w:type="pct"/>
            <w:shd w:val="clear" w:color="auto" w:fill="auto"/>
          </w:tcPr>
          <w:p w:rsidR="0002661D" w:rsidRPr="00C24D50" w:rsidRDefault="000716DA" w:rsidP="003B5AAA">
            <w:pPr>
              <w:pStyle w:val="TableText"/>
            </w:pPr>
            <w:r>
              <w:t>VII.5.A.1.c</w:t>
            </w:r>
          </w:p>
        </w:tc>
        <w:tc>
          <w:tcPr>
            <w:tcW w:w="569" w:type="pct"/>
            <w:shd w:val="clear" w:color="auto" w:fill="auto"/>
          </w:tcPr>
          <w:p w:rsidR="0002661D" w:rsidRDefault="000716DA" w:rsidP="002F7397">
            <w:pPr>
              <w:pStyle w:val="TableText"/>
            </w:pPr>
            <w:r>
              <w:t>5-A-3</w:t>
            </w:r>
          </w:p>
        </w:tc>
      </w:tr>
    </w:tbl>
    <w:p w:rsidR="00504F80" w:rsidRDefault="00504F80" w:rsidP="00504F80">
      <w:pPr>
        <w:pStyle w:val="BlockLine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  <w:r w:rsidR="007C274C">
              <w:rPr>
                <w:sz w:val="24"/>
              </w:rPr>
              <w:t>s</w:t>
            </w:r>
          </w:p>
        </w:tc>
        <w:tc>
          <w:tcPr>
            <w:tcW w:w="7740" w:type="dxa"/>
          </w:tcPr>
          <w:p w:rsidR="007C274C" w:rsidRDefault="007C274C" w:rsidP="00237C22"/>
          <w:p w:rsidR="007C274C" w:rsidRDefault="007C274C" w:rsidP="00237C22">
            <w:r>
              <w:t>_________________________________________________________</w:t>
            </w:r>
          </w:p>
          <w:p w:rsidR="00504F80" w:rsidRPr="00B4163A" w:rsidRDefault="00DA3832" w:rsidP="00237C22">
            <w:pPr>
              <w:rPr>
                <w:szCs w:val="20"/>
              </w:rPr>
            </w:pPr>
            <w:r>
              <w:t>David R. McLenachen</w:t>
            </w:r>
            <w:r w:rsidR="00504F80" w:rsidRPr="00B4163A">
              <w:t>, Director</w:t>
            </w:r>
          </w:p>
          <w:p w:rsidR="007C274C" w:rsidRPr="00B4163A" w:rsidRDefault="00DA3832" w:rsidP="003B5AAA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RPC:  2068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FD:  EX:  ASO and AR (included in RPC 2068)</w:t>
            </w:r>
          </w:p>
          <w:p w:rsidR="00504F80" w:rsidRPr="00B4163A" w:rsidRDefault="00504F80" w:rsidP="00237C22">
            <w:pPr>
              <w:pStyle w:val="BlockText"/>
            </w:pPr>
          </w:p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7D5B97" w:rsidRDefault="007D5B97" w:rsidP="000716DA">
      <w:pPr>
        <w:pStyle w:val="BlockLine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8" w:rsidRDefault="00391648" w:rsidP="00C765C7">
      <w:r>
        <w:separator/>
      </w:r>
    </w:p>
  </w:endnote>
  <w:endnote w:type="continuationSeparator" w:id="0">
    <w:p w:rsidR="00391648" w:rsidRDefault="0039164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BD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BD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526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8" w:rsidRDefault="00391648" w:rsidP="00C765C7">
      <w:r>
        <w:separator/>
      </w:r>
    </w:p>
  </w:footnote>
  <w:footnote w:type="continuationSeparator" w:id="0">
    <w:p w:rsidR="00391648" w:rsidRDefault="0039164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7pt;height:11.7pt" o:bullet="t">
        <v:imagedata r:id="rId1" o:title="fspro_2columns"/>
      </v:shape>
    </w:pict>
  </w:numPicBullet>
  <w:numPicBullet w:numPicBulletId="1">
    <w:pict>
      <v:shape id="_x0000_i1163" type="#_x0000_t75" style="width:11.7pt;height:11.7pt" o:bullet="t">
        <v:imagedata r:id="rId2" o:title="advanced"/>
      </v:shape>
    </w:pict>
  </w:numPicBullet>
  <w:numPicBullet w:numPicBulletId="2">
    <w:pict>
      <v:shape id="_x0000_i1164" type="#_x0000_t75" style="width:11.7pt;height:11.7pt" o:bullet="t">
        <v:imagedata r:id="rId3" o:title="continue"/>
      </v:shape>
    </w:pict>
  </w:numPicBullet>
  <w:numPicBullet w:numPicBulletId="3">
    <w:pict>
      <v:shape id="_x0000_i116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3D4855"/>
    <w:multiLevelType w:val="hybridMultilevel"/>
    <w:tmpl w:val="6F7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582278"/>
    <w:multiLevelType w:val="hybridMultilevel"/>
    <w:tmpl w:val="071A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FontSetimistyles.xml"/>
  </w:docVars>
  <w:rsids>
    <w:rsidRoot w:val="00504F80"/>
    <w:rsid w:val="00002A1E"/>
    <w:rsid w:val="00005F9B"/>
    <w:rsid w:val="00011915"/>
    <w:rsid w:val="00014A89"/>
    <w:rsid w:val="000161E5"/>
    <w:rsid w:val="000252C6"/>
    <w:rsid w:val="000256FB"/>
    <w:rsid w:val="0002661D"/>
    <w:rsid w:val="0003213E"/>
    <w:rsid w:val="00052C94"/>
    <w:rsid w:val="000716DA"/>
    <w:rsid w:val="00093228"/>
    <w:rsid w:val="000971CA"/>
    <w:rsid w:val="000A7776"/>
    <w:rsid w:val="000F2E8E"/>
    <w:rsid w:val="00100433"/>
    <w:rsid w:val="0010215F"/>
    <w:rsid w:val="00106EEF"/>
    <w:rsid w:val="00123973"/>
    <w:rsid w:val="00186D46"/>
    <w:rsid w:val="001C3AE3"/>
    <w:rsid w:val="001C3EB5"/>
    <w:rsid w:val="001E5F90"/>
    <w:rsid w:val="00221EF0"/>
    <w:rsid w:val="00221F07"/>
    <w:rsid w:val="00224506"/>
    <w:rsid w:val="00237C22"/>
    <w:rsid w:val="00240624"/>
    <w:rsid w:val="002712B7"/>
    <w:rsid w:val="0029564E"/>
    <w:rsid w:val="002B7A7E"/>
    <w:rsid w:val="002D40CC"/>
    <w:rsid w:val="002F0D71"/>
    <w:rsid w:val="002F5B21"/>
    <w:rsid w:val="002F7397"/>
    <w:rsid w:val="00332B80"/>
    <w:rsid w:val="003352BF"/>
    <w:rsid w:val="00341981"/>
    <w:rsid w:val="00351ACC"/>
    <w:rsid w:val="00366D36"/>
    <w:rsid w:val="00383440"/>
    <w:rsid w:val="00386999"/>
    <w:rsid w:val="00391648"/>
    <w:rsid w:val="003A5DFF"/>
    <w:rsid w:val="003B2927"/>
    <w:rsid w:val="003B5AAA"/>
    <w:rsid w:val="003F6048"/>
    <w:rsid w:val="003F672A"/>
    <w:rsid w:val="00401EAD"/>
    <w:rsid w:val="0040351B"/>
    <w:rsid w:val="00421403"/>
    <w:rsid w:val="00423526"/>
    <w:rsid w:val="00430720"/>
    <w:rsid w:val="00435BA5"/>
    <w:rsid w:val="004402DC"/>
    <w:rsid w:val="00455EF7"/>
    <w:rsid w:val="004562CC"/>
    <w:rsid w:val="00456CEF"/>
    <w:rsid w:val="00471ECA"/>
    <w:rsid w:val="00482FA3"/>
    <w:rsid w:val="0048559D"/>
    <w:rsid w:val="004902AB"/>
    <w:rsid w:val="00494175"/>
    <w:rsid w:val="004F375E"/>
    <w:rsid w:val="005044E6"/>
    <w:rsid w:val="00504F80"/>
    <w:rsid w:val="00506485"/>
    <w:rsid w:val="00513DA7"/>
    <w:rsid w:val="00516C82"/>
    <w:rsid w:val="00594258"/>
    <w:rsid w:val="005C7093"/>
    <w:rsid w:val="005E4363"/>
    <w:rsid w:val="005F2BA6"/>
    <w:rsid w:val="006102B4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08F1"/>
    <w:rsid w:val="00732186"/>
    <w:rsid w:val="00737049"/>
    <w:rsid w:val="007852D5"/>
    <w:rsid w:val="007A0C5F"/>
    <w:rsid w:val="007B3C46"/>
    <w:rsid w:val="007C274C"/>
    <w:rsid w:val="007D5B97"/>
    <w:rsid w:val="007E5515"/>
    <w:rsid w:val="0080590C"/>
    <w:rsid w:val="0086475B"/>
    <w:rsid w:val="00875AFA"/>
    <w:rsid w:val="0088609E"/>
    <w:rsid w:val="008A0D4B"/>
    <w:rsid w:val="008B0BC6"/>
    <w:rsid w:val="008B4CB5"/>
    <w:rsid w:val="008C723F"/>
    <w:rsid w:val="008D12C3"/>
    <w:rsid w:val="008D458B"/>
    <w:rsid w:val="008E22CF"/>
    <w:rsid w:val="008E5824"/>
    <w:rsid w:val="008E589A"/>
    <w:rsid w:val="008F1D5B"/>
    <w:rsid w:val="00916AE6"/>
    <w:rsid w:val="009550F2"/>
    <w:rsid w:val="009769CD"/>
    <w:rsid w:val="0098033F"/>
    <w:rsid w:val="00997D98"/>
    <w:rsid w:val="009E6E1A"/>
    <w:rsid w:val="00A315CB"/>
    <w:rsid w:val="00A3579D"/>
    <w:rsid w:val="00A55356"/>
    <w:rsid w:val="00A8389E"/>
    <w:rsid w:val="00A8520D"/>
    <w:rsid w:val="00AC2993"/>
    <w:rsid w:val="00AD2847"/>
    <w:rsid w:val="00AD3876"/>
    <w:rsid w:val="00AD4E43"/>
    <w:rsid w:val="00AF2CD6"/>
    <w:rsid w:val="00B30D2F"/>
    <w:rsid w:val="00B50AD7"/>
    <w:rsid w:val="00B60D60"/>
    <w:rsid w:val="00B93A3C"/>
    <w:rsid w:val="00B96287"/>
    <w:rsid w:val="00BD09DD"/>
    <w:rsid w:val="00BF7FE3"/>
    <w:rsid w:val="00C06AB8"/>
    <w:rsid w:val="00C24D50"/>
    <w:rsid w:val="00C765C7"/>
    <w:rsid w:val="00CC1F9B"/>
    <w:rsid w:val="00CD2D08"/>
    <w:rsid w:val="00D36508"/>
    <w:rsid w:val="00D57B91"/>
    <w:rsid w:val="00D61497"/>
    <w:rsid w:val="00D77146"/>
    <w:rsid w:val="00D823AF"/>
    <w:rsid w:val="00DA11C2"/>
    <w:rsid w:val="00DA3832"/>
    <w:rsid w:val="00DB074F"/>
    <w:rsid w:val="00DB2902"/>
    <w:rsid w:val="00DB743E"/>
    <w:rsid w:val="00DC0936"/>
    <w:rsid w:val="00DE0E35"/>
    <w:rsid w:val="00DF44AC"/>
    <w:rsid w:val="00E2529E"/>
    <w:rsid w:val="00E36906"/>
    <w:rsid w:val="00E7049F"/>
    <w:rsid w:val="00E964FD"/>
    <w:rsid w:val="00ED4D5E"/>
    <w:rsid w:val="00F006B2"/>
    <w:rsid w:val="00F10C9B"/>
    <w:rsid w:val="00F1670D"/>
    <w:rsid w:val="00F43DFA"/>
    <w:rsid w:val="00F7401D"/>
    <w:rsid w:val="00F87670"/>
    <w:rsid w:val="00F90609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C9354744FEC4BA0033BA3F883A6B8" ma:contentTypeVersion="0" ma:contentTypeDescription="Create a new document." ma:contentTypeScope="" ma:versionID="b0370e5a2bdd30cf7f6a51bccf55af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1DC523-0098-460A-81BF-5EF35BB4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683E18-FE90-42E4-8226-1E8746A88C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1594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Martha Schimpf</cp:lastModifiedBy>
  <cp:revision>2</cp:revision>
  <dcterms:created xsi:type="dcterms:W3CDTF">2013-09-25T16:58:00Z</dcterms:created>
  <dcterms:modified xsi:type="dcterms:W3CDTF">2013-09-25T16:58:00Z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