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6B" w:rsidRPr="004D2043" w:rsidRDefault="00FF096B" w:rsidP="00C606BB">
      <w:pPr>
        <w:pStyle w:val="Heading2"/>
      </w:pPr>
      <w:bookmarkStart w:id="0" w:name="_GoBack"/>
      <w:bookmarkEnd w:id="0"/>
      <w:r w:rsidRPr="004D2043">
        <w:t>Section E.  Pension – Basic Rate Determinations</w:t>
      </w:r>
    </w:p>
    <w:p w:rsidR="00FF096B" w:rsidRPr="004D2043" w:rsidRDefault="00FF096B">
      <w:pPr>
        <w:pStyle w:val="Heading4"/>
      </w:pPr>
      <w:r w:rsidRPr="004D2043">
        <w:fldChar w:fldCharType="begin"/>
      </w:r>
      <w:r w:rsidRPr="004D2043">
        <w:instrText xml:space="preserve"> PRIVATE INFOTYPE="OTHER" </w:instrText>
      </w:r>
      <w:r w:rsidRPr="004D2043">
        <w:fldChar w:fldCharType="end"/>
      </w:r>
      <w:r w:rsidRPr="004D2043">
        <w:t>Overview</w:t>
      </w:r>
    </w:p>
    <w:p w:rsidR="00FF096B" w:rsidRPr="004D2043" w:rsidRDefault="00C32629">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831B8F" w:rsidP="00831B8F">
            <w:pPr>
              <w:pStyle w:val="Heading5"/>
            </w:pPr>
            <w:r w:rsidRPr="004D2043">
              <w:t xml:space="preserve">In This </w:t>
            </w:r>
            <w:r w:rsidR="00FF096B" w:rsidRPr="004D2043">
              <w:t>Section</w:t>
            </w:r>
          </w:p>
        </w:tc>
        <w:tc>
          <w:tcPr>
            <w:tcW w:w="7740" w:type="dxa"/>
          </w:tcPr>
          <w:p w:rsidR="00FF096B" w:rsidRPr="004D2043" w:rsidRDefault="00FF096B">
            <w:pPr>
              <w:pStyle w:val="BlockText"/>
            </w:pPr>
            <w:r w:rsidRPr="004D2043">
              <w:t>This section contains the following topics:</w:t>
            </w:r>
          </w:p>
        </w:tc>
      </w:tr>
    </w:tbl>
    <w:p w:rsidR="00FF096B" w:rsidRPr="004D2043" w:rsidRDefault="00FF096B"/>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831B8F" w:rsidRPr="004D2043" w:rsidTr="00831B8F">
        <w:trPr>
          <w:cantSplit/>
        </w:trPr>
        <w:tc>
          <w:tcPr>
            <w:tcW w:w="1296" w:type="dxa"/>
          </w:tcPr>
          <w:p w:rsidR="00831B8F" w:rsidRPr="004D2043" w:rsidRDefault="00831B8F">
            <w:pPr>
              <w:pStyle w:val="TableHeaderText"/>
              <w:tabs>
                <w:tab w:val="left" w:pos="1080"/>
              </w:tabs>
            </w:pPr>
            <w:r w:rsidRPr="004D2043">
              <w:t>Topic</w:t>
            </w:r>
          </w:p>
        </w:tc>
        <w:tc>
          <w:tcPr>
            <w:tcW w:w="6344" w:type="dxa"/>
          </w:tcPr>
          <w:p w:rsidR="00831B8F" w:rsidRPr="004D2043" w:rsidRDefault="00831B8F">
            <w:pPr>
              <w:pStyle w:val="TableHeaderText"/>
            </w:pPr>
            <w:r w:rsidRPr="004D2043">
              <w:t>Topic Name</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1 (old )</w:t>
            </w:r>
          </w:p>
        </w:tc>
        <w:tc>
          <w:tcPr>
            <w:tcW w:w="6344" w:type="dxa"/>
          </w:tcPr>
          <w:p w:rsidR="00831B8F" w:rsidRPr="004D2043" w:rsidRDefault="00831B8F">
            <w:pPr>
              <w:pStyle w:val="TableText"/>
            </w:pPr>
            <w:r w:rsidRPr="004D2043">
              <w:t>Determining the Monthly Rate of Pension Payment</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2 (old</w:t>
            </w:r>
            <w:r w:rsidR="00831B8F" w:rsidRPr="004D2043">
              <w:t xml:space="preserve"> </w:t>
            </w:r>
            <w:r w:rsidRPr="004D2043">
              <w:t>)</w:t>
            </w:r>
          </w:p>
        </w:tc>
        <w:tc>
          <w:tcPr>
            <w:tcW w:w="6344" w:type="dxa"/>
          </w:tcPr>
          <w:p w:rsidR="00831B8F" w:rsidRPr="004D2043" w:rsidRDefault="00831B8F">
            <w:pPr>
              <w:pStyle w:val="TableText"/>
            </w:pPr>
            <w:r w:rsidRPr="004D2043">
              <w:t>Determining the Maximum Annual Pension Rate (MAPR)</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3 (old</w:t>
            </w:r>
            <w:r w:rsidR="00831B8F" w:rsidRPr="004D2043">
              <w:t xml:space="preserve"> </w:t>
            </w:r>
            <w:r w:rsidRPr="004D2043">
              <w:t>)</w:t>
            </w:r>
          </w:p>
        </w:tc>
        <w:tc>
          <w:tcPr>
            <w:tcW w:w="6344" w:type="dxa"/>
          </w:tcPr>
          <w:p w:rsidR="00831B8F" w:rsidRPr="004D2043" w:rsidRDefault="00831B8F">
            <w:pPr>
              <w:pStyle w:val="TableText"/>
            </w:pPr>
            <w:r w:rsidRPr="004D2043">
              <w:t>Veterans Who Are Married to Each Other</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4 (old</w:t>
            </w:r>
            <w:r w:rsidR="00831B8F" w:rsidRPr="004D2043">
              <w:t xml:space="preserve"> </w:t>
            </w:r>
            <w:r w:rsidRPr="004D2043">
              <w:t>)</w:t>
            </w:r>
          </w:p>
        </w:tc>
        <w:tc>
          <w:tcPr>
            <w:tcW w:w="6344" w:type="dxa"/>
          </w:tcPr>
          <w:p w:rsidR="00831B8F" w:rsidRPr="004D2043" w:rsidRDefault="00831B8F">
            <w:pPr>
              <w:pStyle w:val="TableText"/>
            </w:pPr>
            <w:r w:rsidRPr="004D2043">
              <w:t xml:space="preserve">Surviving Child Entitled to </w:t>
            </w:r>
            <w:r w:rsidR="00914135" w:rsidRPr="004D2043">
              <w:t>Survivors</w:t>
            </w:r>
            <w:r w:rsidRPr="004D2043">
              <w:t xml:space="preserve"> Pension in </w:t>
            </w:r>
            <w:proofErr w:type="spellStart"/>
            <w:r w:rsidRPr="004D2043">
              <w:t>His/Her</w:t>
            </w:r>
            <w:proofErr w:type="spellEnd"/>
            <w:r w:rsidRPr="004D2043">
              <w:t xml:space="preserve"> Own Right</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5 (old</w:t>
            </w:r>
            <w:r w:rsidR="00831B8F" w:rsidRPr="004D2043">
              <w:t xml:space="preserve"> </w:t>
            </w:r>
            <w:r w:rsidRPr="004D2043">
              <w:t>)</w:t>
            </w:r>
          </w:p>
        </w:tc>
        <w:tc>
          <w:tcPr>
            <w:tcW w:w="6344" w:type="dxa"/>
          </w:tcPr>
          <w:p w:rsidR="00831B8F" w:rsidRPr="004D2043" w:rsidRDefault="00831B8F">
            <w:pPr>
              <w:pStyle w:val="TableText"/>
            </w:pPr>
            <w:r w:rsidRPr="004D2043">
              <w:t>Income Classifications</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6 (old</w:t>
            </w:r>
            <w:r w:rsidR="00831B8F" w:rsidRPr="004D2043">
              <w:t xml:space="preserve"> </w:t>
            </w:r>
            <w:r w:rsidRPr="004D2043">
              <w:t>)</w:t>
            </w:r>
          </w:p>
        </w:tc>
        <w:tc>
          <w:tcPr>
            <w:tcW w:w="6344" w:type="dxa"/>
          </w:tcPr>
          <w:p w:rsidR="00831B8F" w:rsidRPr="004D2043" w:rsidRDefault="00831B8F">
            <w:pPr>
              <w:pStyle w:val="TableText"/>
            </w:pPr>
            <w:r w:rsidRPr="004D2043">
              <w:t>Counting Income for Department of Veterans Affairs Purposes (IVAP)</w:t>
            </w:r>
          </w:p>
        </w:tc>
      </w:tr>
      <w:tr w:rsidR="00831B8F" w:rsidRPr="004D2043" w:rsidTr="00831B8F">
        <w:trPr>
          <w:cantSplit/>
        </w:trPr>
        <w:tc>
          <w:tcPr>
            <w:tcW w:w="1296" w:type="dxa"/>
          </w:tcPr>
          <w:p w:rsidR="00831B8F" w:rsidRPr="004D2043" w:rsidRDefault="00FE4C44">
            <w:pPr>
              <w:pStyle w:val="TableText"/>
              <w:tabs>
                <w:tab w:val="left" w:pos="1080"/>
              </w:tabs>
              <w:jc w:val="center"/>
            </w:pPr>
            <w:r w:rsidRPr="004D2043">
              <w:t>7 (old</w:t>
            </w:r>
            <w:r w:rsidR="00831B8F" w:rsidRPr="004D2043">
              <w:t xml:space="preserve"> </w:t>
            </w:r>
            <w:r w:rsidRPr="004D2043">
              <w:t>)</w:t>
            </w:r>
          </w:p>
        </w:tc>
        <w:tc>
          <w:tcPr>
            <w:tcW w:w="6344" w:type="dxa"/>
          </w:tcPr>
          <w:p w:rsidR="00831B8F" w:rsidRPr="004D2043" w:rsidRDefault="00831B8F">
            <w:pPr>
              <w:pStyle w:val="TableText"/>
            </w:pPr>
            <w:r w:rsidRPr="004D2043">
              <w:t>Counting Income During the Initial Period</w:t>
            </w:r>
          </w:p>
        </w:tc>
      </w:tr>
    </w:tbl>
    <w:p w:rsidR="00FF096B" w:rsidRPr="004D2043" w:rsidRDefault="00FF096B">
      <w:pPr>
        <w:pStyle w:val="BlockLine"/>
      </w:pPr>
    </w:p>
    <w:p w:rsidR="00FF096B" w:rsidRPr="004D2043" w:rsidRDefault="00FF096B">
      <w:pPr>
        <w:pStyle w:val="Heading4"/>
      </w:pPr>
      <w:r w:rsidRPr="004D2043">
        <w:br w:type="page"/>
      </w:r>
      <w:r w:rsidR="00831B8F" w:rsidRPr="004D2043">
        <w:lastRenderedPageBreak/>
        <w:t>1</w:t>
      </w:r>
      <w:r w:rsidRPr="004D2043">
        <w:t>.  Determining the Monthly Rate of Pension Payment</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 xml:space="preserve">This topic contains information on determining the monthly rate of </w:t>
            </w:r>
            <w:r w:rsidR="006D4191" w:rsidRPr="004D2043">
              <w:t>current</w:t>
            </w:r>
            <w:r w:rsidR="00820182" w:rsidRPr="004D2043">
              <w:t>-</w:t>
            </w:r>
            <w:r w:rsidR="006D4191" w:rsidRPr="004D2043">
              <w:t xml:space="preserve">law </w:t>
            </w:r>
            <w:r w:rsidRPr="004D2043">
              <w:t xml:space="preserve"> Pension payments, including </w:t>
            </w:r>
          </w:p>
          <w:p w:rsidR="00FF096B" w:rsidRPr="004D2043" w:rsidRDefault="00FF096B">
            <w:pPr>
              <w:pStyle w:val="BlockText"/>
            </w:pPr>
          </w:p>
          <w:p w:rsidR="00FF096B" w:rsidRPr="004D2043" w:rsidRDefault="00FF096B" w:rsidP="00E56DE9">
            <w:pPr>
              <w:pStyle w:val="BulletText1"/>
            </w:pPr>
            <w:r w:rsidRPr="004D2043">
              <w:t>the changing rate of pension</w:t>
            </w:r>
          </w:p>
          <w:p w:rsidR="00FF096B" w:rsidRPr="004D2043" w:rsidRDefault="00FF096B">
            <w:pPr>
              <w:pStyle w:val="BulletText1"/>
            </w:pPr>
            <w:r w:rsidRPr="004D2043">
              <w:t>the knowledge needed to determine the monthly rate of pension</w:t>
            </w:r>
          </w:p>
          <w:p w:rsidR="00FF096B" w:rsidRPr="004D2043" w:rsidRDefault="00FF096B">
            <w:pPr>
              <w:pStyle w:val="BulletText1"/>
            </w:pPr>
            <w:r w:rsidRPr="004D2043">
              <w:t>determining the monthly rate of pension payment</w:t>
            </w:r>
          </w:p>
          <w:p w:rsidR="00FF096B" w:rsidRPr="004D2043" w:rsidRDefault="00FF096B">
            <w:pPr>
              <w:pStyle w:val="BulletText1"/>
            </w:pPr>
            <w:r w:rsidRPr="004D2043">
              <w:t>pension rates paid less frequently than monthly</w:t>
            </w:r>
          </w:p>
          <w:p w:rsidR="00FF096B" w:rsidRPr="004D2043" w:rsidRDefault="00FF096B">
            <w:pPr>
              <w:pStyle w:val="BulletText1"/>
            </w:pPr>
            <w:r w:rsidRPr="004D2043">
              <w:t>determining the pension payment schedule</w:t>
            </w:r>
          </w:p>
          <w:p w:rsidR="009B5131" w:rsidRPr="004D2043" w:rsidRDefault="009B5131">
            <w:pPr>
              <w:pStyle w:val="BulletText1"/>
            </w:pPr>
            <w:proofErr w:type="gramStart"/>
            <w:r w:rsidRPr="004D2043">
              <w:t>suggested</w:t>
            </w:r>
            <w:proofErr w:type="gramEnd"/>
            <w:r w:rsidRPr="004D2043">
              <w:t xml:space="preserve"> text for locally-generated award letters when monthly rate is less than $19.</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Changing</w:t>
            </w:r>
            <w:proofErr w:type="gramEnd"/>
            <w:r w:rsidRPr="004D2043">
              <w:t xml:space="preserve"> Rate of Pension</w:t>
            </w:r>
          </w:p>
        </w:tc>
        <w:tc>
          <w:tcPr>
            <w:tcW w:w="7740" w:type="dxa"/>
          </w:tcPr>
          <w:p w:rsidR="00FF096B" w:rsidRPr="004D2043" w:rsidRDefault="00FF096B">
            <w:pPr>
              <w:pStyle w:val="BlockText"/>
            </w:pPr>
            <w:r w:rsidRPr="004D2043">
              <w:t xml:space="preserve">A </w:t>
            </w:r>
            <w:r w:rsidR="00B67263" w:rsidRPr="004D2043">
              <w:t>P</w:t>
            </w:r>
            <w:r w:rsidRPr="004D2043">
              <w:t xml:space="preserve">ension beneficiary’s rate usually changes at least once a year and may change more often.  </w:t>
            </w:r>
          </w:p>
          <w:p w:rsidR="00FF096B" w:rsidRPr="004D2043" w:rsidRDefault="00FF096B">
            <w:pPr>
              <w:pStyle w:val="BlockText"/>
            </w:pPr>
          </w:p>
          <w:p w:rsidR="00FF096B" w:rsidRPr="004D2043" w:rsidRDefault="00FF096B">
            <w:pPr>
              <w:pStyle w:val="BlockText"/>
            </w:pPr>
            <w:r w:rsidRPr="004D2043">
              <w:t>In theory, the pension rate could change every month, but as a practical mat</w:t>
            </w:r>
            <w:r w:rsidR="00584783" w:rsidRPr="004D2043">
              <w:t>ter this does not often happen.</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Knowledge</w:t>
            </w:r>
            <w:proofErr w:type="gramEnd"/>
            <w:r w:rsidRPr="004D2043">
              <w:t xml:space="preserve"> Needed to Determine Monthly Rate of Pension</w:t>
            </w:r>
          </w:p>
        </w:tc>
        <w:tc>
          <w:tcPr>
            <w:tcW w:w="7740" w:type="dxa"/>
          </w:tcPr>
          <w:p w:rsidR="00FF096B" w:rsidRPr="004D2043" w:rsidRDefault="00FF096B">
            <w:pPr>
              <w:pStyle w:val="BlockText"/>
            </w:pPr>
            <w:r w:rsidRPr="004D2043">
              <w:t xml:space="preserve">To determine a </w:t>
            </w:r>
            <w:r w:rsidR="00B67263" w:rsidRPr="004D2043">
              <w:t>P</w:t>
            </w:r>
            <w:r w:rsidRPr="004D2043">
              <w:t>ension beneficiary’s rate of pension for any given month, the following two elements must be known for the month in question:</w:t>
            </w:r>
          </w:p>
          <w:p w:rsidR="00FF096B" w:rsidRPr="004D2043" w:rsidRDefault="00FF096B" w:rsidP="0044326F">
            <w:pPr>
              <w:pStyle w:val="BlockText"/>
            </w:pPr>
          </w:p>
          <w:p w:rsidR="00FF096B" w:rsidRPr="004D2043" w:rsidRDefault="00FF096B">
            <w:pPr>
              <w:pStyle w:val="BulletText1"/>
            </w:pPr>
            <w:r w:rsidRPr="004D2043">
              <w:t>the beneficiary’s maximum annual pension rate (MAPR) in effect for that month, and</w:t>
            </w:r>
          </w:p>
          <w:p w:rsidR="00FF096B" w:rsidRPr="004D2043" w:rsidRDefault="00FF096B">
            <w:pPr>
              <w:pStyle w:val="BulletText1"/>
            </w:pPr>
            <w:proofErr w:type="gramStart"/>
            <w:r w:rsidRPr="004D2043">
              <w:t>the</w:t>
            </w:r>
            <w:proofErr w:type="gramEnd"/>
            <w:r w:rsidRPr="004D2043">
              <w:t xml:space="preserve"> beneficiary’s income for Department of Veterans Affairs purposes (IVAP) for that month.</w:t>
            </w:r>
          </w:p>
        </w:tc>
      </w:tr>
    </w:tbl>
    <w:p w:rsidR="00FF096B" w:rsidRPr="004D2043" w:rsidRDefault="00505934">
      <w:pPr>
        <w:pStyle w:val="BlockLine"/>
      </w:pPr>
      <w:r w:rsidRPr="004D2043">
        <w:fldChar w:fldCharType="begin"/>
      </w:r>
      <w:r w:rsidRPr="004D2043">
        <w:instrText xml:space="preserve"> PRIVATE INFOTYPE="PROCEDURE"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c.  Determining</w:t>
            </w:r>
            <w:proofErr w:type="gramEnd"/>
            <w:r w:rsidRPr="004D2043">
              <w:t xml:space="preserve"> the Monthly Rate of Pension Payment</w:t>
            </w:r>
          </w:p>
        </w:tc>
        <w:tc>
          <w:tcPr>
            <w:tcW w:w="7740" w:type="dxa"/>
          </w:tcPr>
          <w:p w:rsidR="00FF096B" w:rsidRPr="004D2043" w:rsidRDefault="00FF096B">
            <w:pPr>
              <w:pStyle w:val="BlockText"/>
            </w:pPr>
            <w:r w:rsidRPr="004D2043">
              <w:t>Follow the steps in the table below to determine the monthly rate of payment.</w:t>
            </w:r>
          </w:p>
        </w:tc>
      </w:tr>
    </w:tbl>
    <w:p w:rsidR="00FF096B" w:rsidRPr="004D2043" w:rsidRDefault="00FF096B"/>
    <w:tbl>
      <w:tblPr>
        <w:tblW w:w="0" w:type="auto"/>
        <w:tblInd w:w="1829" w:type="dxa"/>
        <w:tblLayout w:type="fixed"/>
        <w:tblLook w:val="0000" w:firstRow="0" w:lastRow="0" w:firstColumn="0" w:lastColumn="0" w:noHBand="0" w:noVBand="0"/>
      </w:tblPr>
      <w:tblGrid>
        <w:gridCol w:w="878"/>
        <w:gridCol w:w="6670"/>
      </w:tblGrid>
      <w:tr w:rsidR="00FF096B" w:rsidRPr="004D2043">
        <w:trPr>
          <w:cantSplit/>
        </w:trPr>
        <w:tc>
          <w:tcPr>
            <w:tcW w:w="87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Step</w:t>
            </w:r>
          </w:p>
        </w:tc>
        <w:tc>
          <w:tcPr>
            <w:tcW w:w="6670" w:type="dxa"/>
            <w:tcBorders>
              <w:top w:val="single" w:sz="6" w:space="0" w:color="auto"/>
              <w:bottom w:val="single" w:sz="6" w:space="0" w:color="auto"/>
              <w:right w:val="single" w:sz="6" w:space="0" w:color="auto"/>
            </w:tcBorders>
          </w:tcPr>
          <w:p w:rsidR="00FF096B" w:rsidRPr="004D2043" w:rsidRDefault="00FF096B">
            <w:pPr>
              <w:pStyle w:val="TableHeaderText"/>
            </w:pPr>
            <w:r w:rsidRPr="004D2043">
              <w:t>Action</w:t>
            </w:r>
          </w:p>
        </w:tc>
      </w:tr>
      <w:tr w:rsidR="00FF096B" w:rsidRPr="004D2043">
        <w:trPr>
          <w:cantSplit/>
        </w:trPr>
        <w:tc>
          <w:tcPr>
            <w:tcW w:w="87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jc w:val="center"/>
            </w:pPr>
            <w:r w:rsidRPr="004D2043">
              <w:t>1</w:t>
            </w:r>
          </w:p>
        </w:tc>
        <w:tc>
          <w:tcPr>
            <w:tcW w:w="6670" w:type="dxa"/>
            <w:tcBorders>
              <w:top w:val="single" w:sz="6" w:space="0" w:color="auto"/>
              <w:bottom w:val="single" w:sz="6" w:space="0" w:color="auto"/>
              <w:right w:val="single" w:sz="6" w:space="0" w:color="auto"/>
            </w:tcBorders>
          </w:tcPr>
          <w:p w:rsidR="00FF096B" w:rsidRPr="004D2043" w:rsidRDefault="0000330A">
            <w:pPr>
              <w:pStyle w:val="TableText"/>
            </w:pPr>
            <w:r w:rsidRPr="004D2043">
              <w:t xml:space="preserve">Calculate </w:t>
            </w:r>
            <w:r w:rsidR="00FF096B" w:rsidRPr="004D2043">
              <w:t>annual IVAP for the month.</w:t>
            </w:r>
          </w:p>
        </w:tc>
      </w:tr>
      <w:tr w:rsidR="00FF096B" w:rsidRPr="004D2043">
        <w:trPr>
          <w:cantSplit/>
        </w:trPr>
        <w:tc>
          <w:tcPr>
            <w:tcW w:w="87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jc w:val="center"/>
            </w:pPr>
            <w:r w:rsidRPr="004D2043">
              <w:t>2</w:t>
            </w:r>
          </w:p>
        </w:tc>
        <w:tc>
          <w:tcPr>
            <w:tcW w:w="6670" w:type="dxa"/>
            <w:tcBorders>
              <w:top w:val="single" w:sz="6" w:space="0" w:color="auto"/>
              <w:bottom w:val="single" w:sz="6" w:space="0" w:color="auto"/>
              <w:right w:val="single" w:sz="6" w:space="0" w:color="auto"/>
            </w:tcBorders>
          </w:tcPr>
          <w:p w:rsidR="00FF096B" w:rsidRPr="004D2043" w:rsidRDefault="00FF096B">
            <w:pPr>
              <w:pStyle w:val="TableText"/>
            </w:pPr>
            <w:r w:rsidRPr="004D2043">
              <w:t xml:space="preserve">Locate the applicable MAPR for that month in </w:t>
            </w:r>
            <w:hyperlink r:id="rId14" w:history="1">
              <w:r w:rsidRPr="004D2043">
                <w:rPr>
                  <w:rStyle w:val="Hyperlink"/>
                </w:rPr>
                <w:t>M21-1, Part I, Appendix B</w:t>
              </w:r>
            </w:hyperlink>
            <w:r w:rsidRPr="004D2043">
              <w:t>.</w:t>
            </w:r>
          </w:p>
        </w:tc>
      </w:tr>
      <w:tr w:rsidR="00FF096B" w:rsidRPr="004D2043">
        <w:trPr>
          <w:cantSplit/>
        </w:trPr>
        <w:tc>
          <w:tcPr>
            <w:tcW w:w="87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jc w:val="center"/>
            </w:pPr>
            <w:r w:rsidRPr="004D2043">
              <w:t>3</w:t>
            </w:r>
          </w:p>
        </w:tc>
        <w:tc>
          <w:tcPr>
            <w:tcW w:w="6670" w:type="dxa"/>
            <w:tcBorders>
              <w:top w:val="single" w:sz="6" w:space="0" w:color="auto"/>
              <w:bottom w:val="single" w:sz="6" w:space="0" w:color="auto"/>
              <w:right w:val="single" w:sz="6" w:space="0" w:color="auto"/>
            </w:tcBorders>
          </w:tcPr>
          <w:p w:rsidR="00FF096B" w:rsidRPr="004D2043" w:rsidRDefault="00FF096B">
            <w:pPr>
              <w:pStyle w:val="TableText"/>
            </w:pPr>
            <w:r w:rsidRPr="004D2043">
              <w:t>Subtract the annual IVAP from the MAPR.</w:t>
            </w:r>
          </w:p>
        </w:tc>
      </w:tr>
      <w:tr w:rsidR="00FF096B" w:rsidRPr="004D2043">
        <w:trPr>
          <w:cantSplit/>
        </w:trPr>
        <w:tc>
          <w:tcPr>
            <w:tcW w:w="87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jc w:val="center"/>
            </w:pPr>
            <w:r w:rsidRPr="004D2043">
              <w:t>4</w:t>
            </w:r>
          </w:p>
        </w:tc>
        <w:tc>
          <w:tcPr>
            <w:tcW w:w="6670" w:type="dxa"/>
            <w:tcBorders>
              <w:top w:val="single" w:sz="6" w:space="0" w:color="auto"/>
              <w:bottom w:val="single" w:sz="6" w:space="0" w:color="auto"/>
              <w:right w:val="single" w:sz="6" w:space="0" w:color="auto"/>
            </w:tcBorders>
          </w:tcPr>
          <w:p w:rsidR="00FF096B" w:rsidRPr="004D2043" w:rsidRDefault="00FF096B">
            <w:pPr>
              <w:pStyle w:val="TableText"/>
            </w:pPr>
            <w:r w:rsidRPr="004D2043">
              <w:t>Divide the result in Step 3 by 12 to get the monthly rate.</w:t>
            </w:r>
          </w:p>
        </w:tc>
      </w:tr>
      <w:tr w:rsidR="005B3536" w:rsidRPr="004D2043">
        <w:trPr>
          <w:cantSplit/>
        </w:trPr>
        <w:tc>
          <w:tcPr>
            <w:tcW w:w="878" w:type="dxa"/>
            <w:tcBorders>
              <w:top w:val="single" w:sz="6" w:space="0" w:color="auto"/>
              <w:left w:val="single" w:sz="6" w:space="0" w:color="auto"/>
              <w:bottom w:val="single" w:sz="6" w:space="0" w:color="auto"/>
              <w:right w:val="single" w:sz="6" w:space="0" w:color="auto"/>
            </w:tcBorders>
          </w:tcPr>
          <w:p w:rsidR="005B3536" w:rsidRPr="004D2043" w:rsidRDefault="005B3536">
            <w:pPr>
              <w:pStyle w:val="TableText"/>
              <w:jc w:val="center"/>
            </w:pPr>
            <w:r w:rsidRPr="004D2043">
              <w:t>5</w:t>
            </w:r>
          </w:p>
        </w:tc>
        <w:tc>
          <w:tcPr>
            <w:tcW w:w="6670" w:type="dxa"/>
            <w:tcBorders>
              <w:top w:val="single" w:sz="6" w:space="0" w:color="auto"/>
              <w:bottom w:val="single" w:sz="6" w:space="0" w:color="auto"/>
              <w:right w:val="single" w:sz="6" w:space="0" w:color="auto"/>
            </w:tcBorders>
          </w:tcPr>
          <w:p w:rsidR="005B3536" w:rsidRPr="004D2043" w:rsidRDefault="005B3536">
            <w:pPr>
              <w:pStyle w:val="TableText"/>
            </w:pPr>
            <w:r w:rsidRPr="004D2043">
              <w:t>Round down to the nearest dollar.</w:t>
            </w:r>
          </w:p>
        </w:tc>
      </w:tr>
    </w:tbl>
    <w:p w:rsidR="00FF096B" w:rsidRPr="004D2043" w:rsidRDefault="00FF096B"/>
    <w:tbl>
      <w:tblPr>
        <w:tblW w:w="0" w:type="auto"/>
        <w:tblInd w:w="1728" w:type="dxa"/>
        <w:tblLayout w:type="fixed"/>
        <w:tblLook w:val="0000" w:firstRow="0" w:lastRow="0" w:firstColumn="0" w:lastColumn="0" w:noHBand="0" w:noVBand="0"/>
      </w:tblPr>
      <w:tblGrid>
        <w:gridCol w:w="7740"/>
      </w:tblGrid>
      <w:tr w:rsidR="00FF096B" w:rsidRPr="004D2043">
        <w:trPr>
          <w:cantSplit/>
        </w:trPr>
        <w:tc>
          <w:tcPr>
            <w:tcW w:w="7740" w:type="dxa"/>
          </w:tcPr>
          <w:p w:rsidR="00FF096B" w:rsidRPr="004D2043" w:rsidRDefault="00FF096B">
            <w:pPr>
              <w:pStyle w:val="NoteText"/>
            </w:pPr>
            <w:r w:rsidRPr="004D2043">
              <w:rPr>
                <w:b/>
                <w:i/>
              </w:rPr>
              <w:t>Note</w:t>
            </w:r>
            <w:r w:rsidRPr="004D2043">
              <w:t>:  If IVAP equals or exceeds the MAPR, the rate payable is $0.</w:t>
            </w:r>
          </w:p>
        </w:tc>
      </w:tr>
    </w:tbl>
    <w:p w:rsidR="00FF096B" w:rsidRPr="004D2043" w:rsidRDefault="00505934">
      <w:pPr>
        <w:pStyle w:val="BlockLine"/>
      </w:pPr>
      <w:r w:rsidRPr="004D2043">
        <w:lastRenderedPageBreak/>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d.  Pension</w:t>
            </w:r>
            <w:proofErr w:type="gramEnd"/>
            <w:r w:rsidRPr="004D2043">
              <w:t xml:space="preserve"> Rates Paid Less Frequently Than Monthly</w:t>
            </w:r>
          </w:p>
        </w:tc>
        <w:tc>
          <w:tcPr>
            <w:tcW w:w="7740" w:type="dxa"/>
          </w:tcPr>
          <w:p w:rsidR="00FF096B" w:rsidRPr="004D2043" w:rsidRDefault="009B411B">
            <w:pPr>
              <w:pStyle w:val="BlockText"/>
            </w:pPr>
            <w:r w:rsidRPr="004D2043">
              <w:t>Current-law</w:t>
            </w:r>
            <w:r w:rsidR="00FF096B" w:rsidRPr="004D2043">
              <w:t xml:space="preserve"> Pension benefits are normally paid once each month.  However, they are paid less frequently than monthly if the annual r</w:t>
            </w:r>
            <w:r w:rsidR="00906634" w:rsidRPr="004D2043">
              <w:t>ate payable is less than $228.</w:t>
            </w:r>
          </w:p>
          <w:p w:rsidR="00FF096B" w:rsidRPr="004D2043" w:rsidRDefault="00FF096B">
            <w:pPr>
              <w:pStyle w:val="BlockText"/>
            </w:pPr>
          </w:p>
          <w:p w:rsidR="00FF096B" w:rsidRPr="004D2043" w:rsidRDefault="00FF096B">
            <w:pPr>
              <w:pStyle w:val="BlockText"/>
            </w:pPr>
            <w:r w:rsidRPr="004D2043">
              <w:t xml:space="preserve">The net award amount for each payee (primary or </w:t>
            </w:r>
            <w:proofErr w:type="spellStart"/>
            <w:r w:rsidRPr="004D2043">
              <w:t>apportionee</w:t>
            </w:r>
            <w:proofErr w:type="spellEnd"/>
            <w:r w:rsidRPr="004D2043">
              <w:t xml:space="preserve">) determines if payments are made less frequently than monthly, per </w:t>
            </w:r>
            <w:hyperlink r:id="rId15" w:history="1">
              <w:r w:rsidR="006D50AE" w:rsidRPr="004D2043">
                <w:rPr>
                  <w:rStyle w:val="Hyperlink"/>
                </w:rPr>
                <w:t>38 CFR</w:t>
              </w:r>
              <w:r w:rsidRPr="004D2043">
                <w:rPr>
                  <w:rStyle w:val="Hyperlink"/>
                </w:rPr>
                <w:t xml:space="preserve"> 3.30</w:t>
              </w:r>
            </w:hyperlink>
            <w:r w:rsidR="00906634" w:rsidRPr="004D2043">
              <w:t>.</w:t>
            </w:r>
          </w:p>
        </w:tc>
      </w:tr>
    </w:tbl>
    <w:p w:rsidR="00FF096B" w:rsidRPr="004D2043" w:rsidRDefault="00505934">
      <w:pPr>
        <w:pStyle w:val="BlockLine"/>
      </w:pPr>
      <w:r w:rsidRPr="004D2043">
        <w:fldChar w:fldCharType="begin"/>
      </w:r>
      <w:r w:rsidRPr="004D2043">
        <w:instrText xml:space="preserve"> PRIVATE INFOTYPE="PROCEDURE"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e.  Determining</w:t>
            </w:r>
            <w:proofErr w:type="gramEnd"/>
            <w:r w:rsidRPr="004D2043">
              <w:t xml:space="preserve"> the Pension Payment Schedule</w:t>
            </w:r>
          </w:p>
        </w:tc>
        <w:tc>
          <w:tcPr>
            <w:tcW w:w="7740" w:type="dxa"/>
          </w:tcPr>
          <w:p w:rsidR="00FF096B" w:rsidRPr="004D2043" w:rsidRDefault="00FF096B">
            <w:pPr>
              <w:pStyle w:val="BlockText"/>
            </w:pPr>
            <w:r w:rsidRPr="004D2043">
              <w:t>Use the table below to determine the payment schedule.</w:t>
            </w:r>
          </w:p>
        </w:tc>
      </w:tr>
    </w:tbl>
    <w:p w:rsidR="00FF096B" w:rsidRPr="004D2043" w:rsidRDefault="00FF096B"/>
    <w:tbl>
      <w:tblPr>
        <w:tblW w:w="0" w:type="auto"/>
        <w:tblInd w:w="1800" w:type="dxa"/>
        <w:tblLayout w:type="fixed"/>
        <w:tblCellMar>
          <w:left w:w="80" w:type="dxa"/>
          <w:right w:w="80" w:type="dxa"/>
        </w:tblCellMar>
        <w:tblLook w:val="0000" w:firstRow="0" w:lastRow="0" w:firstColumn="0" w:lastColumn="0" w:noHBand="0" w:noVBand="0"/>
      </w:tblPr>
      <w:tblGrid>
        <w:gridCol w:w="2240"/>
        <w:gridCol w:w="5320"/>
      </w:tblGrid>
      <w:tr w:rsidR="00FF096B" w:rsidRPr="004D2043">
        <w:trPr>
          <w:cantSplit/>
        </w:trPr>
        <w:tc>
          <w:tcPr>
            <w:tcW w:w="22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jc w:val="left"/>
            </w:pPr>
            <w:r w:rsidRPr="004D2043">
              <w:t>If the annual rate payable is …</w:t>
            </w:r>
          </w:p>
        </w:tc>
        <w:tc>
          <w:tcPr>
            <w:tcW w:w="532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jc w:val="left"/>
            </w:pPr>
            <w:r w:rsidRPr="004D2043">
              <w:t>Then …</w:t>
            </w:r>
          </w:p>
        </w:tc>
      </w:tr>
      <w:tr w:rsidR="00FF096B" w:rsidRPr="004D2043">
        <w:trPr>
          <w:cantSplit/>
        </w:trPr>
        <w:tc>
          <w:tcPr>
            <w:tcW w:w="22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at least $144 but less than $228</w:t>
            </w:r>
          </w:p>
        </w:tc>
        <w:tc>
          <w:tcPr>
            <w:tcW w:w="532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 xml:space="preserve">payments are made every three months on or about </w:t>
            </w:r>
          </w:p>
          <w:p w:rsidR="00FF096B" w:rsidRPr="004D2043" w:rsidRDefault="00FF096B">
            <w:pPr>
              <w:pStyle w:val="TableText"/>
            </w:pPr>
          </w:p>
          <w:p w:rsidR="00FF096B" w:rsidRPr="004D2043" w:rsidRDefault="00FF096B">
            <w:pPr>
              <w:pStyle w:val="BulletText1"/>
            </w:pPr>
            <w:r w:rsidRPr="004D2043">
              <w:t>March 1</w:t>
            </w:r>
          </w:p>
          <w:p w:rsidR="00FF096B" w:rsidRPr="004D2043" w:rsidRDefault="00FF096B">
            <w:pPr>
              <w:pStyle w:val="BulletText1"/>
            </w:pPr>
            <w:r w:rsidRPr="004D2043">
              <w:t>June 1</w:t>
            </w:r>
          </w:p>
          <w:p w:rsidR="00FF096B" w:rsidRPr="004D2043" w:rsidRDefault="00FF096B">
            <w:pPr>
              <w:pStyle w:val="BulletText1"/>
            </w:pPr>
            <w:r w:rsidRPr="004D2043">
              <w:t xml:space="preserve">September 1, and </w:t>
            </w:r>
          </w:p>
          <w:p w:rsidR="00FF096B" w:rsidRPr="004D2043" w:rsidRDefault="00FF096B">
            <w:pPr>
              <w:pStyle w:val="BulletText1"/>
            </w:pPr>
            <w:r w:rsidRPr="004D2043">
              <w:t>December 1.</w:t>
            </w:r>
          </w:p>
        </w:tc>
      </w:tr>
      <w:tr w:rsidR="00FF096B" w:rsidRPr="004D2043">
        <w:trPr>
          <w:cantSplit/>
        </w:trPr>
        <w:tc>
          <w:tcPr>
            <w:tcW w:w="22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at least $72 but less than $144</w:t>
            </w:r>
          </w:p>
        </w:tc>
        <w:tc>
          <w:tcPr>
            <w:tcW w:w="532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 xml:space="preserve">payments are made every six months on or about </w:t>
            </w:r>
          </w:p>
          <w:p w:rsidR="00FF096B" w:rsidRPr="004D2043" w:rsidRDefault="00FF096B">
            <w:pPr>
              <w:pStyle w:val="TableText"/>
            </w:pPr>
          </w:p>
          <w:p w:rsidR="00FF096B" w:rsidRPr="004D2043" w:rsidRDefault="00FF096B">
            <w:pPr>
              <w:pStyle w:val="BulletText1"/>
            </w:pPr>
            <w:r w:rsidRPr="004D2043">
              <w:t xml:space="preserve">June 1, and </w:t>
            </w:r>
          </w:p>
          <w:p w:rsidR="00FF096B" w:rsidRPr="004D2043" w:rsidRDefault="00FF096B">
            <w:pPr>
              <w:pStyle w:val="BulletText1"/>
            </w:pPr>
            <w:r w:rsidRPr="004D2043">
              <w:t xml:space="preserve">December 1. </w:t>
            </w:r>
          </w:p>
        </w:tc>
      </w:tr>
      <w:tr w:rsidR="00FF096B" w:rsidRPr="004D2043">
        <w:trPr>
          <w:cantSplit/>
        </w:trPr>
        <w:tc>
          <w:tcPr>
            <w:tcW w:w="22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less than $72</w:t>
            </w:r>
          </w:p>
        </w:tc>
        <w:tc>
          <w:tcPr>
            <w:tcW w:w="532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proofErr w:type="gramStart"/>
            <w:r w:rsidRPr="004D2043">
              <w:t>payments</w:t>
            </w:r>
            <w:proofErr w:type="gramEnd"/>
            <w:r w:rsidRPr="004D2043">
              <w:t xml:space="preserve"> are made annually on or about June 1.</w:t>
            </w:r>
          </w:p>
        </w:tc>
      </w:tr>
      <w:tr w:rsidR="00FF096B" w:rsidRPr="004D2043">
        <w:trPr>
          <w:cantSplit/>
        </w:trPr>
        <w:tc>
          <w:tcPr>
            <w:tcW w:w="22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less than $1</w:t>
            </w:r>
          </w:p>
        </w:tc>
        <w:tc>
          <w:tcPr>
            <w:tcW w:w="532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proofErr w:type="gramStart"/>
            <w:r w:rsidRPr="004D2043">
              <w:t>payments</w:t>
            </w:r>
            <w:proofErr w:type="gramEnd"/>
            <w:r w:rsidRPr="004D2043">
              <w:t xml:space="preserve"> are not made.</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9B5131" w:rsidRPr="004D2043" w:rsidTr="007F405E">
        <w:trPr>
          <w:cantSplit/>
        </w:trPr>
        <w:tc>
          <w:tcPr>
            <w:tcW w:w="1728" w:type="dxa"/>
          </w:tcPr>
          <w:p w:rsidR="009B5131" w:rsidRPr="004D2043" w:rsidRDefault="009B5131" w:rsidP="009B5131">
            <w:pPr>
              <w:pStyle w:val="Heading5"/>
            </w:pPr>
            <w:proofErr w:type="gramStart"/>
            <w:r w:rsidRPr="004D2043">
              <w:t>f.  Suggested</w:t>
            </w:r>
            <w:proofErr w:type="gramEnd"/>
            <w:r w:rsidRPr="004D2043">
              <w:t xml:space="preserve"> Text for Locally-Generated Award Letters When Monthly Rate Is Less Than $19</w:t>
            </w:r>
          </w:p>
        </w:tc>
        <w:tc>
          <w:tcPr>
            <w:tcW w:w="7740" w:type="dxa"/>
          </w:tcPr>
          <w:p w:rsidR="009B5131" w:rsidRPr="004D2043" w:rsidRDefault="0063239D" w:rsidP="007F405E">
            <w:pPr>
              <w:pStyle w:val="BlockText"/>
            </w:pPr>
            <w:r w:rsidRPr="004D2043">
              <w:t>W</w:t>
            </w:r>
            <w:r w:rsidR="009B5131" w:rsidRPr="004D2043">
              <w:t>hen preparing a locally-generated letter is required, and the monthly rate is less than $19, use the following suggested language.</w:t>
            </w:r>
          </w:p>
          <w:p w:rsidR="009B5131" w:rsidRPr="004D2043" w:rsidRDefault="009B5131" w:rsidP="007F405E">
            <w:pPr>
              <w:pStyle w:val="BlockText"/>
            </w:pPr>
          </w:p>
          <w:p w:rsidR="009B5131" w:rsidRPr="004D2043" w:rsidRDefault="00E76E3B" w:rsidP="0000330A">
            <w:pPr>
              <w:pStyle w:val="BlockText"/>
              <w:rPr>
                <w:i/>
              </w:rPr>
            </w:pPr>
            <w:r w:rsidRPr="004D2043">
              <w:rPr>
                <w:i/>
              </w:rPr>
              <w:t>Under the current-law</w:t>
            </w:r>
            <w:r w:rsidR="009B5131" w:rsidRPr="004D2043">
              <w:rPr>
                <w:i/>
              </w:rPr>
              <w:t xml:space="preserve"> Pension program, the maximum annual pension rate for a person in your circumstances is</w:t>
            </w:r>
            <w:r w:rsidR="009B5131" w:rsidRPr="004D2043">
              <w:rPr>
                <w:iCs/>
              </w:rPr>
              <w:t xml:space="preserve"> </w:t>
            </w:r>
            <w:r w:rsidR="009B5131" w:rsidRPr="004D2043">
              <w:rPr>
                <w:b/>
              </w:rPr>
              <w:t>[insert applicable maximum annual pension rate]</w:t>
            </w:r>
            <w:r w:rsidR="009B5131" w:rsidRPr="004D2043">
              <w:rPr>
                <w:iCs/>
              </w:rPr>
              <w:t>.</w:t>
            </w:r>
            <w:r w:rsidR="009B5131" w:rsidRPr="004D2043">
              <w:rPr>
                <w:i/>
              </w:rPr>
              <w:t xml:space="preserve">  This amount is reduced by your income for VA purposes.  </w:t>
            </w:r>
            <w:r w:rsidR="0000330A" w:rsidRPr="004D2043">
              <w:rPr>
                <w:i/>
              </w:rPr>
              <w:t>Because</w:t>
            </w:r>
            <w:r w:rsidR="009B5131" w:rsidRPr="004D2043">
              <w:rPr>
                <w:i/>
              </w:rPr>
              <w:t xml:space="preserve"> your income for VA purposes is</w:t>
            </w:r>
            <w:r w:rsidR="009B5131" w:rsidRPr="004D2043">
              <w:rPr>
                <w:iCs/>
              </w:rPr>
              <w:t xml:space="preserve"> </w:t>
            </w:r>
            <w:r w:rsidR="009B5131" w:rsidRPr="004D2043">
              <w:rPr>
                <w:b/>
              </w:rPr>
              <w:t>[insert IVAP]</w:t>
            </w:r>
            <w:r w:rsidR="009B5131" w:rsidRPr="004D2043">
              <w:rPr>
                <w:iCs/>
              </w:rPr>
              <w:t>,</w:t>
            </w:r>
            <w:r w:rsidR="009B5131" w:rsidRPr="004D2043">
              <w:rPr>
                <w:i/>
              </w:rPr>
              <w:t xml:space="preserve"> you are entitled to pension at the annual rate of</w:t>
            </w:r>
            <w:r w:rsidR="009B5131" w:rsidRPr="004D2043">
              <w:rPr>
                <w:iCs/>
              </w:rPr>
              <w:t xml:space="preserve"> </w:t>
            </w:r>
            <w:r w:rsidR="009B5131" w:rsidRPr="004D2043">
              <w:rPr>
                <w:b/>
              </w:rPr>
              <w:t>[insert rate]</w:t>
            </w:r>
            <w:r w:rsidR="009B5131" w:rsidRPr="004D2043">
              <w:rPr>
                <w:iCs/>
              </w:rPr>
              <w:t xml:space="preserve"> </w:t>
            </w:r>
            <w:r w:rsidR="009B5131" w:rsidRPr="004D2043">
              <w:rPr>
                <w:i/>
              </w:rPr>
              <w:t>effective</w:t>
            </w:r>
            <w:r w:rsidR="009B5131" w:rsidRPr="004D2043">
              <w:rPr>
                <w:iCs/>
              </w:rPr>
              <w:t xml:space="preserve"> </w:t>
            </w:r>
            <w:r w:rsidR="009B5131" w:rsidRPr="004D2043">
              <w:rPr>
                <w:b/>
              </w:rPr>
              <w:t>[insert date]</w:t>
            </w:r>
            <w:r w:rsidR="009B5131" w:rsidRPr="004D2043">
              <w:rPr>
                <w:iCs/>
              </w:rPr>
              <w:t>.</w:t>
            </w:r>
            <w:r w:rsidR="009B5131" w:rsidRPr="004D2043">
              <w:rPr>
                <w:i/>
              </w:rPr>
              <w:t xml:space="preserve">  If the annual amount of pension payable is less than $228, it is paid either quarterly, semiannually or annually.  In your case, you will receive a check on or about</w:t>
            </w:r>
            <w:r w:rsidR="009B5131" w:rsidRPr="004D2043">
              <w:rPr>
                <w:iCs/>
              </w:rPr>
              <w:t xml:space="preserve"> </w:t>
            </w:r>
            <w:r w:rsidR="009B5131" w:rsidRPr="004D2043">
              <w:rPr>
                <w:b/>
              </w:rPr>
              <w:t>[insert date]</w:t>
            </w:r>
            <w:r w:rsidR="009B5131" w:rsidRPr="004D2043">
              <w:rPr>
                <w:iCs/>
              </w:rPr>
              <w:t xml:space="preserve"> </w:t>
            </w:r>
            <w:r w:rsidR="009B5131" w:rsidRPr="004D2043">
              <w:rPr>
                <w:i/>
              </w:rPr>
              <w:t>for the amount due for the period</w:t>
            </w:r>
            <w:r w:rsidR="009B5131" w:rsidRPr="004D2043">
              <w:rPr>
                <w:iCs/>
              </w:rPr>
              <w:t xml:space="preserve"> </w:t>
            </w:r>
            <w:r w:rsidR="009B5131" w:rsidRPr="004D2043">
              <w:rPr>
                <w:b/>
              </w:rPr>
              <w:t>[insert date]</w:t>
            </w:r>
            <w:r w:rsidR="009B5131" w:rsidRPr="004D2043">
              <w:rPr>
                <w:iCs/>
              </w:rPr>
              <w:t xml:space="preserve"> </w:t>
            </w:r>
            <w:r w:rsidR="009B5131" w:rsidRPr="004D2043">
              <w:rPr>
                <w:i/>
              </w:rPr>
              <w:t>through</w:t>
            </w:r>
            <w:r w:rsidR="009B5131" w:rsidRPr="004D2043">
              <w:rPr>
                <w:iCs/>
              </w:rPr>
              <w:t xml:space="preserve"> </w:t>
            </w:r>
            <w:r w:rsidR="009B5131" w:rsidRPr="004D2043">
              <w:rPr>
                <w:b/>
              </w:rPr>
              <w:t>[insert date]</w:t>
            </w:r>
            <w:r w:rsidR="009B5131" w:rsidRPr="004D2043">
              <w:rPr>
                <w:iCs/>
              </w:rPr>
              <w:t>.</w:t>
            </w:r>
            <w:r w:rsidR="009B5131" w:rsidRPr="004D2043">
              <w:rPr>
                <w:i/>
              </w:rPr>
              <w:t xml:space="preserve">  Thereafter, you will be paid</w:t>
            </w:r>
            <w:r w:rsidR="009B5131" w:rsidRPr="004D2043">
              <w:rPr>
                <w:iCs/>
              </w:rPr>
              <w:t xml:space="preserve"> </w:t>
            </w:r>
            <w:r w:rsidR="009B5131" w:rsidRPr="004D2043">
              <w:rPr>
                <w:b/>
              </w:rPr>
              <w:t>[once/twice/four times]</w:t>
            </w:r>
            <w:r w:rsidR="009B5131" w:rsidRPr="004D2043">
              <w:rPr>
                <w:iCs/>
              </w:rPr>
              <w:t xml:space="preserve"> </w:t>
            </w:r>
            <w:r w:rsidR="009B5131" w:rsidRPr="004D2043">
              <w:rPr>
                <w:i/>
              </w:rPr>
              <w:t>a year on or about</w:t>
            </w:r>
            <w:r w:rsidR="009B5131" w:rsidRPr="004D2043">
              <w:rPr>
                <w:iCs/>
              </w:rPr>
              <w:t xml:space="preserve"> </w:t>
            </w:r>
            <w:r w:rsidR="009B5131" w:rsidRPr="004D2043">
              <w:rPr>
                <w:b/>
              </w:rPr>
              <w:t>[insert date]</w:t>
            </w:r>
            <w:r w:rsidR="009B5131" w:rsidRPr="004D2043">
              <w:rPr>
                <w:iCs/>
              </w:rPr>
              <w:t>.</w:t>
            </w:r>
          </w:p>
        </w:tc>
      </w:tr>
    </w:tbl>
    <w:p w:rsidR="00FF096B" w:rsidRPr="004D2043" w:rsidRDefault="00FF096B"/>
    <w:tbl>
      <w:tblPr>
        <w:tblW w:w="0" w:type="auto"/>
        <w:tblInd w:w="1728" w:type="dxa"/>
        <w:tblLayout w:type="fixed"/>
        <w:tblLook w:val="0000" w:firstRow="0" w:lastRow="0" w:firstColumn="0" w:lastColumn="0" w:noHBand="0" w:noVBand="0"/>
      </w:tblPr>
      <w:tblGrid>
        <w:gridCol w:w="7740"/>
      </w:tblGrid>
      <w:tr w:rsidR="00FF096B" w:rsidRPr="004D2043">
        <w:trPr>
          <w:cantSplit/>
        </w:trPr>
        <w:tc>
          <w:tcPr>
            <w:tcW w:w="7740" w:type="dxa"/>
          </w:tcPr>
          <w:p w:rsidR="00FF096B" w:rsidRPr="004D2043" w:rsidRDefault="00FF096B">
            <w:pPr>
              <w:pStyle w:val="NoteText"/>
            </w:pP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
        </w:tc>
        <w:tc>
          <w:tcPr>
            <w:tcW w:w="7740" w:type="dxa"/>
          </w:tcPr>
          <w:p w:rsidR="00FF096B" w:rsidRPr="004D2043" w:rsidRDefault="00FF096B">
            <w:pPr>
              <w:pStyle w:val="BlockText"/>
            </w:pPr>
          </w:p>
        </w:tc>
      </w:tr>
    </w:tbl>
    <w:p w:rsidR="00FF096B" w:rsidRPr="004D2043" w:rsidRDefault="00561B82">
      <w:pPr>
        <w:pStyle w:val="Heading4"/>
      </w:pPr>
      <w:r w:rsidRPr="004D2043">
        <w:lastRenderedPageBreak/>
        <w:t>2</w:t>
      </w:r>
      <w:r w:rsidR="00FF096B" w:rsidRPr="004D2043">
        <w:t>.  Determining the Maximum Annual Pension Rate (MAPR)</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 xml:space="preserve">This topic contains information on determining the MAPR, including </w:t>
            </w:r>
          </w:p>
          <w:p w:rsidR="00FF096B" w:rsidRPr="004D2043" w:rsidRDefault="00FF096B">
            <w:pPr>
              <w:pStyle w:val="BlockText"/>
            </w:pPr>
          </w:p>
          <w:p w:rsidR="00FF096B" w:rsidRPr="004D2043" w:rsidRDefault="00FF096B">
            <w:pPr>
              <w:pStyle w:val="BulletText1"/>
            </w:pPr>
            <w:r w:rsidRPr="004D2043">
              <w:t>general information on MAPR, and</w:t>
            </w:r>
          </w:p>
          <w:p w:rsidR="00FF096B" w:rsidRPr="004D2043" w:rsidRDefault="00FF096B">
            <w:pPr>
              <w:pStyle w:val="BulletText1"/>
            </w:pPr>
            <w:r w:rsidRPr="004D2043">
              <w:t xml:space="preserve">information on </w:t>
            </w:r>
          </w:p>
          <w:p w:rsidR="00FF096B" w:rsidRPr="004D2043" w:rsidRDefault="00FF096B" w:rsidP="00CD4C2A">
            <w:pPr>
              <w:pStyle w:val="BulletText2"/>
            </w:pPr>
            <w:r w:rsidRPr="004D2043">
              <w:t>the cost-of-living increase in MAPR, and</w:t>
            </w:r>
          </w:p>
          <w:p w:rsidR="00FF096B" w:rsidRPr="004D2043" w:rsidRDefault="00FF096B" w:rsidP="00CD4C2A">
            <w:pPr>
              <w:pStyle w:val="BulletText2"/>
            </w:pPr>
            <w:r w:rsidRPr="004D2043">
              <w:t>MAPR for Veterans with World War I (WWI) service.</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General</w:t>
            </w:r>
            <w:proofErr w:type="gramEnd"/>
            <w:r w:rsidRPr="004D2043">
              <w:t xml:space="preserve"> Information on MAPR</w:t>
            </w:r>
          </w:p>
        </w:tc>
        <w:tc>
          <w:tcPr>
            <w:tcW w:w="7740" w:type="dxa"/>
          </w:tcPr>
          <w:p w:rsidR="00FF096B" w:rsidRPr="004D2043" w:rsidRDefault="00FF096B">
            <w:pPr>
              <w:pStyle w:val="BlockText"/>
            </w:pPr>
            <w:r w:rsidRPr="004D2043">
              <w:t xml:space="preserve">The MAPR for any given claimant is determined by </w:t>
            </w:r>
          </w:p>
          <w:p w:rsidR="00FF096B" w:rsidRPr="004D2043" w:rsidRDefault="00FF096B">
            <w:pPr>
              <w:pStyle w:val="BlockText"/>
            </w:pPr>
          </w:p>
          <w:p w:rsidR="00FF096B" w:rsidRPr="004D2043" w:rsidRDefault="00FF096B">
            <w:pPr>
              <w:pStyle w:val="BulletText1"/>
            </w:pPr>
            <w:r w:rsidRPr="004D2043">
              <w:t>the type of payee (Veteran, surviving spouse, or child)</w:t>
            </w:r>
          </w:p>
          <w:p w:rsidR="00FF096B" w:rsidRPr="004D2043" w:rsidRDefault="00FF096B">
            <w:pPr>
              <w:pStyle w:val="BulletText1"/>
            </w:pPr>
            <w:r w:rsidRPr="004D2043">
              <w:t>the number of established dependents, and</w:t>
            </w:r>
          </w:p>
          <w:p w:rsidR="00FF096B" w:rsidRPr="004D2043" w:rsidRDefault="00FF096B">
            <w:pPr>
              <w:pStyle w:val="BulletText1"/>
            </w:pPr>
            <w:proofErr w:type="gramStart"/>
            <w:r w:rsidRPr="004D2043">
              <w:t>whether</w:t>
            </w:r>
            <w:proofErr w:type="gramEnd"/>
            <w:r w:rsidRPr="004D2043">
              <w:t xml:space="preserve"> the beneficiary is eligible for the Aid and Attendance (</w:t>
            </w:r>
            <w:r w:rsidR="009B5384" w:rsidRPr="004D2043">
              <w:t>A&amp;A</w:t>
            </w:r>
            <w:r w:rsidRPr="004D2043">
              <w:t>) or Housebound MAPR.</w:t>
            </w:r>
          </w:p>
          <w:p w:rsidR="00FF096B" w:rsidRPr="004D2043" w:rsidRDefault="00FF096B">
            <w:pPr>
              <w:pStyle w:val="BlockText"/>
            </w:pPr>
          </w:p>
          <w:p w:rsidR="00FF096B" w:rsidRPr="004D2043" w:rsidRDefault="00FF096B">
            <w:pPr>
              <w:pStyle w:val="BlockText"/>
            </w:pPr>
            <w:r w:rsidRPr="004D2043">
              <w:t xml:space="preserve">A change in any of these factors, such as the loss of a dependent or grant of </w:t>
            </w:r>
            <w:r w:rsidR="009B5384" w:rsidRPr="004D2043">
              <w:t>A&amp;A</w:t>
            </w:r>
            <w:r w:rsidRPr="004D2043">
              <w:t xml:space="preserve">, changes the MAPR and the amount of the pension payable, per </w:t>
            </w:r>
            <w:hyperlink r:id="rId16" w:history="1">
              <w:r w:rsidR="006D50AE" w:rsidRPr="004D2043">
                <w:rPr>
                  <w:rStyle w:val="Hyperlink"/>
                </w:rPr>
                <w:t>38 CFR</w:t>
              </w:r>
              <w:r w:rsidRPr="004D2043">
                <w:rPr>
                  <w:rStyle w:val="Hyperlink"/>
                </w:rPr>
                <w:t xml:space="preserve"> 3.23</w:t>
              </w:r>
            </w:hyperlink>
            <w:r w:rsidRPr="004D2043">
              <w:t>.</w:t>
            </w:r>
          </w:p>
          <w:p w:rsidR="00FF096B" w:rsidRPr="004D2043" w:rsidRDefault="00FF096B">
            <w:pPr>
              <w:pStyle w:val="BlockText"/>
            </w:pPr>
          </w:p>
          <w:p w:rsidR="00FF096B" w:rsidRPr="004D2043" w:rsidRDefault="00FF096B">
            <w:pPr>
              <w:pStyle w:val="BlockText"/>
            </w:pPr>
            <w:r w:rsidRPr="004D2043">
              <w:rPr>
                <w:b/>
                <w:bCs/>
                <w:i/>
                <w:iCs/>
              </w:rPr>
              <w:t>Note</w:t>
            </w:r>
            <w:r w:rsidRPr="004D2043">
              <w:t xml:space="preserve">:  A higher MAPR applies to a beneficiary who is found in need of </w:t>
            </w:r>
            <w:r w:rsidR="009B5384" w:rsidRPr="004D2043">
              <w:t>A&amp;A</w:t>
            </w:r>
            <w:r w:rsidRPr="004D2043">
              <w:t xml:space="preserve"> or is Housebound.  </w:t>
            </w:r>
            <w:r w:rsidR="009B5384" w:rsidRPr="004D2043">
              <w:t>A&amp;A</w:t>
            </w:r>
            <w:r w:rsidRPr="004D2043">
              <w:t xml:space="preserve"> and Housebound benefits are also referred to as Special Monthly Pension (SMP).</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Cost</w:t>
            </w:r>
            <w:proofErr w:type="gramEnd"/>
            <w:r w:rsidRPr="004D2043">
              <w:t>-of-Living Increase in MAPR</w:t>
            </w:r>
          </w:p>
        </w:tc>
        <w:tc>
          <w:tcPr>
            <w:tcW w:w="7740" w:type="dxa"/>
          </w:tcPr>
          <w:p w:rsidR="00FF096B" w:rsidRPr="004D2043" w:rsidRDefault="00FF096B">
            <w:pPr>
              <w:pStyle w:val="BlockText"/>
            </w:pPr>
            <w:r w:rsidRPr="004D2043">
              <w:t xml:space="preserve">If Social Security (SS) benefits are increased as the result of an SS cost-of-living adjustment (COLA), Pension MAPRs are increased by a like percentage at the same time, per </w:t>
            </w:r>
            <w:hyperlink r:id="rId17" w:history="1">
              <w:r w:rsidR="006D50AE" w:rsidRPr="004D2043">
                <w:rPr>
                  <w:rStyle w:val="Hyperlink"/>
                </w:rPr>
                <w:t>38 CFR</w:t>
              </w:r>
              <w:r w:rsidRPr="004D2043">
                <w:rPr>
                  <w:rStyle w:val="Hyperlink"/>
                </w:rPr>
                <w:t xml:space="preserve"> 3.24</w:t>
              </w:r>
            </w:hyperlink>
            <w:r w:rsidRPr="004D2043">
              <w:t>.</w:t>
            </w:r>
          </w:p>
          <w:p w:rsidR="00FF096B" w:rsidRPr="004D2043" w:rsidRDefault="00FF096B">
            <w:pPr>
              <w:pStyle w:val="BlockText"/>
            </w:pPr>
          </w:p>
          <w:p w:rsidR="00FF096B" w:rsidRPr="004D2043" w:rsidRDefault="00FF096B">
            <w:pPr>
              <w:pStyle w:val="BlockText"/>
            </w:pPr>
            <w:r w:rsidRPr="004D2043">
              <w:rPr>
                <w:b/>
                <w:i/>
              </w:rPr>
              <w:t>References</w:t>
            </w:r>
            <w:r w:rsidRPr="004D2043">
              <w:t>:  For</w:t>
            </w:r>
          </w:p>
          <w:p w:rsidR="00FF096B" w:rsidRPr="004D2043" w:rsidRDefault="00FF096B">
            <w:pPr>
              <w:pStyle w:val="BulletText1"/>
            </w:pPr>
            <w:r w:rsidRPr="004D2043">
              <w:t xml:space="preserve">current and historical MAPRs, see </w:t>
            </w:r>
            <w:hyperlink r:id="rId18" w:history="1">
              <w:r w:rsidRPr="004D2043">
                <w:rPr>
                  <w:rStyle w:val="Hyperlink"/>
                </w:rPr>
                <w:t>M21-1, Part I, Appendix B</w:t>
              </w:r>
            </w:hyperlink>
            <w:r w:rsidRPr="004D2043">
              <w:t>, and</w:t>
            </w:r>
          </w:p>
          <w:p w:rsidR="00FF096B" w:rsidRPr="004D2043" w:rsidRDefault="009B5384" w:rsidP="009B5384">
            <w:pPr>
              <w:pStyle w:val="BulletText1"/>
            </w:pPr>
            <w:proofErr w:type="gramStart"/>
            <w:r w:rsidRPr="004D2043">
              <w:t>more</w:t>
            </w:r>
            <w:proofErr w:type="gramEnd"/>
            <w:r w:rsidRPr="004D2043">
              <w:t xml:space="preserve"> information on adjustment of Pension based on a change in income due to an SS COLA, see</w:t>
            </w:r>
            <w:r w:rsidRPr="004D2043">
              <w:rPr>
                <w:i/>
              </w:rPr>
              <w:t xml:space="preserve"> </w:t>
            </w:r>
            <w:hyperlink r:id="rId19" w:history="1">
              <w:r w:rsidRPr="004D2043">
                <w:rPr>
                  <w:rStyle w:val="Hyperlink"/>
                  <w:i/>
                </w:rPr>
                <w:t>VAOPGPREC 21-90</w:t>
              </w:r>
            </w:hyperlink>
            <w:r w:rsidRPr="004D2043">
              <w:rPr>
                <w:i/>
              </w:rPr>
              <w:t>.</w:t>
            </w:r>
          </w:p>
        </w:tc>
      </w:tr>
    </w:tbl>
    <w:p w:rsidR="00FF096B" w:rsidRPr="004D2043" w:rsidRDefault="00FF096B">
      <w:pPr>
        <w:pStyle w:val="BlockLine"/>
      </w:pPr>
    </w:p>
    <w:p w:rsidR="00FF096B" w:rsidRPr="004D2043" w:rsidRDefault="00FF096B">
      <w:pPr>
        <w:pStyle w:val="Heading4"/>
      </w:pPr>
      <w:r w:rsidRPr="004D2043">
        <w:br w:type="page"/>
      </w:r>
      <w:r w:rsidR="00721830" w:rsidRPr="004D2043">
        <w:lastRenderedPageBreak/>
        <w:t>3</w:t>
      </w:r>
      <w:r w:rsidRPr="004D2043">
        <w:t>.  Veterans Who Are Married to Each Other</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This topic contains information on Veterans who are married to each other, including</w:t>
            </w:r>
          </w:p>
          <w:p w:rsidR="00FF096B" w:rsidRPr="004D2043" w:rsidRDefault="00FF096B">
            <w:pPr>
              <w:pStyle w:val="BlockText"/>
            </w:pPr>
          </w:p>
          <w:p w:rsidR="00FF096B" w:rsidRPr="004D2043" w:rsidRDefault="00FF096B">
            <w:pPr>
              <w:pStyle w:val="BulletText1"/>
            </w:pPr>
            <w:r w:rsidRPr="004D2043">
              <w:t xml:space="preserve">the combined rate payable </w:t>
            </w:r>
            <w:r w:rsidR="00184107" w:rsidRPr="004D2043">
              <w:t>to</w:t>
            </w:r>
            <w:r w:rsidRPr="004D2043">
              <w:t xml:space="preserve"> Veterans married to each other</w:t>
            </w:r>
          </w:p>
          <w:p w:rsidR="00FF096B" w:rsidRPr="004D2043" w:rsidRDefault="00FF096B">
            <w:pPr>
              <w:pStyle w:val="BulletText1"/>
            </w:pPr>
            <w:r w:rsidRPr="004D2043">
              <w:t>the award procedures in Veteran-married-to-Veteran cases</w:t>
            </w:r>
          </w:p>
          <w:p w:rsidR="00FF096B" w:rsidRPr="004D2043" w:rsidRDefault="00FF096B">
            <w:pPr>
              <w:pStyle w:val="BulletText1"/>
            </w:pPr>
            <w:r w:rsidRPr="004D2043">
              <w:t xml:space="preserve">determining the file number to use in combined awards </w:t>
            </w:r>
          </w:p>
          <w:p w:rsidR="00FF096B" w:rsidRPr="004D2043" w:rsidRDefault="00FF096B">
            <w:pPr>
              <w:pStyle w:val="BulletText1"/>
            </w:pPr>
            <w:r w:rsidRPr="004D2043">
              <w:t>estranged married Veterans, and</w:t>
            </w:r>
          </w:p>
          <w:p w:rsidR="00FF096B" w:rsidRPr="004D2043" w:rsidRDefault="00FF096B">
            <w:pPr>
              <w:pStyle w:val="BulletText1"/>
            </w:pPr>
            <w:proofErr w:type="gramStart"/>
            <w:r w:rsidRPr="004D2043">
              <w:t>mandatory</w:t>
            </w:r>
            <w:proofErr w:type="gramEnd"/>
            <w:r w:rsidRPr="004D2043">
              <w:t xml:space="preserve"> election from protected pension in Veteran-married-to-Veteran cases.</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Combined</w:t>
            </w:r>
            <w:proofErr w:type="gramEnd"/>
            <w:r w:rsidRPr="004D2043">
              <w:t xml:space="preserve"> Rate Payable to Veterans Married to Each Other</w:t>
            </w:r>
          </w:p>
        </w:tc>
        <w:tc>
          <w:tcPr>
            <w:tcW w:w="7740" w:type="dxa"/>
          </w:tcPr>
          <w:p w:rsidR="00FF096B" w:rsidRPr="004D2043" w:rsidRDefault="00FF096B">
            <w:pPr>
              <w:pStyle w:val="BlockText"/>
            </w:pPr>
            <w:r w:rsidRPr="004D2043">
              <w:t xml:space="preserve">A special combined maximum annual pension rate applies to Veterans who are married to each other.  This is the same rate as for a Veteran with a dependent, unless both of the Veterans are eligible for SMP.  </w:t>
            </w:r>
          </w:p>
          <w:p w:rsidR="00FF096B" w:rsidRPr="004D2043" w:rsidRDefault="00FF096B">
            <w:pPr>
              <w:pStyle w:val="BlockText"/>
            </w:pPr>
          </w:p>
          <w:p w:rsidR="00FF096B" w:rsidRPr="004D2043" w:rsidRDefault="00FF096B">
            <w:pPr>
              <w:pStyle w:val="BlockText"/>
            </w:pPr>
            <w:r w:rsidRPr="004D2043">
              <w:rPr>
                <w:b/>
                <w:i/>
              </w:rPr>
              <w:t>Reference</w:t>
            </w:r>
            <w:r w:rsidRPr="004D2043">
              <w:t xml:space="preserve">:  For more information on the special combined rate, see </w:t>
            </w:r>
            <w:hyperlink r:id="rId20" w:history="1">
              <w:r w:rsidRPr="004D2043">
                <w:rPr>
                  <w:rStyle w:val="Hyperlink"/>
                </w:rPr>
                <w:t>M21-1, Part I, Appendix B</w:t>
              </w:r>
            </w:hyperlink>
            <w:r w:rsidRPr="004D2043">
              <w:t>.</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Award</w:t>
            </w:r>
            <w:proofErr w:type="gramEnd"/>
            <w:r w:rsidRPr="004D2043">
              <w:t xml:space="preserve"> Procedures in Veteran-Married-to-Veteran Cases </w:t>
            </w:r>
          </w:p>
        </w:tc>
        <w:tc>
          <w:tcPr>
            <w:tcW w:w="7740" w:type="dxa"/>
          </w:tcPr>
          <w:p w:rsidR="00FF096B" w:rsidRPr="004D2043" w:rsidRDefault="00FF096B">
            <w:pPr>
              <w:pStyle w:val="BlockText"/>
            </w:pPr>
            <w:r w:rsidRPr="004D2043">
              <w:t>Authorize payments in a Veteran-married-to-Veteran case on a single award unless one Veteran requests separate payments, or both Veterans are eligible for SMP.</w:t>
            </w:r>
          </w:p>
          <w:p w:rsidR="00FF096B" w:rsidRPr="004D2043" w:rsidRDefault="00FF096B">
            <w:pPr>
              <w:pStyle w:val="BlockText"/>
            </w:pPr>
          </w:p>
          <w:p w:rsidR="00FF096B" w:rsidRPr="004D2043" w:rsidRDefault="00FF096B">
            <w:pPr>
              <w:pStyle w:val="BlockText"/>
            </w:pPr>
            <w:r w:rsidRPr="004D2043">
              <w:t xml:space="preserve">If separate payments are requested, compute the rate payable by establishing the MAPR for each Veteran as one half of the special combined MAPR, including the additional amount payable by reason of </w:t>
            </w:r>
          </w:p>
          <w:p w:rsidR="00FF096B" w:rsidRPr="004D2043" w:rsidRDefault="00FF096B">
            <w:pPr>
              <w:pStyle w:val="BlockText"/>
            </w:pPr>
          </w:p>
          <w:p w:rsidR="00FF096B" w:rsidRPr="004D2043" w:rsidRDefault="00FF096B">
            <w:pPr>
              <w:pStyle w:val="BulletText1"/>
            </w:pPr>
            <w:r w:rsidRPr="004D2043">
              <w:t>the need for SMP</w:t>
            </w:r>
          </w:p>
          <w:p w:rsidR="00FF096B" w:rsidRPr="004D2043" w:rsidRDefault="00FF096B">
            <w:pPr>
              <w:pStyle w:val="BulletText1"/>
            </w:pPr>
            <w:r w:rsidRPr="004D2043">
              <w:t xml:space="preserve">entitlement to WWI supplement, or </w:t>
            </w:r>
          </w:p>
          <w:p w:rsidR="00FF096B" w:rsidRPr="004D2043" w:rsidRDefault="00FF096B">
            <w:pPr>
              <w:pStyle w:val="BulletText1"/>
            </w:pPr>
            <w:proofErr w:type="gramStart"/>
            <w:r w:rsidRPr="004D2043">
              <w:t>dependency</w:t>
            </w:r>
            <w:proofErr w:type="gramEnd"/>
            <w:r w:rsidRPr="004D2043">
              <w:t xml:space="preserve"> status.  </w:t>
            </w:r>
          </w:p>
          <w:p w:rsidR="00FF096B" w:rsidRPr="004D2043" w:rsidRDefault="00FF096B">
            <w:pPr>
              <w:pStyle w:val="BlockText"/>
            </w:pPr>
          </w:p>
          <w:p w:rsidR="00FF096B" w:rsidRPr="004D2043" w:rsidRDefault="00FF096B">
            <w:pPr>
              <w:pStyle w:val="BlockText"/>
            </w:pPr>
            <w:r w:rsidRPr="004D2043">
              <w:t>Reduce the MAPR for each spouse by one half of the combined income.</w:t>
            </w:r>
          </w:p>
          <w:p w:rsidR="00FF096B" w:rsidRPr="004D2043" w:rsidRDefault="00FF096B">
            <w:pPr>
              <w:pStyle w:val="BlockText"/>
            </w:pPr>
          </w:p>
          <w:p w:rsidR="00FF096B" w:rsidRPr="004D2043" w:rsidRDefault="00FF096B" w:rsidP="00721830">
            <w:pPr>
              <w:pStyle w:val="BlockText"/>
            </w:pPr>
            <w:r w:rsidRPr="004D2043">
              <w:rPr>
                <w:b/>
                <w:bCs/>
                <w:i/>
                <w:iCs/>
              </w:rPr>
              <w:t>Reference</w:t>
            </w:r>
            <w:r w:rsidRPr="004D2043">
              <w:t xml:space="preserve">:  For more information on making payments in Veteran-married-to-Veteran cases, see M21-1, Part V, Subpart iii, 4.2. </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c.  Determining</w:t>
            </w:r>
            <w:proofErr w:type="gramEnd"/>
            <w:r w:rsidRPr="004D2043">
              <w:t xml:space="preserve"> the File Number to Use in Combined Awards </w:t>
            </w:r>
          </w:p>
        </w:tc>
        <w:tc>
          <w:tcPr>
            <w:tcW w:w="7740" w:type="dxa"/>
          </w:tcPr>
          <w:p w:rsidR="00FF096B" w:rsidRPr="004D2043" w:rsidRDefault="00FF096B">
            <w:pPr>
              <w:pStyle w:val="BlockText"/>
            </w:pPr>
            <w:r w:rsidRPr="004D2043">
              <w:t>Either file number may be used to establish a combined payment award.</w:t>
            </w:r>
          </w:p>
          <w:p w:rsidR="00FF096B" w:rsidRPr="004D2043" w:rsidRDefault="00FF096B">
            <w:pPr>
              <w:pStyle w:val="BlockText"/>
            </w:pPr>
          </w:p>
          <w:p w:rsidR="00FF096B" w:rsidRPr="004D2043" w:rsidRDefault="00FF096B">
            <w:pPr>
              <w:pStyle w:val="BlockText"/>
            </w:pPr>
            <w:r w:rsidRPr="004D2043">
              <w:rPr>
                <w:b/>
                <w:i/>
              </w:rPr>
              <w:t>Exception</w:t>
            </w:r>
            <w:r w:rsidRPr="004D2043">
              <w:t xml:space="preserve">:  In original or reopened cases when one spouse has entitlement to the </w:t>
            </w:r>
            <w:r w:rsidR="009B5384" w:rsidRPr="004D2043">
              <w:t>A&amp;A</w:t>
            </w:r>
            <w:r w:rsidRPr="004D2043">
              <w:t>, Housebound, or WWI allowance, establish the award under the file number of the Veteran with entitlement to the special benefit.</w:t>
            </w:r>
          </w:p>
        </w:tc>
      </w:tr>
    </w:tbl>
    <w:p w:rsidR="00FF096B" w:rsidRPr="004D2043" w:rsidRDefault="00505934">
      <w:pPr>
        <w:pStyle w:val="BlockLine"/>
      </w:pPr>
      <w:r w:rsidRPr="004D2043">
        <w:lastRenderedPageBreak/>
        <w:fldChar w:fldCharType="begin"/>
      </w:r>
      <w:r w:rsidRPr="004D2043">
        <w:instrText xml:space="preserve"> PRIVATE INFOTYPE="PRINCIPLE"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d.  Estranged</w:t>
            </w:r>
            <w:proofErr w:type="gramEnd"/>
            <w:r w:rsidRPr="004D2043">
              <w:t xml:space="preserve"> Married Veterans</w:t>
            </w:r>
          </w:p>
        </w:tc>
        <w:tc>
          <w:tcPr>
            <w:tcW w:w="7740" w:type="dxa"/>
          </w:tcPr>
          <w:p w:rsidR="00FF096B" w:rsidRPr="004D2043" w:rsidRDefault="00FF096B">
            <w:pPr>
              <w:pStyle w:val="BlockText"/>
            </w:pPr>
            <w:r w:rsidRPr="004D2043">
              <w:t xml:space="preserve">If two Veterans married to one another are estranged but one Veteran is making a reasonable contribution to the support of the other, the combined Pension rate applies.  </w:t>
            </w:r>
          </w:p>
          <w:p w:rsidR="00FF096B" w:rsidRPr="004D2043" w:rsidRDefault="00FF096B">
            <w:pPr>
              <w:pStyle w:val="BlockText"/>
            </w:pPr>
          </w:p>
          <w:p w:rsidR="00FF096B" w:rsidRPr="004D2043" w:rsidRDefault="00FF096B" w:rsidP="00A17AF6">
            <w:pPr>
              <w:pStyle w:val="BlockText"/>
            </w:pPr>
            <w:r w:rsidRPr="004D2043">
              <w:rPr>
                <w:b/>
                <w:i/>
              </w:rPr>
              <w:t>Note</w:t>
            </w:r>
            <w:r w:rsidRPr="004D2043">
              <w:t xml:space="preserve">:  When two Veterans married to one another are estranged and neither Veteran is reasonably contributing to the other’s support, the combined Pension rate does </w:t>
            </w:r>
            <w:r w:rsidRPr="004D2043">
              <w:rPr>
                <w:i/>
              </w:rPr>
              <w:t>not</w:t>
            </w:r>
            <w:r w:rsidRPr="004D2043">
              <w:t xml:space="preserve"> apply.</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e.  Mandatory</w:t>
            </w:r>
            <w:proofErr w:type="gramEnd"/>
            <w:r w:rsidRPr="004D2043">
              <w:t xml:space="preserve"> Election From Protected Pension in Veteran-Married-to-Veteran Cases</w:t>
            </w:r>
          </w:p>
        </w:tc>
        <w:tc>
          <w:tcPr>
            <w:tcW w:w="7740" w:type="dxa"/>
          </w:tcPr>
          <w:p w:rsidR="00FF096B" w:rsidRPr="004D2043" w:rsidRDefault="00FF096B">
            <w:pPr>
              <w:pStyle w:val="BlockText"/>
            </w:pPr>
            <w:r w:rsidRPr="004D2043">
              <w:t xml:space="preserve">If one of two Veterans married to each other is receiving Section 306 Pension or Old Law Pension (Spouse A) and the other married Veteran (Spouse B) files a </w:t>
            </w:r>
            <w:r w:rsidR="00EA34EC" w:rsidRPr="004D2043">
              <w:t xml:space="preserve">pension </w:t>
            </w:r>
            <w:r w:rsidRPr="004D2043">
              <w:t xml:space="preserve">claim, Spouse A must elect </w:t>
            </w:r>
            <w:r w:rsidR="00EA34EC" w:rsidRPr="004D2043">
              <w:t xml:space="preserve">current-law </w:t>
            </w:r>
            <w:r w:rsidRPr="004D2043">
              <w:t xml:space="preserve">Pension before </w:t>
            </w:r>
            <w:r w:rsidRPr="004D2043">
              <w:br w:type="page"/>
              <w:t xml:space="preserve">Spouse B’s </w:t>
            </w:r>
            <w:r w:rsidR="00EA34EC" w:rsidRPr="004D2043">
              <w:t>pension</w:t>
            </w:r>
            <w:r w:rsidRPr="004D2043">
              <w:t xml:space="preserve"> claim can be approved.  </w:t>
            </w:r>
          </w:p>
          <w:p w:rsidR="00FF096B" w:rsidRPr="004D2043" w:rsidRDefault="00FF096B">
            <w:pPr>
              <w:pStyle w:val="BlockText"/>
            </w:pPr>
          </w:p>
          <w:p w:rsidR="00FF096B" w:rsidRPr="004D2043" w:rsidRDefault="00EA34EC">
            <w:pPr>
              <w:pStyle w:val="BlockText"/>
            </w:pPr>
            <w:r w:rsidRPr="004D2043">
              <w:t>A current-law</w:t>
            </w:r>
            <w:r w:rsidR="00FF096B" w:rsidRPr="004D2043">
              <w:t xml:space="preserve"> Pension </w:t>
            </w:r>
            <w:r w:rsidRPr="004D2043">
              <w:t xml:space="preserve">election </w:t>
            </w:r>
            <w:r w:rsidR="00FF096B" w:rsidRPr="004D2043">
              <w:t xml:space="preserve">is effective from the date of election (subject to </w:t>
            </w:r>
            <w:hyperlink r:id="rId21" w:history="1">
              <w:r w:rsidR="006D50AE" w:rsidRPr="004D2043">
                <w:rPr>
                  <w:rStyle w:val="Hyperlink"/>
                </w:rPr>
                <w:t>38 CFR</w:t>
              </w:r>
              <w:r w:rsidR="00FF096B" w:rsidRPr="004D2043">
                <w:rPr>
                  <w:rStyle w:val="Hyperlink"/>
                </w:rPr>
                <w:t xml:space="preserve"> 3.31</w:t>
              </w:r>
            </w:hyperlink>
            <w:r w:rsidR="00FF096B" w:rsidRPr="004D2043">
              <w:t xml:space="preserve">).  However, use the effective date of Spouse B’s </w:t>
            </w:r>
            <w:r w:rsidRPr="004D2043">
              <w:t>p</w:t>
            </w:r>
            <w:r w:rsidR="00FF096B" w:rsidRPr="004D2043">
              <w:t xml:space="preserve">ension claim in determining the payment date of the combined payment award.  </w:t>
            </w:r>
          </w:p>
          <w:p w:rsidR="00FF096B" w:rsidRPr="004D2043" w:rsidRDefault="00FF096B">
            <w:pPr>
              <w:pStyle w:val="BlockText"/>
            </w:pPr>
          </w:p>
          <w:p w:rsidR="00FF096B" w:rsidRPr="004D2043" w:rsidRDefault="00FF096B">
            <w:pPr>
              <w:pStyle w:val="BlockText"/>
            </w:pPr>
            <w:r w:rsidRPr="004D2043">
              <w:t xml:space="preserve">Pay only the available difference between </w:t>
            </w:r>
            <w:proofErr w:type="gramStart"/>
            <w:r w:rsidRPr="004D2043">
              <w:t>Spouse</w:t>
            </w:r>
            <w:proofErr w:type="gramEnd"/>
            <w:r w:rsidRPr="004D2043">
              <w:t xml:space="preserve"> A’s protected pension award and the combined payment </w:t>
            </w:r>
            <w:r w:rsidR="00EA34EC" w:rsidRPr="004D2043">
              <w:t xml:space="preserve">current-law </w:t>
            </w:r>
            <w:r w:rsidRPr="004D2043">
              <w:t>Pension awar</w:t>
            </w:r>
            <w:r w:rsidR="008A13C4" w:rsidRPr="004D2043">
              <w:t>d for any overlapping periods.</w:t>
            </w:r>
          </w:p>
          <w:p w:rsidR="00FF096B" w:rsidRPr="004D2043" w:rsidRDefault="00FF096B">
            <w:pPr>
              <w:pStyle w:val="BlockText"/>
            </w:pPr>
          </w:p>
          <w:p w:rsidR="00FF096B" w:rsidRPr="004D2043" w:rsidRDefault="00FF096B" w:rsidP="00D87613">
            <w:pPr>
              <w:pStyle w:val="BlockText"/>
            </w:pPr>
            <w:r w:rsidRPr="004D2043">
              <w:t>If the combined payment award is prepared under Spouse B’s file number, a withholding is required to pay only the available difference.</w:t>
            </w:r>
          </w:p>
        </w:tc>
      </w:tr>
    </w:tbl>
    <w:p w:rsidR="00FF096B" w:rsidRPr="004D2043" w:rsidRDefault="00FF096B">
      <w:pPr>
        <w:pStyle w:val="BlockLine"/>
      </w:pPr>
    </w:p>
    <w:p w:rsidR="00FF096B" w:rsidRPr="004D2043" w:rsidRDefault="00FF096B">
      <w:pPr>
        <w:pStyle w:val="Heading4"/>
        <w:spacing w:after="180"/>
      </w:pPr>
      <w:r w:rsidRPr="004D2043">
        <w:br w:type="page"/>
      </w:r>
      <w:r w:rsidR="00A202EC" w:rsidRPr="004D2043">
        <w:lastRenderedPageBreak/>
        <w:t>4</w:t>
      </w:r>
      <w:r w:rsidRPr="004D2043">
        <w:t xml:space="preserve">.  Surviving Child Entitled to </w:t>
      </w:r>
      <w:r w:rsidR="0061136A" w:rsidRPr="004D2043">
        <w:t>Survivors</w:t>
      </w:r>
      <w:r w:rsidRPr="004D2043">
        <w:t xml:space="preserve"> Pension in </w:t>
      </w:r>
      <w:proofErr w:type="spellStart"/>
      <w:r w:rsidRPr="004D2043">
        <w:t>His/Her</w:t>
      </w:r>
      <w:proofErr w:type="spellEnd"/>
      <w:r w:rsidRPr="004D2043">
        <w:t xml:space="preserve"> Own Right</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 xml:space="preserve">This topic contains information on a surviving child entitled to </w:t>
            </w:r>
            <w:r w:rsidR="006567AC" w:rsidRPr="004D2043">
              <w:t>Survivors</w:t>
            </w:r>
            <w:r w:rsidRPr="004D2043">
              <w:t xml:space="preserve"> Pension in his/her own right, including</w:t>
            </w:r>
          </w:p>
          <w:p w:rsidR="00FF096B" w:rsidRPr="004D2043" w:rsidRDefault="00FF096B">
            <w:pPr>
              <w:pStyle w:val="BlockText"/>
            </w:pPr>
          </w:p>
          <w:p w:rsidR="00184107" w:rsidRPr="004D2043" w:rsidRDefault="00023D8F">
            <w:pPr>
              <w:pStyle w:val="BulletText1"/>
            </w:pPr>
            <w:r w:rsidRPr="004D2043">
              <w:t xml:space="preserve">general information on a surviving child entitled to </w:t>
            </w:r>
            <w:r w:rsidR="006567AC" w:rsidRPr="004D2043">
              <w:t>Survivors</w:t>
            </w:r>
            <w:r w:rsidRPr="004D2043">
              <w:t xml:space="preserve"> Pension in his/her own right</w:t>
            </w:r>
          </w:p>
          <w:p w:rsidR="00FF096B" w:rsidRPr="004D2043" w:rsidRDefault="00FF096B">
            <w:pPr>
              <w:pStyle w:val="BulletText1"/>
            </w:pPr>
            <w:r w:rsidRPr="004D2043">
              <w:t xml:space="preserve"> “legal custody” for </w:t>
            </w:r>
            <w:r w:rsidR="00940CD9" w:rsidRPr="004D2043">
              <w:t>Current-law</w:t>
            </w:r>
            <w:r w:rsidRPr="004D2043">
              <w:t xml:space="preserve"> Pension purposes</w:t>
            </w:r>
          </w:p>
          <w:p w:rsidR="00FF096B" w:rsidRPr="004D2043" w:rsidRDefault="00FF096B">
            <w:pPr>
              <w:pStyle w:val="BulletText1"/>
            </w:pPr>
            <w:r w:rsidRPr="004D2043">
              <w:t>custody continuing after the age of majority</w:t>
            </w:r>
          </w:p>
          <w:p w:rsidR="00FF096B" w:rsidRPr="004D2043" w:rsidRDefault="00FF096B">
            <w:pPr>
              <w:pStyle w:val="BulletText1"/>
            </w:pPr>
            <w:r w:rsidRPr="004D2043">
              <w:t xml:space="preserve">a child </w:t>
            </w:r>
            <w:r w:rsidRPr="004D2043">
              <w:rPr>
                <w:i/>
              </w:rPr>
              <w:t>not</w:t>
            </w:r>
            <w:r w:rsidRPr="004D2043">
              <w:t xml:space="preserve"> “in custody”</w:t>
            </w:r>
          </w:p>
          <w:p w:rsidR="00FF096B" w:rsidRPr="004D2043" w:rsidRDefault="00FF096B">
            <w:pPr>
              <w:pStyle w:val="BulletText1"/>
            </w:pPr>
            <w:r w:rsidRPr="004D2043">
              <w:t>the presumption of child custody</w:t>
            </w:r>
          </w:p>
          <w:p w:rsidR="00FF096B" w:rsidRPr="004D2043" w:rsidRDefault="00FF096B">
            <w:pPr>
              <w:pStyle w:val="BulletText1"/>
            </w:pPr>
            <w:r w:rsidRPr="004D2043">
              <w:t>determining a surviving child’s rate based on custody, and</w:t>
            </w:r>
          </w:p>
          <w:p w:rsidR="00FF096B" w:rsidRPr="004D2043" w:rsidRDefault="00FF096B">
            <w:pPr>
              <w:pStyle w:val="BulletText1"/>
            </w:pPr>
            <w:proofErr w:type="gramStart"/>
            <w:r w:rsidRPr="004D2043">
              <w:t>multiple</w:t>
            </w:r>
            <w:proofErr w:type="gramEnd"/>
            <w:r w:rsidRPr="004D2043">
              <w:t xml:space="preserve"> surviving children in custody and two examples of this situation.</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General</w:t>
            </w:r>
            <w:proofErr w:type="gramEnd"/>
            <w:r w:rsidRPr="004D2043">
              <w:t xml:space="preserve"> Information on a Surviving Child Entitled to </w:t>
            </w:r>
            <w:r w:rsidR="00AF0F4B" w:rsidRPr="004D2043">
              <w:t>Survivors</w:t>
            </w:r>
            <w:r w:rsidRPr="004D2043">
              <w:t xml:space="preserve"> Pension in </w:t>
            </w:r>
            <w:proofErr w:type="spellStart"/>
            <w:r w:rsidRPr="004D2043">
              <w:t>His/Her</w:t>
            </w:r>
            <w:proofErr w:type="spellEnd"/>
            <w:r w:rsidRPr="004D2043">
              <w:t xml:space="preserve"> Own Right</w:t>
            </w:r>
          </w:p>
        </w:tc>
        <w:tc>
          <w:tcPr>
            <w:tcW w:w="7740" w:type="dxa"/>
          </w:tcPr>
          <w:p w:rsidR="00FF096B" w:rsidRPr="004D2043" w:rsidRDefault="00FF096B">
            <w:pPr>
              <w:pStyle w:val="BlockText"/>
            </w:pPr>
            <w:r w:rsidRPr="004D2043">
              <w:t xml:space="preserve">A surviving child is entitled to </w:t>
            </w:r>
            <w:r w:rsidR="00AF0F4B" w:rsidRPr="004D2043">
              <w:t>Survivors</w:t>
            </w:r>
            <w:r w:rsidRPr="004D2043">
              <w:t xml:space="preserve"> Pension in his/her own right only if </w:t>
            </w:r>
          </w:p>
          <w:p w:rsidR="00FF096B" w:rsidRPr="004D2043" w:rsidRDefault="00FF096B">
            <w:pPr>
              <w:pStyle w:val="BlockText"/>
            </w:pPr>
          </w:p>
          <w:p w:rsidR="00FF096B" w:rsidRPr="004D2043" w:rsidRDefault="00FF096B">
            <w:pPr>
              <w:pStyle w:val="BulletText1"/>
            </w:pPr>
            <w:r w:rsidRPr="004D2043">
              <w:t xml:space="preserve">he/she is not in the “custody” of the surviving spouse </w:t>
            </w:r>
            <w:r w:rsidR="004E4469" w:rsidRPr="004D2043">
              <w:t>(</w:t>
            </w:r>
            <w:r w:rsidRPr="004D2043">
              <w:t xml:space="preserve">as the term “custody” is defined in </w:t>
            </w:r>
            <w:hyperlink r:id="rId22" w:history="1">
              <w:r w:rsidR="006D50AE" w:rsidRPr="004D2043">
                <w:rPr>
                  <w:rStyle w:val="Hyperlink"/>
                </w:rPr>
                <w:t>38 CFR</w:t>
              </w:r>
              <w:r w:rsidRPr="004D2043">
                <w:rPr>
                  <w:rStyle w:val="Hyperlink"/>
                </w:rPr>
                <w:t xml:space="preserve"> 3.57(d)</w:t>
              </w:r>
            </w:hyperlink>
            <w:r w:rsidR="004E4469" w:rsidRPr="004D2043">
              <w:t>)</w:t>
            </w:r>
            <w:r w:rsidRPr="004D2043">
              <w:t xml:space="preserve">, or </w:t>
            </w:r>
          </w:p>
          <w:p w:rsidR="00FF096B" w:rsidRPr="004D2043" w:rsidRDefault="00FF096B">
            <w:pPr>
              <w:pStyle w:val="BulletText1"/>
            </w:pPr>
            <w:proofErr w:type="gramStart"/>
            <w:r w:rsidRPr="004D2043">
              <w:t>there</w:t>
            </w:r>
            <w:proofErr w:type="gramEnd"/>
            <w:r w:rsidRPr="004D2043">
              <w:t xml:space="preserve"> is no surviving spouse who is eligible for pension, for example, the surviving spouse is deceased or remarried.</w:t>
            </w:r>
          </w:p>
          <w:p w:rsidR="00FF096B" w:rsidRPr="004D2043" w:rsidRDefault="00FF096B">
            <w:pPr>
              <w:pStyle w:val="BlockText"/>
            </w:pPr>
          </w:p>
          <w:p w:rsidR="00FF096B" w:rsidRPr="004D2043" w:rsidRDefault="00FF096B">
            <w:pPr>
              <w:pStyle w:val="BlockText"/>
            </w:pPr>
            <w:r w:rsidRPr="004D2043">
              <w:rPr>
                <w:b/>
                <w:bCs/>
                <w:i/>
                <w:iCs/>
              </w:rPr>
              <w:t>Important</w:t>
            </w:r>
            <w:r w:rsidRPr="004D2043">
              <w:t xml:space="preserve">:  A child is not eligible for </w:t>
            </w:r>
            <w:r w:rsidR="0008323F" w:rsidRPr="004D2043">
              <w:t>Survivors</w:t>
            </w:r>
            <w:r w:rsidRPr="004D2043">
              <w:t xml:space="preserve"> Pension in his/her own right if he/she is in the custody of an </w:t>
            </w:r>
            <w:proofErr w:type="spellStart"/>
            <w:r w:rsidRPr="004D2043">
              <w:t>unremarried</w:t>
            </w:r>
            <w:proofErr w:type="spellEnd"/>
            <w:r w:rsidRPr="004D2043">
              <w:t xml:space="preserve"> surviving spouse</w:t>
            </w:r>
            <w:r w:rsidR="004E4469" w:rsidRPr="004D2043">
              <w:t xml:space="preserve"> whose</w:t>
            </w:r>
            <w:r w:rsidRPr="004D2043">
              <w:t xml:space="preserve"> income or net worth is excessive for Pension purposes.</w:t>
            </w:r>
          </w:p>
          <w:p w:rsidR="00FF096B" w:rsidRPr="004D2043" w:rsidRDefault="00FF096B">
            <w:pPr>
              <w:pStyle w:val="BlockText"/>
            </w:pPr>
          </w:p>
          <w:p w:rsidR="00FF096B" w:rsidRPr="004D2043" w:rsidRDefault="00FF096B">
            <w:pPr>
              <w:pStyle w:val="BlockText"/>
            </w:pPr>
            <w:r w:rsidRPr="004D2043">
              <w:rPr>
                <w:b/>
                <w:i/>
              </w:rPr>
              <w:t>References</w:t>
            </w:r>
            <w:r w:rsidRPr="004D2043">
              <w:rPr>
                <w:bCs/>
                <w:iCs/>
              </w:rPr>
              <w:t>:</w:t>
            </w:r>
            <w:r w:rsidRPr="004D2043">
              <w:t xml:space="preserve">  For more information on</w:t>
            </w:r>
          </w:p>
          <w:p w:rsidR="00FF096B" w:rsidRPr="004D2043" w:rsidRDefault="00FF096B">
            <w:pPr>
              <w:pStyle w:val="BulletText1"/>
            </w:pPr>
            <w:r w:rsidRPr="004D2043">
              <w:t xml:space="preserve">a child’s independent pension eligibility, see </w:t>
            </w:r>
            <w:hyperlink r:id="rId23" w:history="1">
              <w:r w:rsidR="006D50AE" w:rsidRPr="004D2043">
                <w:rPr>
                  <w:rStyle w:val="Hyperlink"/>
                </w:rPr>
                <w:t>38 CFR</w:t>
              </w:r>
              <w:r w:rsidRPr="004D2043">
                <w:rPr>
                  <w:rStyle w:val="Hyperlink"/>
                </w:rPr>
                <w:t xml:space="preserve"> 3.24</w:t>
              </w:r>
            </w:hyperlink>
            <w:r w:rsidRPr="004D2043">
              <w:t>, and</w:t>
            </w:r>
          </w:p>
          <w:p w:rsidR="00FF096B" w:rsidRPr="004D2043" w:rsidRDefault="00FF096B">
            <w:pPr>
              <w:pStyle w:val="BulletText1"/>
            </w:pPr>
            <w:proofErr w:type="gramStart"/>
            <w:r w:rsidRPr="004D2043">
              <w:t>custody</w:t>
            </w:r>
            <w:proofErr w:type="gramEnd"/>
            <w:r w:rsidRPr="004D2043">
              <w:t xml:space="preserve"> for </w:t>
            </w:r>
            <w:r w:rsidR="0008323F" w:rsidRPr="004D2043">
              <w:t>current-law</w:t>
            </w:r>
            <w:r w:rsidRPr="004D2043">
              <w:t xml:space="preserve"> Pension purposes, see </w:t>
            </w:r>
            <w:hyperlink r:id="rId24" w:history="1">
              <w:r w:rsidR="006D50AE" w:rsidRPr="004D2043">
                <w:rPr>
                  <w:rStyle w:val="Hyperlink"/>
                </w:rPr>
                <w:t>38 CFR</w:t>
              </w:r>
              <w:r w:rsidRPr="004D2043">
                <w:rPr>
                  <w:rStyle w:val="Hyperlink"/>
                </w:rPr>
                <w:t xml:space="preserve"> 3.57(d)</w:t>
              </w:r>
            </w:hyperlink>
            <w:r w:rsidRPr="004D2043">
              <w:t>.</w:t>
            </w:r>
          </w:p>
        </w:tc>
      </w:tr>
    </w:tbl>
    <w:p w:rsidR="00FF096B" w:rsidRPr="004D2043" w:rsidRDefault="00505934">
      <w:pPr>
        <w:pStyle w:val="BlockLine"/>
      </w:pPr>
      <w:r w:rsidRPr="004D2043">
        <w:fldChar w:fldCharType="begin"/>
      </w:r>
      <w:r w:rsidRPr="004D2043">
        <w:instrText xml:space="preserve"> PRIVATE INFOTYPE="PRINCIPLE"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b.  “</w:t>
            </w:r>
            <w:proofErr w:type="gramEnd"/>
            <w:r w:rsidRPr="004D2043">
              <w:t xml:space="preserve">Legal Custody” for  </w:t>
            </w:r>
            <w:r w:rsidR="00D077A3" w:rsidRPr="004D2043">
              <w:t xml:space="preserve">Current-law </w:t>
            </w:r>
            <w:r w:rsidRPr="004D2043">
              <w:t>Pension Purposes</w:t>
            </w:r>
          </w:p>
        </w:tc>
        <w:tc>
          <w:tcPr>
            <w:tcW w:w="7740" w:type="dxa"/>
          </w:tcPr>
          <w:p w:rsidR="00FF096B" w:rsidRPr="004D2043" w:rsidRDefault="00FF096B">
            <w:pPr>
              <w:pStyle w:val="BlockText"/>
            </w:pPr>
            <w:r w:rsidRPr="004D2043">
              <w:t xml:space="preserve">To find the MAPR for a surviving child claiming </w:t>
            </w:r>
            <w:r w:rsidR="00940CD9" w:rsidRPr="004D2043">
              <w:t>Survivors Pension</w:t>
            </w:r>
            <w:r w:rsidRPr="004D2043">
              <w:t xml:space="preserve">, first determine whether the child is in the legal custody of some person.  </w:t>
            </w:r>
          </w:p>
          <w:p w:rsidR="00FF096B" w:rsidRPr="004D2043" w:rsidRDefault="00FF096B">
            <w:pPr>
              <w:pStyle w:val="BlockText"/>
            </w:pPr>
          </w:p>
          <w:p w:rsidR="00FF096B" w:rsidRPr="004D2043" w:rsidRDefault="00FF096B">
            <w:pPr>
              <w:pStyle w:val="BlockText"/>
            </w:pPr>
            <w:r w:rsidRPr="004D2043">
              <w:t xml:space="preserve">For purposes of  Pension, a child is in the legal custody of the person who </w:t>
            </w:r>
          </w:p>
          <w:p w:rsidR="00FF096B" w:rsidRPr="004D2043" w:rsidRDefault="00FF096B">
            <w:pPr>
              <w:pStyle w:val="BlockText"/>
            </w:pPr>
          </w:p>
          <w:p w:rsidR="00FF096B" w:rsidRPr="004D2043" w:rsidRDefault="00FF096B">
            <w:pPr>
              <w:pStyle w:val="BulletText1"/>
            </w:pPr>
            <w:r w:rsidRPr="004D2043">
              <w:t xml:space="preserve">is legally responsible for the child’s support, and </w:t>
            </w:r>
          </w:p>
          <w:p w:rsidR="00FF096B" w:rsidRPr="004D2043" w:rsidRDefault="00FF096B">
            <w:pPr>
              <w:pStyle w:val="BulletText1"/>
            </w:pPr>
            <w:proofErr w:type="gramStart"/>
            <w:r w:rsidRPr="004D2043">
              <w:t>has</w:t>
            </w:r>
            <w:proofErr w:type="gramEnd"/>
            <w:r w:rsidRPr="004D2043">
              <w:t xml:space="preserve"> the right to exercise parental control over the child.  </w:t>
            </w:r>
          </w:p>
          <w:p w:rsidR="00FF096B" w:rsidRPr="004D2043" w:rsidRDefault="00FF096B">
            <w:pPr>
              <w:pStyle w:val="BlockText"/>
            </w:pPr>
          </w:p>
          <w:p w:rsidR="00FF096B" w:rsidRPr="004D2043" w:rsidRDefault="00FF096B">
            <w:pPr>
              <w:pStyle w:val="BlockText"/>
            </w:pPr>
            <w:r w:rsidRPr="004D2043">
              <w:t xml:space="preserve">Physical custody of the child is not determinative.  </w:t>
            </w:r>
          </w:p>
          <w:p w:rsidR="00FF096B" w:rsidRPr="004D2043" w:rsidRDefault="00FF096B">
            <w:pPr>
              <w:pStyle w:val="BlockText"/>
            </w:pPr>
          </w:p>
          <w:p w:rsidR="00FF096B" w:rsidRPr="004D2043" w:rsidRDefault="00FF096B">
            <w:pPr>
              <w:pStyle w:val="BlockText"/>
            </w:pPr>
            <w:r w:rsidRPr="004D2043">
              <w:rPr>
                <w:b/>
                <w:bCs/>
                <w:i/>
                <w:iCs/>
              </w:rPr>
              <w:t>Reference</w:t>
            </w:r>
            <w:r w:rsidRPr="004D2043">
              <w:t xml:space="preserve">:  For more information on the definition of custody for Pension purposes, see </w:t>
            </w:r>
            <w:hyperlink r:id="rId25" w:history="1">
              <w:r w:rsidR="006D50AE" w:rsidRPr="004D2043">
                <w:rPr>
                  <w:rStyle w:val="Hyperlink"/>
                </w:rPr>
                <w:t>38 CFR</w:t>
              </w:r>
              <w:r w:rsidRPr="004D2043">
                <w:rPr>
                  <w:rStyle w:val="Hyperlink"/>
                </w:rPr>
                <w:t xml:space="preserve"> 3.57(d)</w:t>
              </w:r>
            </w:hyperlink>
            <w:r w:rsidRPr="004D2043">
              <w:t>.</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c.  Custody</w:t>
            </w:r>
            <w:proofErr w:type="gramEnd"/>
            <w:r w:rsidRPr="004D2043">
              <w:t xml:space="preserve"> Continuing After the Age of Majority</w:t>
            </w:r>
          </w:p>
        </w:tc>
        <w:tc>
          <w:tcPr>
            <w:tcW w:w="7740" w:type="dxa"/>
          </w:tcPr>
          <w:p w:rsidR="00FF096B" w:rsidRPr="004D2043" w:rsidRDefault="00FF096B">
            <w:pPr>
              <w:pStyle w:val="BlockText"/>
            </w:pPr>
            <w:r w:rsidRPr="004D2043">
              <w:t xml:space="preserve">The child “in custody” category includes the majority of child claimants.  Child custody (for </w:t>
            </w:r>
            <w:r w:rsidR="00D077A3" w:rsidRPr="004D2043">
              <w:t>current-law</w:t>
            </w:r>
            <w:r w:rsidRPr="004D2043">
              <w:t xml:space="preserve"> Pension purposes) is considered to continue after the child attains the age of majority under State law, under </w:t>
            </w:r>
            <w:hyperlink r:id="rId26" w:history="1">
              <w:r w:rsidR="006D50AE" w:rsidRPr="004D2043">
                <w:rPr>
                  <w:rStyle w:val="Hyperlink"/>
                </w:rPr>
                <w:t>38 CFR</w:t>
              </w:r>
              <w:r w:rsidRPr="004D2043">
                <w:rPr>
                  <w:rStyle w:val="Hyperlink"/>
                </w:rPr>
                <w:t xml:space="preserve"> 3.57(d</w:t>
              </w:r>
              <w:proofErr w:type="gramStart"/>
              <w:r w:rsidRPr="004D2043">
                <w:rPr>
                  <w:rStyle w:val="Hyperlink"/>
                </w:rPr>
                <w:t>)(</w:t>
              </w:r>
              <w:proofErr w:type="gramEnd"/>
              <w:r w:rsidRPr="004D2043">
                <w:rPr>
                  <w:rStyle w:val="Hyperlink"/>
                </w:rPr>
                <w:t>3)</w:t>
              </w:r>
            </w:hyperlink>
            <w:r w:rsidRPr="004D2043">
              <w:t>.</w:t>
            </w:r>
          </w:p>
          <w:p w:rsidR="00FF096B" w:rsidRPr="004D2043" w:rsidRDefault="00FF096B">
            <w:pPr>
              <w:pStyle w:val="BlockText"/>
            </w:pPr>
          </w:p>
          <w:p w:rsidR="00FF096B" w:rsidRPr="004D2043" w:rsidRDefault="00FF096B">
            <w:pPr>
              <w:pStyle w:val="BlockText"/>
            </w:pPr>
            <w:r w:rsidRPr="004D2043">
              <w:t xml:space="preserve">For </w:t>
            </w:r>
            <w:r w:rsidR="00A17AF6" w:rsidRPr="004D2043">
              <w:t>current-law</w:t>
            </w:r>
            <w:r w:rsidRPr="004D2043">
              <w:t xml:space="preserve"> Pension, a child who is an adult for State law purposes, for example, a 22-year-old schoolchild or a 47-year-old helpless child, is considered to be “in custody” of the person who had </w:t>
            </w:r>
          </w:p>
          <w:p w:rsidR="00FF096B" w:rsidRPr="004D2043" w:rsidRDefault="00FF096B">
            <w:pPr>
              <w:pStyle w:val="BlockText"/>
            </w:pPr>
          </w:p>
          <w:p w:rsidR="00FF096B" w:rsidRPr="004D2043" w:rsidRDefault="00FF096B">
            <w:pPr>
              <w:pStyle w:val="BulletText1"/>
            </w:pPr>
            <w:r w:rsidRPr="004D2043">
              <w:t xml:space="preserve">legal responsibility for the child’s support, and </w:t>
            </w:r>
          </w:p>
          <w:p w:rsidR="00FF096B" w:rsidRPr="004D2043" w:rsidRDefault="00FF096B">
            <w:pPr>
              <w:pStyle w:val="BulletText1"/>
            </w:pPr>
            <w:proofErr w:type="gramStart"/>
            <w:r w:rsidRPr="004D2043">
              <w:t>the</w:t>
            </w:r>
            <w:proofErr w:type="gramEnd"/>
            <w:r w:rsidRPr="004D2043">
              <w:t xml:space="preserve"> right to exercise parental control over the child before the child attained the age of majority under State law. </w:t>
            </w:r>
          </w:p>
          <w:p w:rsidR="00FF096B" w:rsidRPr="004D2043" w:rsidRDefault="00FF096B">
            <w:pPr>
              <w:pStyle w:val="BlockText"/>
            </w:pPr>
          </w:p>
          <w:p w:rsidR="00FF096B" w:rsidRPr="004D2043" w:rsidRDefault="00FF096B">
            <w:pPr>
              <w:pStyle w:val="BlockText"/>
            </w:pPr>
            <w:r w:rsidRPr="004D2043">
              <w:t>However, if there has been some intervening court action specifically relieving the person of legal responsibility for the child’s support or removing the person’s right to exercise parental control over the child, the child is no longer considered to be “in custody” for</w:t>
            </w:r>
            <w:r w:rsidR="00A17AF6" w:rsidRPr="004D2043">
              <w:t xml:space="preserve"> </w:t>
            </w:r>
            <w:r w:rsidR="00500333" w:rsidRPr="004D2043">
              <w:t>current-law</w:t>
            </w:r>
            <w:r w:rsidRPr="004D2043">
              <w:t xml:space="preserve"> Pension purposes.</w:t>
            </w:r>
          </w:p>
          <w:p w:rsidR="00FF096B" w:rsidRPr="004D2043" w:rsidRDefault="00FF096B">
            <w:pPr>
              <w:pStyle w:val="BlockText"/>
            </w:pPr>
          </w:p>
          <w:p w:rsidR="00FF096B" w:rsidRPr="004D2043" w:rsidRDefault="00FF096B">
            <w:pPr>
              <w:pStyle w:val="BlockText"/>
            </w:pPr>
            <w:r w:rsidRPr="004D2043">
              <w:rPr>
                <w:b/>
                <w:i/>
              </w:rPr>
              <w:t>Note</w:t>
            </w:r>
            <w:r w:rsidRPr="004D2043">
              <w:t>:  Even though a child may not actually live with a parent or legal guardian, the child is considered to be in that person’s custody unless custody has been legally divested (“taken away”) by court action.</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d.  Child</w:t>
            </w:r>
            <w:proofErr w:type="gramEnd"/>
            <w:r w:rsidRPr="004D2043">
              <w:t xml:space="preserve"> Not “In Custody”</w:t>
            </w:r>
          </w:p>
        </w:tc>
        <w:tc>
          <w:tcPr>
            <w:tcW w:w="7740" w:type="dxa"/>
          </w:tcPr>
          <w:p w:rsidR="00FF096B" w:rsidRPr="004D2043" w:rsidRDefault="00FF096B">
            <w:pPr>
              <w:pStyle w:val="BlockText"/>
            </w:pPr>
            <w:r w:rsidRPr="004D2043">
              <w:t xml:space="preserve">Relatively few children are not in custody as defined in </w:t>
            </w:r>
            <w:hyperlink r:id="rId27" w:history="1">
              <w:r w:rsidR="006D50AE" w:rsidRPr="004D2043">
                <w:rPr>
                  <w:rStyle w:val="Hyperlink"/>
                </w:rPr>
                <w:t>38 CFR</w:t>
              </w:r>
              <w:r w:rsidRPr="004D2043">
                <w:rPr>
                  <w:rStyle w:val="Hyperlink"/>
                </w:rPr>
                <w:t xml:space="preserve"> 3.57(d)</w:t>
              </w:r>
            </w:hyperlink>
            <w:r w:rsidRPr="004D2043">
              <w:t xml:space="preserve">.  Normally, a child is in the custody of some person as the term “custody” is defined for </w:t>
            </w:r>
            <w:r w:rsidR="00A17AF6" w:rsidRPr="004D2043">
              <w:t xml:space="preserve">current-law </w:t>
            </w:r>
            <w:r w:rsidRPr="004D2043">
              <w:t xml:space="preserve">Pension.  </w:t>
            </w:r>
          </w:p>
          <w:p w:rsidR="00FF096B" w:rsidRPr="004D2043" w:rsidRDefault="00FF096B">
            <w:pPr>
              <w:pStyle w:val="BlockText"/>
            </w:pPr>
          </w:p>
          <w:p w:rsidR="00FF096B" w:rsidRPr="004D2043" w:rsidRDefault="00FF096B">
            <w:pPr>
              <w:pStyle w:val="BlockText"/>
            </w:pPr>
            <w:r w:rsidRPr="004D2043">
              <w:t>A child is not in custody for</w:t>
            </w:r>
            <w:r w:rsidR="00011256" w:rsidRPr="004D2043">
              <w:t xml:space="preserve"> current-law</w:t>
            </w:r>
            <w:r w:rsidRPr="004D2043">
              <w:t xml:space="preserve"> Pension purposes if </w:t>
            </w:r>
          </w:p>
          <w:p w:rsidR="00FF096B" w:rsidRPr="004D2043" w:rsidRDefault="00FF096B">
            <w:pPr>
              <w:pStyle w:val="BlockText"/>
            </w:pPr>
          </w:p>
          <w:p w:rsidR="00FF096B" w:rsidRPr="004D2043" w:rsidRDefault="00FF096B">
            <w:pPr>
              <w:pStyle w:val="BulletText1"/>
            </w:pPr>
            <w:r w:rsidRPr="004D2043">
              <w:t>both parents are de</w:t>
            </w:r>
            <w:r w:rsidR="00011256" w:rsidRPr="004D2043">
              <w:t>ceased</w:t>
            </w:r>
            <w:r w:rsidRPr="004D2043">
              <w:t xml:space="preserve"> and no guardian is appointed </w:t>
            </w:r>
          </w:p>
          <w:p w:rsidR="00FF096B" w:rsidRPr="004D2043" w:rsidRDefault="00FF096B">
            <w:pPr>
              <w:pStyle w:val="BulletText1"/>
            </w:pPr>
            <w:r w:rsidRPr="004D2043">
              <w:t>parental rights are terminated by legal action and the child is placed in the custody of an institution or governmental agency, or</w:t>
            </w:r>
          </w:p>
          <w:p w:rsidR="00FF096B" w:rsidRPr="004D2043" w:rsidRDefault="00FF096B">
            <w:pPr>
              <w:pStyle w:val="BulletText1"/>
            </w:pPr>
            <w:proofErr w:type="gramStart"/>
            <w:r w:rsidRPr="004D2043">
              <w:t>the</w:t>
            </w:r>
            <w:proofErr w:type="gramEnd"/>
            <w:r w:rsidRPr="004D2043">
              <w:t xml:space="preserve"> child is </w:t>
            </w:r>
            <w:r w:rsidR="008A13C4" w:rsidRPr="004D2043">
              <w:t>emancipated by a court action.</w:t>
            </w:r>
          </w:p>
          <w:p w:rsidR="00FF096B" w:rsidRPr="004D2043" w:rsidRDefault="00FF096B">
            <w:pPr>
              <w:pStyle w:val="BlockText"/>
            </w:pPr>
          </w:p>
          <w:p w:rsidR="00FF096B" w:rsidRPr="004D2043" w:rsidRDefault="00FF096B">
            <w:pPr>
              <w:pStyle w:val="BlockText"/>
            </w:pPr>
            <w:r w:rsidRPr="004D2043">
              <w:rPr>
                <w:b/>
                <w:bCs/>
                <w:i/>
                <w:iCs/>
              </w:rPr>
              <w:t>Note</w:t>
            </w:r>
            <w:r w:rsidRPr="004D2043">
              <w:t xml:space="preserve">:  The fact that a child is institutionalized, even if pursuant to court order, does </w:t>
            </w:r>
            <w:r w:rsidRPr="004D2043">
              <w:rPr>
                <w:i/>
              </w:rPr>
              <w:t>not</w:t>
            </w:r>
            <w:r w:rsidRPr="004D2043">
              <w:t xml:space="preserve"> necessarily mean that the child is not “in custody.”  Unless some court action takes away the parent’s or guardian’s right to exercise parental control or legal responsibility for the child’s support, the child remains in the parent’s or guardian’s custody while institutionalized.</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e.  Presumption</w:t>
            </w:r>
            <w:proofErr w:type="gramEnd"/>
            <w:r w:rsidRPr="004D2043">
              <w:t xml:space="preserve"> of Child Custody</w:t>
            </w:r>
          </w:p>
        </w:tc>
        <w:tc>
          <w:tcPr>
            <w:tcW w:w="7740" w:type="dxa"/>
          </w:tcPr>
          <w:p w:rsidR="00FF096B" w:rsidRPr="004D2043" w:rsidRDefault="00FF096B">
            <w:pPr>
              <w:pStyle w:val="BlockText"/>
            </w:pPr>
            <w:r w:rsidRPr="004D2043">
              <w:t xml:space="preserve">In the absence of evidence that a parent or guardian has been divested of either the legal right to exercise parental control over the child or legal responsibility for the child’s support, presume that the child is in the parent’s or guardian’s custody </w:t>
            </w:r>
            <w:r w:rsidR="008A13C4" w:rsidRPr="004D2043">
              <w:t xml:space="preserve">for </w:t>
            </w:r>
            <w:r w:rsidR="00515216" w:rsidRPr="004D2043">
              <w:t>current-law</w:t>
            </w:r>
            <w:r w:rsidR="008A13C4" w:rsidRPr="004D2043">
              <w:t xml:space="preserve"> Pension purposes.</w:t>
            </w:r>
          </w:p>
          <w:p w:rsidR="00FF096B" w:rsidRPr="004D2043" w:rsidRDefault="00FF096B">
            <w:pPr>
              <w:pStyle w:val="BlockText"/>
            </w:pPr>
          </w:p>
          <w:p w:rsidR="00FF096B" w:rsidRPr="004D2043" w:rsidRDefault="00FF096B">
            <w:pPr>
              <w:pStyle w:val="BlockText"/>
            </w:pPr>
            <w:r w:rsidRPr="004D2043">
              <w:t>If a question arises as to whether or not some positive legal action has divested an individual of the legal right to exercise parental control over the child as well as legal responsibility for the child’s support, request a legal opin</w:t>
            </w:r>
            <w:r w:rsidR="008A13C4" w:rsidRPr="004D2043">
              <w:t xml:space="preserve">ion from the </w:t>
            </w:r>
            <w:r w:rsidR="00623E32" w:rsidRPr="004D2043">
              <w:t>Office of General</w:t>
            </w:r>
            <w:r w:rsidR="00FB75BA" w:rsidRPr="004D2043">
              <w:t xml:space="preserve"> </w:t>
            </w:r>
            <w:r w:rsidR="008A13C4" w:rsidRPr="004D2043">
              <w:t>Counsel.</w:t>
            </w:r>
          </w:p>
          <w:p w:rsidR="00FF096B" w:rsidRPr="004D2043" w:rsidRDefault="00FF096B">
            <w:pPr>
              <w:pStyle w:val="BlockText"/>
            </w:pPr>
          </w:p>
          <w:p w:rsidR="00FF096B" w:rsidRPr="004D2043" w:rsidRDefault="00FF096B">
            <w:pPr>
              <w:pStyle w:val="BlockText"/>
            </w:pPr>
            <w:r w:rsidRPr="004D2043">
              <w:rPr>
                <w:b/>
                <w:i/>
              </w:rPr>
              <w:t>Reference</w:t>
            </w:r>
            <w:r w:rsidRPr="004D2043">
              <w:t xml:space="preserve">:  For more information on the legal right to exercise parental control, see </w:t>
            </w:r>
            <w:hyperlink r:id="rId28" w:history="1">
              <w:r w:rsidRPr="004D2043">
                <w:rPr>
                  <w:rStyle w:val="Hyperlink"/>
                </w:rPr>
                <w:t>M21-1, Part III, Subpart iii, 5.J</w:t>
              </w:r>
            </w:hyperlink>
            <w:r w:rsidRPr="004D2043">
              <w:t xml:space="preserve">. </w:t>
            </w:r>
          </w:p>
          <w:p w:rsidR="00FF096B" w:rsidRPr="004D2043" w:rsidRDefault="00FF096B">
            <w:pPr>
              <w:pStyle w:val="BlockText"/>
            </w:pPr>
          </w:p>
          <w:p w:rsidR="00FF096B" w:rsidRPr="004D2043" w:rsidRDefault="00FF096B">
            <w:pPr>
              <w:pStyle w:val="BlockText"/>
            </w:pPr>
            <w:r w:rsidRPr="004D2043">
              <w:t xml:space="preserve">Under </w:t>
            </w:r>
            <w:hyperlink r:id="rId29" w:history="1">
              <w:r w:rsidR="006D50AE" w:rsidRPr="004D2043">
                <w:rPr>
                  <w:rStyle w:val="Hyperlink"/>
                </w:rPr>
                <w:t>38 CFR</w:t>
              </w:r>
              <w:r w:rsidRPr="004D2043">
                <w:rPr>
                  <w:rStyle w:val="Hyperlink"/>
                </w:rPr>
                <w:t xml:space="preserve"> 3.57(d)(3)</w:t>
              </w:r>
            </w:hyperlink>
            <w:r w:rsidRPr="004D2043">
              <w:t xml:space="preserve">, the request for a legal opinion should specifically pose the question in terms of whether </w:t>
            </w:r>
            <w:r w:rsidRPr="004D2043">
              <w:rPr>
                <w:i/>
              </w:rPr>
              <w:t>positive legal action</w:t>
            </w:r>
            <w:r w:rsidRPr="004D2043">
              <w:t xml:space="preserve"> has divested the parent or guardian of the </w:t>
            </w:r>
          </w:p>
          <w:p w:rsidR="00FF096B" w:rsidRPr="004D2043" w:rsidRDefault="00FF096B">
            <w:pPr>
              <w:pStyle w:val="BlockText"/>
            </w:pPr>
          </w:p>
          <w:p w:rsidR="00FF096B" w:rsidRPr="004D2043" w:rsidRDefault="00FF096B">
            <w:pPr>
              <w:pStyle w:val="BulletText1"/>
            </w:pPr>
            <w:r w:rsidRPr="004D2043">
              <w:t xml:space="preserve">legal right to exercise parental control over the child, or </w:t>
            </w:r>
          </w:p>
          <w:p w:rsidR="00FF096B" w:rsidRPr="004D2043" w:rsidRDefault="00FF096B">
            <w:pPr>
              <w:pStyle w:val="BulletText1"/>
            </w:pPr>
            <w:proofErr w:type="gramStart"/>
            <w:r w:rsidRPr="004D2043">
              <w:t>legal</w:t>
            </w:r>
            <w:proofErr w:type="gramEnd"/>
            <w:r w:rsidRPr="004D2043">
              <w:t xml:space="preserve"> responsibility for the child’s support.</w:t>
            </w:r>
          </w:p>
          <w:p w:rsidR="00FF096B" w:rsidRPr="004D2043" w:rsidRDefault="00FF096B">
            <w:pPr>
              <w:pStyle w:val="BlockText"/>
            </w:pPr>
          </w:p>
          <w:p w:rsidR="00FF096B" w:rsidRPr="004D2043" w:rsidRDefault="00FF096B">
            <w:pPr>
              <w:pStyle w:val="BlockText"/>
            </w:pPr>
            <w:r w:rsidRPr="004D2043">
              <w:t>This is because divestiture of legal custody by means other than a court order or agreement does not take the child out of custody for</w:t>
            </w:r>
            <w:r w:rsidR="009D7E80" w:rsidRPr="004D2043">
              <w:t xml:space="preserve"> current-law</w:t>
            </w:r>
            <w:r w:rsidRPr="004D2043">
              <w:t xml:space="preserve"> Pension purposes.</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f.  Determining</w:t>
            </w:r>
            <w:proofErr w:type="gramEnd"/>
            <w:r w:rsidRPr="004D2043">
              <w:t xml:space="preserve"> Surviving Child’s Rate Based on Custody</w:t>
            </w:r>
          </w:p>
        </w:tc>
        <w:tc>
          <w:tcPr>
            <w:tcW w:w="7740" w:type="dxa"/>
          </w:tcPr>
          <w:p w:rsidR="00FF096B" w:rsidRPr="004D2043" w:rsidRDefault="00FF096B">
            <w:pPr>
              <w:pStyle w:val="BlockText"/>
            </w:pPr>
            <w:r w:rsidRPr="004D2043">
              <w:t xml:space="preserve">If a child is </w:t>
            </w:r>
            <w:r w:rsidRPr="004D2043">
              <w:rPr>
                <w:b/>
                <w:i/>
              </w:rPr>
              <w:t>not</w:t>
            </w:r>
            <w:r w:rsidRPr="004D2043">
              <w:t xml:space="preserve"> “in custody,” </w:t>
            </w:r>
            <w:r w:rsidRPr="004D2043">
              <w:rPr>
                <w:b/>
                <w:i/>
                <w:iCs/>
              </w:rPr>
              <w:t>or</w:t>
            </w:r>
            <w:r w:rsidRPr="004D2043">
              <w:t xml:space="preserve"> if the child is in the custody of an institution, determine the child’s rate of Pension by subtracting the child’s IVAP from the child MAPR in the Pension rate charts in </w:t>
            </w:r>
            <w:hyperlink r:id="rId30" w:history="1">
              <w:r w:rsidRPr="004D2043">
                <w:rPr>
                  <w:rStyle w:val="Hyperlink"/>
                </w:rPr>
                <w:t>M21-1, Part I, Appendix B</w:t>
              </w:r>
            </w:hyperlink>
            <w:r w:rsidRPr="004D2043">
              <w:t xml:space="preserve">, per </w:t>
            </w:r>
            <w:hyperlink r:id="rId31" w:history="1">
              <w:r w:rsidR="006D50AE" w:rsidRPr="004D2043">
                <w:rPr>
                  <w:rStyle w:val="Hyperlink"/>
                </w:rPr>
                <w:t>38 CFR</w:t>
              </w:r>
              <w:r w:rsidRPr="004D2043">
                <w:rPr>
                  <w:rStyle w:val="Hyperlink"/>
                </w:rPr>
                <w:t xml:space="preserve"> 3.24</w:t>
              </w:r>
            </w:hyperlink>
            <w:r w:rsidRPr="004D2043">
              <w:t>.</w:t>
            </w:r>
          </w:p>
          <w:p w:rsidR="00FF096B" w:rsidRPr="004D2043" w:rsidRDefault="00FF096B">
            <w:pPr>
              <w:pStyle w:val="BlockText"/>
            </w:pPr>
          </w:p>
          <w:p w:rsidR="00FF096B" w:rsidRPr="004D2043" w:rsidRDefault="00FF096B">
            <w:pPr>
              <w:pStyle w:val="BlockText"/>
            </w:pPr>
            <w:r w:rsidRPr="004D2043">
              <w:t xml:space="preserve">Under </w:t>
            </w:r>
            <w:hyperlink r:id="rId32" w:history="1">
              <w:r w:rsidR="00705B94" w:rsidRPr="004D2043">
                <w:rPr>
                  <w:rStyle w:val="Hyperlink"/>
                </w:rPr>
                <w:t>38 CFR 3.57(d)(2)</w:t>
              </w:r>
            </w:hyperlink>
            <w:r w:rsidRPr="004D2043">
              <w:t xml:space="preserve">, if the child is in custody, pay the </w:t>
            </w:r>
            <w:r w:rsidRPr="004D2043">
              <w:rPr>
                <w:i/>
              </w:rPr>
              <w:t>lesser</w:t>
            </w:r>
            <w:r w:rsidRPr="004D2043">
              <w:t xml:space="preserve"> of the following two </w:t>
            </w:r>
            <w:r w:rsidR="00E66B31" w:rsidRPr="004D2043">
              <w:t>pension rates</w:t>
            </w:r>
            <w:r w:rsidRPr="004D2043">
              <w:t>:</w:t>
            </w:r>
          </w:p>
          <w:p w:rsidR="00FF096B" w:rsidRPr="004D2043" w:rsidRDefault="00FF096B" w:rsidP="0044326F">
            <w:pPr>
              <w:pStyle w:val="BlockText"/>
            </w:pPr>
          </w:p>
          <w:p w:rsidR="00FF096B" w:rsidRPr="004D2043" w:rsidRDefault="00FF096B">
            <w:pPr>
              <w:pStyle w:val="BulletText1"/>
            </w:pPr>
            <w:r w:rsidRPr="004D2043">
              <w:t xml:space="preserve">child alone MAPR reduced by the child’s IVAP only, </w:t>
            </w:r>
            <w:r w:rsidRPr="004D2043">
              <w:rPr>
                <w:i/>
                <w:iCs/>
              </w:rPr>
              <w:t>or</w:t>
            </w:r>
          </w:p>
          <w:p w:rsidR="00FF096B" w:rsidRPr="004D2043" w:rsidRDefault="00FF096B">
            <w:pPr>
              <w:pStyle w:val="BulletText1"/>
            </w:pPr>
            <w:r w:rsidRPr="004D2043">
              <w:t>surviving spouse and child MAPR reduced by the combined IVAP of the</w:t>
            </w:r>
          </w:p>
          <w:p w:rsidR="00FF096B" w:rsidRPr="004D2043" w:rsidRDefault="00FF096B" w:rsidP="00CD4C2A">
            <w:pPr>
              <w:pStyle w:val="BulletText2"/>
            </w:pPr>
            <w:r w:rsidRPr="004D2043">
              <w:t>child</w:t>
            </w:r>
          </w:p>
          <w:p w:rsidR="00FF096B" w:rsidRPr="004D2043" w:rsidRDefault="00FF096B" w:rsidP="00CD4C2A">
            <w:pPr>
              <w:pStyle w:val="BulletText2"/>
            </w:pPr>
            <w:r w:rsidRPr="004D2043">
              <w:t>person having custody of the child, and</w:t>
            </w:r>
          </w:p>
          <w:p w:rsidR="00FF096B" w:rsidRPr="004D2043" w:rsidRDefault="00FF096B" w:rsidP="00CD4C2A">
            <w:pPr>
              <w:pStyle w:val="BulletText2"/>
            </w:pPr>
            <w:proofErr w:type="gramStart"/>
            <w:r w:rsidRPr="004D2043">
              <w:t>spouse</w:t>
            </w:r>
            <w:proofErr w:type="gramEnd"/>
            <w:r w:rsidRPr="004D2043">
              <w:t xml:space="preserve"> of the person having custody of the child if the child is in the custody of a biological or adoptive parent.</w:t>
            </w:r>
          </w:p>
          <w:p w:rsidR="00FF096B" w:rsidRPr="004D2043" w:rsidRDefault="00FF096B" w:rsidP="0044326F">
            <w:pPr>
              <w:pStyle w:val="BlockText"/>
            </w:pPr>
          </w:p>
          <w:p w:rsidR="00FF096B" w:rsidRPr="004D2043" w:rsidRDefault="00FF096B">
            <w:pPr>
              <w:pStyle w:val="BlockText"/>
            </w:pPr>
            <w:r w:rsidRPr="004D2043">
              <w:rPr>
                <w:b/>
                <w:i/>
              </w:rPr>
              <w:t>Note</w:t>
            </w:r>
            <w:r w:rsidRPr="004D2043">
              <w:t>:  The income of the spouse of a legal guardian who is not the child’s parent is not a factor in determining IVAP.</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g.  Multiple</w:t>
            </w:r>
            <w:proofErr w:type="gramEnd"/>
            <w:r w:rsidRPr="004D2043">
              <w:t xml:space="preserve"> Surviving Children in Custody</w:t>
            </w:r>
          </w:p>
        </w:tc>
        <w:tc>
          <w:tcPr>
            <w:tcW w:w="7740" w:type="dxa"/>
          </w:tcPr>
          <w:p w:rsidR="00A61DF5" w:rsidRPr="004D2043" w:rsidRDefault="00A61DF5" w:rsidP="00A61DF5">
            <w:pPr>
              <w:pStyle w:val="BlockText"/>
            </w:pPr>
            <w:r w:rsidRPr="004D2043">
              <w:t>Any child with IVAP greater than the MAPR for a child alone is not entitled to pension.  Disrega</w:t>
            </w:r>
            <w:r w:rsidR="009A3799" w:rsidRPr="004D2043">
              <w:t>rd the income of any child whose IVAP exceeds the child alone MAPR</w:t>
            </w:r>
            <w:r w:rsidRPr="004D2043">
              <w:t xml:space="preserve"> when determining the eligibility of the other child claimants.</w:t>
            </w:r>
          </w:p>
          <w:p w:rsidR="00A61DF5" w:rsidRPr="004D2043" w:rsidRDefault="00A61DF5" w:rsidP="00A61DF5">
            <w:pPr>
              <w:pStyle w:val="BlockText"/>
            </w:pPr>
          </w:p>
          <w:p w:rsidR="00A61DF5" w:rsidRPr="004D2043" w:rsidRDefault="00A61DF5" w:rsidP="00A61DF5">
            <w:pPr>
              <w:pStyle w:val="BlockText"/>
            </w:pPr>
            <w:r w:rsidRPr="004D2043">
              <w:rPr>
                <w:b/>
                <w:i/>
              </w:rPr>
              <w:t>Reference</w:t>
            </w:r>
            <w:r w:rsidRPr="004D2043">
              <w:t xml:space="preserve">:  For more information about </w:t>
            </w:r>
          </w:p>
          <w:p w:rsidR="00A61DF5" w:rsidRPr="004D2043" w:rsidRDefault="00A61DF5" w:rsidP="00A61DF5">
            <w:pPr>
              <w:pStyle w:val="BulletText1"/>
            </w:pPr>
            <w:proofErr w:type="gramStart"/>
            <w:r w:rsidRPr="004D2043">
              <w:t>processing</w:t>
            </w:r>
            <w:proofErr w:type="gramEnd"/>
            <w:r w:rsidRPr="004D2043">
              <w:t xml:space="preserve"> a surviving child award in VETSNET Awards, see the </w:t>
            </w:r>
            <w:hyperlink r:id="rId33" w:history="1">
              <w:r w:rsidRPr="004D2043">
                <w:rPr>
                  <w:rStyle w:val="Hyperlink"/>
                </w:rPr>
                <w:t>VETSNET Awards User Guide</w:t>
              </w:r>
            </w:hyperlink>
            <w:r w:rsidRPr="004D2043">
              <w:t>.</w:t>
            </w:r>
          </w:p>
          <w:p w:rsidR="00A61DF5" w:rsidRPr="004D2043" w:rsidRDefault="00B200C6" w:rsidP="004B5E1E">
            <w:pPr>
              <w:pStyle w:val="BulletText1"/>
            </w:pPr>
            <w:r w:rsidRPr="004D2043">
              <w:t xml:space="preserve">surviving child </w:t>
            </w:r>
            <w:r w:rsidR="00BF1A27" w:rsidRPr="004D2043">
              <w:t>Survivors P</w:t>
            </w:r>
            <w:r w:rsidRPr="004D2043">
              <w:t xml:space="preserve">ension payments, see </w:t>
            </w:r>
          </w:p>
          <w:p w:rsidR="00696B06" w:rsidRPr="004D2043" w:rsidRDefault="00EA30F0" w:rsidP="004B5E1E">
            <w:pPr>
              <w:pStyle w:val="BulletText2"/>
            </w:pPr>
            <w:hyperlink r:id="rId34" w:history="1">
              <w:r w:rsidR="00B200C6" w:rsidRPr="004D2043">
                <w:rPr>
                  <w:rStyle w:val="Hyperlink"/>
                </w:rPr>
                <w:t>38 U.S.C. 1542</w:t>
              </w:r>
            </w:hyperlink>
            <w:r w:rsidR="00A61DF5" w:rsidRPr="004D2043">
              <w:t>,</w:t>
            </w:r>
            <w:r w:rsidR="00696B06" w:rsidRPr="004D2043">
              <w:t xml:space="preserve"> and</w:t>
            </w:r>
          </w:p>
          <w:p w:rsidR="00FF096B" w:rsidRPr="004D2043" w:rsidRDefault="00EA30F0" w:rsidP="00696B06">
            <w:pPr>
              <w:pStyle w:val="BulletText2"/>
            </w:pPr>
            <w:hyperlink r:id="rId35" w:history="1">
              <w:r w:rsidR="00696B06" w:rsidRPr="004D2043">
                <w:rPr>
                  <w:rStyle w:val="Hyperlink"/>
                </w:rPr>
                <w:t>38 CFR 3.24(c</w:t>
              </w:r>
              <w:proofErr w:type="gramStart"/>
              <w:r w:rsidR="00696B06" w:rsidRPr="004D2043">
                <w:rPr>
                  <w:rStyle w:val="Hyperlink"/>
                </w:rPr>
                <w:t>)(</w:t>
              </w:r>
              <w:proofErr w:type="gramEnd"/>
              <w:r w:rsidR="00696B06" w:rsidRPr="004D2043">
                <w:rPr>
                  <w:rStyle w:val="Hyperlink"/>
                </w:rPr>
                <w:t>2)</w:t>
              </w:r>
            </w:hyperlink>
            <w:r w:rsidR="00696B06"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rsidP="00B1579D">
            <w:pPr>
              <w:pStyle w:val="Heading5"/>
            </w:pPr>
            <w:proofErr w:type="gramStart"/>
            <w:r w:rsidRPr="004D2043">
              <w:t>h.  Example</w:t>
            </w:r>
            <w:proofErr w:type="gramEnd"/>
            <w:r w:rsidRPr="004D2043">
              <w:t xml:space="preserve"> 1: Surviving Child in Custody</w:t>
            </w:r>
          </w:p>
        </w:tc>
        <w:tc>
          <w:tcPr>
            <w:tcW w:w="7740" w:type="dxa"/>
          </w:tcPr>
          <w:p w:rsidR="00407A2B" w:rsidRPr="004D2043" w:rsidRDefault="0063239D" w:rsidP="0009093A">
            <w:pPr>
              <w:pStyle w:val="BlockText"/>
            </w:pPr>
            <w:r w:rsidRPr="004D2043">
              <w:rPr>
                <w:b/>
                <w:i/>
              </w:rPr>
              <w:t>Example</w:t>
            </w:r>
            <w:r w:rsidR="00407A2B" w:rsidRPr="004D2043">
              <w:rPr>
                <w:b/>
              </w:rPr>
              <w:t xml:space="preserve">:  </w:t>
            </w:r>
            <w:r w:rsidR="00407A2B" w:rsidRPr="004D2043">
              <w:t>The year is 2011.  The surviving child of a deceased Veteran lives with a grandparent.  The child is still in the legal custody of his/her parent (remarried surviving spouse of the Veteran) but the child has little contact with the surviving parent.  The child has no income.  The child’s parent has income of $2,000 per year.  The child’s stepparent has income of $60,000 per year.</w:t>
            </w:r>
          </w:p>
          <w:p w:rsidR="00407A2B" w:rsidRPr="004D2043" w:rsidRDefault="00407A2B" w:rsidP="0009093A">
            <w:pPr>
              <w:pStyle w:val="BlockText"/>
            </w:pPr>
          </w:p>
          <w:p w:rsidR="00407A2B" w:rsidRPr="004D2043" w:rsidRDefault="00407A2B" w:rsidP="0009093A">
            <w:pPr>
              <w:pStyle w:val="BlockText"/>
            </w:pPr>
            <w:r w:rsidRPr="004D2043">
              <w:t>The child is not entitled to Pension because the combined income of the child, the person legally responsible for the child’s support (child’s parent), and the child’s stepparent is $62,000 per year which exceeds the MAPR for a surviving spouse and one child.</w:t>
            </w:r>
          </w:p>
          <w:p w:rsidR="00407A2B" w:rsidRPr="004D2043" w:rsidRDefault="00407A2B" w:rsidP="0009093A">
            <w:pPr>
              <w:pStyle w:val="BlockText"/>
            </w:pPr>
          </w:p>
          <w:p w:rsidR="00FF096B" w:rsidRPr="004D2043" w:rsidRDefault="00407A2B" w:rsidP="00407A2B">
            <w:pPr>
              <w:pStyle w:val="BlockText"/>
            </w:pPr>
            <w:r w:rsidRPr="004D2043">
              <w:rPr>
                <w:b/>
                <w:i/>
              </w:rPr>
              <w:t>Reference</w:t>
            </w:r>
            <w:r w:rsidRPr="004D2043">
              <w:t xml:space="preserve">:  For more information on counting the income of a surviving child’s custodian, see </w:t>
            </w:r>
            <w:hyperlink r:id="rId36" w:anchor="se38.1.3_157" w:history="1">
              <w:r w:rsidRPr="004D2043">
                <w:rPr>
                  <w:rStyle w:val="Hyperlink"/>
                </w:rPr>
                <w:t>38 CFR 3.57(d</w:t>
              </w:r>
              <w:proofErr w:type="gramStart"/>
              <w:r w:rsidRPr="004D2043">
                <w:rPr>
                  <w:rStyle w:val="Hyperlink"/>
                </w:rPr>
                <w:t>)(</w:t>
              </w:r>
              <w:proofErr w:type="gramEnd"/>
              <w:r w:rsidRPr="004D2043">
                <w:rPr>
                  <w:rStyle w:val="Hyperlink"/>
                </w:rPr>
                <w:t>2)</w:t>
              </w:r>
            </w:hyperlink>
            <w:r w:rsidRPr="004D2043">
              <w:t>.</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spellStart"/>
            <w:proofErr w:type="gramStart"/>
            <w:r w:rsidRPr="004D2043">
              <w:lastRenderedPageBreak/>
              <w:t>i</w:t>
            </w:r>
            <w:proofErr w:type="spellEnd"/>
            <w:r w:rsidRPr="004D2043">
              <w:t>.  Example</w:t>
            </w:r>
            <w:proofErr w:type="gramEnd"/>
            <w:r w:rsidRPr="004D2043">
              <w:t xml:space="preserve"> 2: Surviving Child in Custody</w:t>
            </w:r>
          </w:p>
        </w:tc>
        <w:tc>
          <w:tcPr>
            <w:tcW w:w="7740" w:type="dxa"/>
          </w:tcPr>
          <w:p w:rsidR="00FF096B" w:rsidRPr="004D2043" w:rsidRDefault="0063239D">
            <w:pPr>
              <w:pStyle w:val="BlockText"/>
            </w:pPr>
            <w:r w:rsidRPr="004D2043">
              <w:rPr>
                <w:b/>
                <w:i/>
              </w:rPr>
              <w:t>Example</w:t>
            </w:r>
            <w:r w:rsidR="00FF096B" w:rsidRPr="004D2043">
              <w:t xml:space="preserve">:  </w:t>
            </w:r>
            <w:r w:rsidR="00B1579D" w:rsidRPr="004D2043">
              <w:t xml:space="preserve">The year is 2011.  </w:t>
            </w:r>
            <w:r w:rsidR="00FF096B" w:rsidRPr="004D2043">
              <w:t xml:space="preserve">The surviving child of a Veteran lives with the child’s parent (remarried surviving spouse) and stepparent.  Neither the parent nor stepparent has any countable income.  The child receives a pension of $650 per month from the deceased Veteran’s former employer.  </w:t>
            </w:r>
          </w:p>
          <w:p w:rsidR="00FF096B" w:rsidRPr="004D2043" w:rsidRDefault="00FF096B">
            <w:pPr>
              <w:pStyle w:val="BlockText"/>
            </w:pPr>
          </w:p>
          <w:p w:rsidR="00FF096B" w:rsidRPr="004D2043" w:rsidRDefault="00FF096B" w:rsidP="00A17AF6">
            <w:pPr>
              <w:pStyle w:val="BlockText"/>
            </w:pPr>
            <w:r w:rsidRPr="004D2043">
              <w:t>The child is not entitled to Pension because the child’s income exceeds the MAPR for a child alone.</w:t>
            </w:r>
          </w:p>
        </w:tc>
      </w:tr>
    </w:tbl>
    <w:p w:rsidR="00FF096B" w:rsidRPr="004D2043" w:rsidRDefault="00FF096B">
      <w:pPr>
        <w:pStyle w:val="BlockLine"/>
      </w:pPr>
    </w:p>
    <w:p w:rsidR="00FF096B" w:rsidRPr="004D2043" w:rsidRDefault="00FF096B">
      <w:pPr>
        <w:pStyle w:val="Heading4"/>
      </w:pPr>
      <w:r w:rsidRPr="004D2043">
        <w:br w:type="page"/>
      </w:r>
      <w:r w:rsidR="00D87613" w:rsidRPr="004D2043">
        <w:lastRenderedPageBreak/>
        <w:t>5</w:t>
      </w:r>
      <w:r w:rsidRPr="004D2043">
        <w:t>.  Income Classifications</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This topic contains information on income classifications, including</w:t>
            </w:r>
          </w:p>
          <w:p w:rsidR="00FF096B" w:rsidRPr="004D2043" w:rsidRDefault="00FF096B">
            <w:pPr>
              <w:pStyle w:val="BlockText"/>
            </w:pPr>
          </w:p>
          <w:p w:rsidR="00FF096B" w:rsidRPr="004D2043" w:rsidRDefault="00FF096B">
            <w:pPr>
              <w:pStyle w:val="BulletText1"/>
            </w:pPr>
            <w:r w:rsidRPr="004D2043">
              <w:t>the rationale for classifying income</w:t>
            </w:r>
          </w:p>
          <w:p w:rsidR="00FF096B" w:rsidRPr="004D2043" w:rsidRDefault="00FF096B">
            <w:pPr>
              <w:pStyle w:val="BulletText1"/>
            </w:pPr>
            <w:r w:rsidRPr="004D2043">
              <w:t>the types of income, and</w:t>
            </w:r>
          </w:p>
          <w:p w:rsidR="00FF096B" w:rsidRPr="004D2043" w:rsidRDefault="00FF096B">
            <w:pPr>
              <w:pStyle w:val="BulletText1"/>
            </w:pPr>
            <w:r w:rsidRPr="004D2043">
              <w:t>the definitions of the following types of income:</w:t>
            </w:r>
          </w:p>
          <w:p w:rsidR="00FF096B" w:rsidRPr="004D2043" w:rsidRDefault="00FF096B" w:rsidP="00CD4C2A">
            <w:pPr>
              <w:pStyle w:val="BulletText2"/>
            </w:pPr>
            <w:r w:rsidRPr="004D2043">
              <w:t>nonrecurring income</w:t>
            </w:r>
          </w:p>
          <w:p w:rsidR="00FF096B" w:rsidRPr="004D2043" w:rsidRDefault="00FF096B" w:rsidP="00CD4C2A">
            <w:pPr>
              <w:pStyle w:val="BulletText2"/>
            </w:pPr>
            <w:r w:rsidRPr="004D2043">
              <w:t>recurring income</w:t>
            </w:r>
            <w:r w:rsidR="00732052" w:rsidRPr="004D2043">
              <w:t>, and</w:t>
            </w:r>
          </w:p>
          <w:p w:rsidR="00FF096B" w:rsidRPr="004D2043" w:rsidRDefault="00FF096B" w:rsidP="00CD4C2A">
            <w:pPr>
              <w:pStyle w:val="BulletText2"/>
            </w:pPr>
            <w:proofErr w:type="gramStart"/>
            <w:r w:rsidRPr="004D2043">
              <w:t>short-term</w:t>
            </w:r>
            <w:proofErr w:type="gramEnd"/>
            <w:r w:rsidRPr="004D2043">
              <w:t xml:space="preserve"> recurring income, </w:t>
            </w:r>
            <w:proofErr w:type="spellStart"/>
            <w:r w:rsidRPr="004D2043">
              <w:t>andirregular</w:t>
            </w:r>
            <w:proofErr w:type="spellEnd"/>
            <w:r w:rsidRPr="004D2043">
              <w:t xml:space="preserve"> income.</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Rationale</w:t>
            </w:r>
            <w:proofErr w:type="gramEnd"/>
            <w:r w:rsidRPr="004D2043">
              <w:t xml:space="preserve"> for Classifying Income</w:t>
            </w:r>
          </w:p>
        </w:tc>
        <w:tc>
          <w:tcPr>
            <w:tcW w:w="7740" w:type="dxa"/>
          </w:tcPr>
          <w:p w:rsidR="00FF096B" w:rsidRPr="004D2043" w:rsidRDefault="00FF096B">
            <w:pPr>
              <w:pStyle w:val="BlockText"/>
            </w:pPr>
            <w:r w:rsidRPr="004D2043">
              <w:t xml:space="preserve">Income is annualized for purposes of determining entitlement to </w:t>
            </w:r>
            <w:r w:rsidR="004B7CEB" w:rsidRPr="004D2043">
              <w:t>current-law</w:t>
            </w:r>
            <w:r w:rsidRPr="004D2043">
              <w:t xml:space="preserve"> Pension.  This means that all income must generally be counted for at least 12 months.  </w:t>
            </w:r>
          </w:p>
          <w:p w:rsidR="00FF096B" w:rsidRPr="004D2043" w:rsidRDefault="00FF096B">
            <w:pPr>
              <w:pStyle w:val="BlockText"/>
            </w:pPr>
          </w:p>
          <w:p w:rsidR="00FF096B" w:rsidRPr="004D2043" w:rsidRDefault="00FF096B">
            <w:pPr>
              <w:pStyle w:val="BlockText"/>
            </w:pPr>
            <w:r w:rsidRPr="004D2043">
              <w:t xml:space="preserve">It is useful to classify income before attempting to count it. </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Types</w:t>
            </w:r>
            <w:proofErr w:type="gramEnd"/>
            <w:r w:rsidRPr="004D2043">
              <w:t xml:space="preserve"> of Income</w:t>
            </w:r>
          </w:p>
        </w:tc>
        <w:tc>
          <w:tcPr>
            <w:tcW w:w="7740" w:type="dxa"/>
          </w:tcPr>
          <w:p w:rsidR="00FF096B" w:rsidRPr="004D2043" w:rsidRDefault="00FF096B">
            <w:pPr>
              <w:pStyle w:val="BlockText"/>
            </w:pPr>
            <w:r w:rsidRPr="004D2043">
              <w:t>The following four income classifications are defined in this topic:</w:t>
            </w:r>
          </w:p>
          <w:p w:rsidR="00FF096B" w:rsidRPr="004D2043" w:rsidRDefault="00FF096B">
            <w:pPr>
              <w:pStyle w:val="BlockText"/>
            </w:pPr>
          </w:p>
          <w:p w:rsidR="00FF096B" w:rsidRPr="004D2043" w:rsidRDefault="00FF096B">
            <w:pPr>
              <w:pStyle w:val="BulletText1"/>
            </w:pPr>
            <w:r w:rsidRPr="004D2043">
              <w:t>nonrecurring</w:t>
            </w:r>
          </w:p>
          <w:p w:rsidR="00FF096B" w:rsidRPr="004D2043" w:rsidRDefault="00FF096B">
            <w:pPr>
              <w:pStyle w:val="BulletText1"/>
            </w:pPr>
            <w:r w:rsidRPr="004D2043">
              <w:t>recurring</w:t>
            </w:r>
            <w:r w:rsidR="00732052" w:rsidRPr="004D2043">
              <w:t>,</w:t>
            </w:r>
          </w:p>
          <w:p w:rsidR="000F55D5" w:rsidRPr="004D2043" w:rsidRDefault="005A46D4" w:rsidP="004D2043">
            <w:pPr>
              <w:pStyle w:val="ListParagraph"/>
              <w:numPr>
                <w:ilvl w:val="0"/>
                <w:numId w:val="14"/>
              </w:numPr>
              <w:ind w:left="158" w:hanging="187"/>
            </w:pPr>
            <w:r w:rsidRPr="004D2043">
              <w:t>s</w:t>
            </w:r>
            <w:r w:rsidR="00FF096B" w:rsidRPr="004D2043">
              <w:t>hort-term recurring, and</w:t>
            </w:r>
          </w:p>
          <w:p w:rsidR="00FF096B" w:rsidRPr="004D2043" w:rsidRDefault="00FF096B">
            <w:pPr>
              <w:pStyle w:val="BulletText1"/>
            </w:pPr>
            <w:proofErr w:type="gramStart"/>
            <w:r w:rsidRPr="004D2043">
              <w:t>irregular</w:t>
            </w:r>
            <w:proofErr w:type="gramEnd"/>
            <w:r w:rsidRPr="004D2043">
              <w:t>.</w:t>
            </w:r>
          </w:p>
        </w:tc>
      </w:tr>
    </w:tbl>
    <w:p w:rsidR="00FF096B" w:rsidRPr="004D2043" w:rsidRDefault="00B16BA4">
      <w:pPr>
        <w:pStyle w:val="BlockLine"/>
      </w:pPr>
      <w:r w:rsidRPr="004D2043">
        <w:fldChar w:fldCharType="begin"/>
      </w:r>
      <w:r w:rsidRPr="004D2043">
        <w:instrText xml:space="preserve"> PRIVATE INFOTYPE="CONCEPT"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c.  Definition</w:t>
            </w:r>
            <w:proofErr w:type="gramEnd"/>
            <w:r w:rsidRPr="004D2043">
              <w:t>:  Nonrecurring Income</w:t>
            </w:r>
          </w:p>
        </w:tc>
        <w:tc>
          <w:tcPr>
            <w:tcW w:w="7740" w:type="dxa"/>
          </w:tcPr>
          <w:p w:rsidR="00FF096B" w:rsidRPr="004D2043" w:rsidRDefault="00FF096B">
            <w:pPr>
              <w:pStyle w:val="BlockText"/>
            </w:pPr>
            <w:r w:rsidRPr="004D2043">
              <w:rPr>
                <w:b/>
                <w:i/>
              </w:rPr>
              <w:t>Nonrecurring income</w:t>
            </w:r>
            <w:r w:rsidRPr="004D2043">
              <w:t xml:space="preserve"> is essentially a one-time receipt of income.  It is sometimes called “one-time income.”  The income recipient may receive nonrecurring income more than once during the income year, but each receipt is a separate and distinct event.</w:t>
            </w:r>
          </w:p>
          <w:p w:rsidR="00FF096B" w:rsidRPr="004D2043" w:rsidRDefault="00FF096B">
            <w:pPr>
              <w:pStyle w:val="BlockText"/>
            </w:pPr>
          </w:p>
          <w:p w:rsidR="00FF096B" w:rsidRPr="004D2043" w:rsidRDefault="00FF096B" w:rsidP="00D87613">
            <w:pPr>
              <w:pStyle w:val="BlockText"/>
            </w:pPr>
            <w:r w:rsidRPr="004D2043">
              <w:rPr>
                <w:b/>
                <w:bCs/>
                <w:i/>
                <w:iCs/>
              </w:rPr>
              <w:t>Reference</w:t>
            </w:r>
            <w:r w:rsidRPr="004D2043">
              <w:t>:  For an example of how to count nonrecurring income, see M21-1, Part V, Subpart iii, 1.E.</w:t>
            </w:r>
            <w:r w:rsidR="00D87613" w:rsidRPr="004D2043">
              <w:t>6</w:t>
            </w:r>
            <w:proofErr w:type="gramStart"/>
            <w:r w:rsidR="00D87613" w:rsidRPr="004D2043">
              <w:t>.</w:t>
            </w:r>
            <w:r w:rsidRPr="004D2043">
              <w:t>.</w:t>
            </w:r>
            <w:proofErr w:type="gramEnd"/>
          </w:p>
        </w:tc>
      </w:tr>
    </w:tbl>
    <w:p w:rsidR="00FF096B" w:rsidRPr="004D2043" w:rsidRDefault="00B16BA4">
      <w:pPr>
        <w:pStyle w:val="BlockLine"/>
      </w:pPr>
      <w:r w:rsidRPr="004D2043">
        <w:fldChar w:fldCharType="begin"/>
      </w:r>
      <w:r w:rsidRPr="004D2043">
        <w:instrText xml:space="preserve"> PRIVATE INFOTYPE="CONCEPT"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d.  Definition</w:t>
            </w:r>
            <w:proofErr w:type="gramEnd"/>
            <w:r w:rsidRPr="004D2043">
              <w:t>:  Recurring Income</w:t>
            </w:r>
          </w:p>
        </w:tc>
        <w:tc>
          <w:tcPr>
            <w:tcW w:w="7740" w:type="dxa"/>
          </w:tcPr>
          <w:p w:rsidR="00FF096B" w:rsidRPr="004D2043" w:rsidRDefault="00FF096B">
            <w:pPr>
              <w:pStyle w:val="BlockText"/>
            </w:pPr>
            <w:r w:rsidRPr="004D2043">
              <w:rPr>
                <w:b/>
                <w:i/>
              </w:rPr>
              <w:t>Recurring income</w:t>
            </w:r>
            <w:r w:rsidRPr="004D2043">
              <w:t xml:space="preserve"> is income that</w:t>
            </w:r>
          </w:p>
          <w:p w:rsidR="00FF096B" w:rsidRPr="004D2043" w:rsidRDefault="00FF096B">
            <w:pPr>
              <w:pStyle w:val="BlockText"/>
            </w:pPr>
          </w:p>
          <w:p w:rsidR="00FF096B" w:rsidRPr="004D2043" w:rsidRDefault="00FF096B">
            <w:pPr>
              <w:pStyle w:val="BulletText1"/>
            </w:pPr>
            <w:r w:rsidRPr="004D2043">
              <w:t xml:space="preserve">comes to the income recipient on a regular basis, such as weekly or monthly, and </w:t>
            </w:r>
          </w:p>
          <w:p w:rsidR="00FF096B" w:rsidRPr="004D2043" w:rsidRDefault="00FF096B">
            <w:pPr>
              <w:pStyle w:val="BulletText1"/>
            </w:pPr>
            <w:proofErr w:type="gramStart"/>
            <w:r w:rsidRPr="004D2043">
              <w:t>is</w:t>
            </w:r>
            <w:proofErr w:type="gramEnd"/>
            <w:r w:rsidRPr="004D2043">
              <w:t xml:space="preserve"> received in regular amounts.  </w:t>
            </w:r>
          </w:p>
          <w:p w:rsidR="00FF096B" w:rsidRPr="004D2043" w:rsidRDefault="00FF096B">
            <w:pPr>
              <w:pStyle w:val="BlockText"/>
            </w:pPr>
          </w:p>
          <w:p w:rsidR="00FF096B" w:rsidRPr="004D2043" w:rsidRDefault="00FF096B">
            <w:pPr>
              <w:pStyle w:val="BlockText"/>
            </w:pPr>
            <w:r w:rsidRPr="004D2043">
              <w:t xml:space="preserve">A monthly SS check is the most common example of recurring income.  </w:t>
            </w:r>
          </w:p>
          <w:p w:rsidR="00FF096B" w:rsidRPr="004D2043" w:rsidRDefault="00FF096B">
            <w:pPr>
              <w:pStyle w:val="BlockText"/>
            </w:pPr>
          </w:p>
          <w:p w:rsidR="00FF096B" w:rsidRPr="004D2043" w:rsidRDefault="00FF096B">
            <w:pPr>
              <w:pStyle w:val="BlockText"/>
            </w:pPr>
            <w:r w:rsidRPr="004D2043">
              <w:t xml:space="preserve">For </w:t>
            </w:r>
            <w:r w:rsidR="00CC646A" w:rsidRPr="004D2043">
              <w:t>current-law</w:t>
            </w:r>
            <w:r w:rsidRPr="004D2043">
              <w:t xml:space="preserve"> Pension purposes, recurring type income, such as monthly SS payments, must be counted on the VA award for at least 12 months to be considered recurring income.  Treat retroactive payments of recurring type benefits as nonrecurring income.</w:t>
            </w:r>
          </w:p>
          <w:p w:rsidR="00FF096B" w:rsidRPr="004D2043" w:rsidRDefault="00FF096B">
            <w:pPr>
              <w:pStyle w:val="BlockText"/>
            </w:pPr>
          </w:p>
          <w:p w:rsidR="00FF096B" w:rsidRPr="004D2043" w:rsidRDefault="00FF096B" w:rsidP="00CC646A">
            <w:pPr>
              <w:pStyle w:val="BlockText"/>
            </w:pPr>
            <w:r w:rsidRPr="004D2043">
              <w:rPr>
                <w:b/>
                <w:bCs/>
                <w:i/>
                <w:iCs/>
              </w:rPr>
              <w:t>Reference</w:t>
            </w:r>
            <w:r w:rsidRPr="004D2043">
              <w:t>:  For an example of how to count recurring income, see M21-1, Part V, Subpart iii, 1.E.</w:t>
            </w:r>
            <w:r w:rsidR="00D87613" w:rsidRPr="004D2043">
              <w:t>6</w:t>
            </w:r>
            <w:r w:rsidRPr="004D2043">
              <w:t>.</w:t>
            </w:r>
            <w:r w:rsidR="00CC646A" w:rsidRPr="004D2043">
              <w:t>e</w:t>
            </w:r>
          </w:p>
        </w:tc>
      </w:tr>
    </w:tbl>
    <w:p w:rsidR="00FF096B" w:rsidRPr="004D2043" w:rsidRDefault="00B16BA4">
      <w:pPr>
        <w:pStyle w:val="BlockLine"/>
      </w:pPr>
      <w:r w:rsidRPr="004D2043">
        <w:fldChar w:fldCharType="begin"/>
      </w:r>
      <w:r w:rsidRPr="004D2043">
        <w:instrText xml:space="preserve"> PRIVATE INFOTYPE="CONCEPT"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rsidP="00732052">
            <w:pPr>
              <w:pStyle w:val="Heading5"/>
            </w:pPr>
            <w:proofErr w:type="gramStart"/>
            <w:r w:rsidRPr="004D2043">
              <w:t>e.  Definition</w:t>
            </w:r>
            <w:proofErr w:type="gramEnd"/>
            <w:r w:rsidRPr="004D2043">
              <w:t>:  Short-Term Recurring Income</w:t>
            </w:r>
          </w:p>
        </w:tc>
        <w:tc>
          <w:tcPr>
            <w:tcW w:w="7740" w:type="dxa"/>
          </w:tcPr>
          <w:p w:rsidR="00FF096B" w:rsidRPr="004D2043" w:rsidRDefault="00FF096B">
            <w:pPr>
              <w:pStyle w:val="BlockText"/>
            </w:pPr>
            <w:r w:rsidRPr="004D2043">
              <w:rPr>
                <w:b/>
                <w:i/>
              </w:rPr>
              <w:t>Short-term recurring income</w:t>
            </w:r>
            <w:r w:rsidRPr="004D2043">
              <w:rPr>
                <w:i/>
              </w:rPr>
              <w:t xml:space="preserve"> </w:t>
            </w:r>
            <w:r w:rsidRPr="004D2043">
              <w:t xml:space="preserve">is recurring income that has not been counted on the VA award for at least 12 months.  </w:t>
            </w:r>
          </w:p>
          <w:p w:rsidR="00FF096B" w:rsidRPr="004D2043" w:rsidRDefault="00FF096B">
            <w:pPr>
              <w:pStyle w:val="BlockText"/>
            </w:pPr>
          </w:p>
          <w:p w:rsidR="00FF096B" w:rsidRPr="004D2043" w:rsidRDefault="00FF096B">
            <w:pPr>
              <w:pStyle w:val="BlockText"/>
            </w:pPr>
            <w:r w:rsidRPr="004D2043">
              <w:t>An example of short-term recurring income is regular wages that are counted on the award for six months when the beneficiary is laid off and the income stops.</w:t>
            </w:r>
          </w:p>
          <w:p w:rsidR="00FF096B" w:rsidRPr="004D2043" w:rsidRDefault="00FF096B">
            <w:pPr>
              <w:pStyle w:val="BlockText"/>
            </w:pPr>
          </w:p>
          <w:p w:rsidR="00FF096B" w:rsidRPr="004D2043" w:rsidRDefault="00FF096B" w:rsidP="00D65AF7">
            <w:pPr>
              <w:pStyle w:val="BlockText"/>
            </w:pPr>
            <w:r w:rsidRPr="004D2043">
              <w:rPr>
                <w:b/>
                <w:bCs/>
                <w:i/>
                <w:iCs/>
              </w:rPr>
              <w:t>Note</w:t>
            </w:r>
            <w:r w:rsidRPr="004D2043">
              <w:t xml:space="preserve">:  VA treats short-term recurring income as nonrecurring income for income calculation purposes.  See </w:t>
            </w:r>
            <w:hyperlink r:id="rId37" w:history="1">
              <w:r w:rsidR="006D50AE" w:rsidRPr="004D2043">
                <w:rPr>
                  <w:rStyle w:val="Hyperlink"/>
                </w:rPr>
                <w:t>38 CFR</w:t>
              </w:r>
              <w:r w:rsidRPr="004D2043">
                <w:rPr>
                  <w:rStyle w:val="Hyperlink"/>
                </w:rPr>
                <w:t xml:space="preserve"> 3.271(a)(1)</w:t>
              </w:r>
            </w:hyperlink>
            <w:r w:rsidR="00732052" w:rsidRPr="004D2043">
              <w:t xml:space="preserve"> and M21-1 V.iii.1.E.</w:t>
            </w:r>
            <w:r w:rsidR="00D65AF7" w:rsidRPr="004D2043">
              <w:t>6</w:t>
            </w:r>
          </w:p>
        </w:tc>
      </w:tr>
    </w:tbl>
    <w:p w:rsidR="00FF096B" w:rsidRPr="004D2043" w:rsidRDefault="00B16BA4">
      <w:pPr>
        <w:pStyle w:val="BlockLine"/>
      </w:pPr>
      <w:r w:rsidRPr="004D2043">
        <w:fldChar w:fldCharType="begin"/>
      </w:r>
      <w:r w:rsidRPr="004D2043">
        <w:instrText xml:space="preserve"> PRIVATE INFOTYPE="CONCEPT"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f.  Definition</w:t>
            </w:r>
            <w:proofErr w:type="gramEnd"/>
            <w:r w:rsidRPr="004D2043">
              <w:t>:  Irregular Income</w:t>
            </w:r>
          </w:p>
        </w:tc>
        <w:tc>
          <w:tcPr>
            <w:tcW w:w="7740" w:type="dxa"/>
          </w:tcPr>
          <w:p w:rsidR="00FF096B" w:rsidRPr="004D2043" w:rsidRDefault="00FF096B">
            <w:pPr>
              <w:pStyle w:val="BlockText"/>
            </w:pPr>
            <w:r w:rsidRPr="004D2043">
              <w:rPr>
                <w:b/>
                <w:i/>
              </w:rPr>
              <w:t>Irregular income</w:t>
            </w:r>
            <w:r w:rsidRPr="004D2043">
              <w:t xml:space="preserve"> is an intermediate category of income that has characteristics of both recurring and nonrecurring income.  In general, irregular income is income that is received several times during an income reporting period, but which comes at irregular intervals or in irregular amounts.  </w:t>
            </w:r>
          </w:p>
          <w:p w:rsidR="00FF096B" w:rsidRPr="004D2043" w:rsidRDefault="00FF096B">
            <w:pPr>
              <w:pStyle w:val="BlockText"/>
            </w:pPr>
          </w:p>
          <w:p w:rsidR="00FF096B" w:rsidRPr="004D2043" w:rsidRDefault="00FF096B">
            <w:pPr>
              <w:pStyle w:val="BlockText"/>
            </w:pPr>
            <w:r w:rsidRPr="004D2043">
              <w:t xml:space="preserve">Examples of irregular income include </w:t>
            </w:r>
          </w:p>
          <w:p w:rsidR="00FF096B" w:rsidRPr="004D2043" w:rsidRDefault="00FF096B">
            <w:pPr>
              <w:pStyle w:val="BlockText"/>
            </w:pPr>
          </w:p>
          <w:p w:rsidR="00FF096B" w:rsidRPr="004D2043" w:rsidRDefault="00FF096B">
            <w:pPr>
              <w:pStyle w:val="BulletText1"/>
            </w:pPr>
            <w:r w:rsidRPr="004D2043">
              <w:t xml:space="preserve">earned income from odd jobs, and </w:t>
            </w:r>
          </w:p>
          <w:p w:rsidR="00FF096B" w:rsidRPr="004D2043" w:rsidRDefault="00FF096B">
            <w:pPr>
              <w:pStyle w:val="BulletText1"/>
            </w:pPr>
            <w:proofErr w:type="gramStart"/>
            <w:r w:rsidRPr="004D2043">
              <w:t>interest</w:t>
            </w:r>
            <w:proofErr w:type="gramEnd"/>
            <w:r w:rsidRPr="004D2043">
              <w:t xml:space="preserve"> income where the rate of return fluctuates.  </w:t>
            </w:r>
          </w:p>
          <w:p w:rsidR="00FF096B" w:rsidRPr="004D2043" w:rsidRDefault="00FF096B">
            <w:pPr>
              <w:pStyle w:val="BlockText"/>
            </w:pPr>
          </w:p>
          <w:p w:rsidR="00FF096B" w:rsidRPr="004D2043" w:rsidRDefault="00FF096B">
            <w:pPr>
              <w:pStyle w:val="BlockText"/>
            </w:pPr>
            <w:r w:rsidRPr="004D2043">
              <w:t>Normally, irregular income is reported after the fact</w:t>
            </w:r>
            <w:r w:rsidR="002D4EBF" w:rsidRPr="004D2043">
              <w:t>.</w:t>
            </w:r>
          </w:p>
          <w:p w:rsidR="00FF096B" w:rsidRPr="004D2043" w:rsidRDefault="00FF096B">
            <w:pPr>
              <w:pStyle w:val="BlockText"/>
            </w:pPr>
          </w:p>
          <w:p w:rsidR="00FF096B" w:rsidRPr="004D2043" w:rsidRDefault="00FF096B">
            <w:pPr>
              <w:pStyle w:val="BlockText"/>
            </w:pPr>
            <w:r w:rsidRPr="004D2043">
              <w:rPr>
                <w:b/>
                <w:bCs/>
                <w:i/>
                <w:iCs/>
              </w:rPr>
              <w:t>Reference</w:t>
            </w:r>
            <w:r w:rsidRPr="004D2043">
              <w:t>:  For examples of how to count irregular income, see</w:t>
            </w:r>
          </w:p>
          <w:p w:rsidR="00FF096B" w:rsidRPr="004D2043" w:rsidRDefault="00FF096B">
            <w:pPr>
              <w:pStyle w:val="BulletText1"/>
            </w:pPr>
            <w:r w:rsidRPr="004D2043">
              <w:rPr>
                <w:rStyle w:val="Hyperlink"/>
              </w:rPr>
              <w:t>M21-1, Part V, Subpart iii, 1.E.</w:t>
            </w:r>
            <w:r w:rsidR="0005366E" w:rsidRPr="004D2043">
              <w:rPr>
                <w:rStyle w:val="Hyperlink"/>
              </w:rPr>
              <w:t>6</w:t>
            </w:r>
          </w:p>
        </w:tc>
      </w:tr>
    </w:tbl>
    <w:p w:rsidR="00FF096B" w:rsidRPr="004D2043" w:rsidRDefault="00FF096B">
      <w:pPr>
        <w:pStyle w:val="BlockLine"/>
      </w:pPr>
    </w:p>
    <w:p w:rsidR="00FF096B" w:rsidRPr="004D2043" w:rsidRDefault="00FF096B">
      <w:pPr>
        <w:pStyle w:val="Heading4"/>
      </w:pPr>
      <w:r w:rsidRPr="004D2043">
        <w:br w:type="page"/>
      </w:r>
      <w:r w:rsidR="002D4EBF" w:rsidRPr="004D2043">
        <w:lastRenderedPageBreak/>
        <w:t>6</w:t>
      </w:r>
      <w:r w:rsidRPr="004D2043">
        <w:t>.  Counting Income for Department of Veterans Affairs Purposes (IVAP)</w:t>
      </w:r>
    </w:p>
    <w:p w:rsidR="00FF096B" w:rsidRPr="004D2043" w:rsidRDefault="00FF096B">
      <w:pPr>
        <w:pStyle w:val="BlockLine"/>
      </w:pPr>
      <w:r w:rsidRPr="004D2043">
        <w:fldChar w:fldCharType="begin"/>
      </w:r>
      <w:r w:rsidRPr="004D2043">
        <w:instrText xml:space="preserve"> PRIVATE INFOTYPE="OTHER"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This topic contains information on calculating IVAP, including</w:t>
            </w:r>
          </w:p>
          <w:p w:rsidR="00FF096B" w:rsidRPr="004D2043" w:rsidRDefault="00FF096B">
            <w:pPr>
              <w:pStyle w:val="BlockText"/>
            </w:pPr>
          </w:p>
          <w:p w:rsidR="00FF096B" w:rsidRPr="004D2043" w:rsidRDefault="00FF096B">
            <w:pPr>
              <w:pStyle w:val="BulletText1"/>
            </w:pPr>
            <w:r w:rsidRPr="004D2043">
              <w:t xml:space="preserve">counting </w:t>
            </w:r>
          </w:p>
          <w:p w:rsidR="00FF096B" w:rsidRPr="004D2043" w:rsidRDefault="00FF096B" w:rsidP="00CD4C2A">
            <w:pPr>
              <w:pStyle w:val="BulletText2"/>
            </w:pPr>
            <w:r w:rsidRPr="004D2043">
              <w:t>nonrecurring income and two examples</w:t>
            </w:r>
          </w:p>
          <w:p w:rsidR="00FF096B" w:rsidRPr="004D2043" w:rsidRDefault="00FF096B" w:rsidP="00CD4C2A">
            <w:pPr>
              <w:pStyle w:val="BulletText2"/>
            </w:pPr>
            <w:r w:rsidRPr="004D2043">
              <w:t>recurring income</w:t>
            </w:r>
          </w:p>
          <w:p w:rsidR="00FF096B" w:rsidRPr="004D2043" w:rsidRDefault="00FF096B" w:rsidP="00CD4C2A">
            <w:pPr>
              <w:pStyle w:val="BulletText2"/>
            </w:pPr>
            <w:r w:rsidRPr="004D2043">
              <w:t>irregular income and three examples</w:t>
            </w:r>
          </w:p>
          <w:p w:rsidR="00FF096B" w:rsidRPr="004D2043" w:rsidRDefault="00FF096B">
            <w:pPr>
              <w:pStyle w:val="BulletText1"/>
            </w:pPr>
            <w:r w:rsidRPr="004D2043">
              <w:t xml:space="preserve">irregular income and original or </w:t>
            </w:r>
            <w:r w:rsidR="009B5131" w:rsidRPr="004D2043">
              <w:t xml:space="preserve">new </w:t>
            </w:r>
            <w:r w:rsidRPr="004D2043">
              <w:t>awards</w:t>
            </w:r>
          </w:p>
          <w:p w:rsidR="00FF096B" w:rsidRPr="004D2043" w:rsidRDefault="00FF096B">
            <w:pPr>
              <w:pStyle w:val="BulletText1"/>
            </w:pPr>
            <w:r w:rsidRPr="004D2043">
              <w:t>irregular income and the end-of-the-month rule</w:t>
            </w:r>
          </w:p>
          <w:p w:rsidR="00FF096B" w:rsidRPr="004D2043" w:rsidRDefault="00FF096B">
            <w:pPr>
              <w:pStyle w:val="BulletText1"/>
            </w:pPr>
            <w:r w:rsidRPr="004D2043">
              <w:t>reclassifying income as irregular income</w:t>
            </w:r>
          </w:p>
          <w:p w:rsidR="00023D8F" w:rsidRPr="004D2043" w:rsidRDefault="00023D8F">
            <w:pPr>
              <w:pStyle w:val="BulletText1"/>
            </w:pPr>
            <w:r w:rsidRPr="004D2043">
              <w:t>counting short-term recurring income</w:t>
            </w:r>
          </w:p>
          <w:p w:rsidR="00B951B9" w:rsidRPr="004D2043" w:rsidRDefault="00B951B9">
            <w:pPr>
              <w:pStyle w:val="BulletText1"/>
            </w:pPr>
            <w:r w:rsidRPr="004D2043">
              <w:t>counting hard-to-classify income</w:t>
            </w:r>
          </w:p>
          <w:p w:rsidR="00FF096B" w:rsidRPr="004D2043" w:rsidRDefault="00FF096B">
            <w:pPr>
              <w:pStyle w:val="BulletText1"/>
            </w:pPr>
            <w:r w:rsidRPr="004D2043">
              <w:t>income received before the effective date of the award and one example</w:t>
            </w:r>
          </w:p>
          <w:p w:rsidR="00FF096B" w:rsidRPr="004D2043" w:rsidRDefault="00FF096B">
            <w:pPr>
              <w:pStyle w:val="BulletText1"/>
            </w:pPr>
            <w:r w:rsidRPr="004D2043">
              <w:t>income received before date of death</w:t>
            </w:r>
          </w:p>
          <w:p w:rsidR="00FF096B" w:rsidRPr="004D2043" w:rsidRDefault="00FF096B">
            <w:pPr>
              <w:pStyle w:val="BulletText1"/>
            </w:pPr>
            <w:r w:rsidRPr="004D2043">
              <w:t>date of the receipt of income is not known</w:t>
            </w:r>
          </w:p>
          <w:p w:rsidR="00FF096B" w:rsidRPr="004D2043" w:rsidRDefault="00FF096B">
            <w:pPr>
              <w:pStyle w:val="BulletText1"/>
            </w:pPr>
            <w:r w:rsidRPr="004D2043">
              <w:t>determining when income is received, and</w:t>
            </w:r>
          </w:p>
          <w:p w:rsidR="00FF096B" w:rsidRPr="004D2043" w:rsidRDefault="00FF096B">
            <w:pPr>
              <w:pStyle w:val="BulletText1"/>
            </w:pPr>
            <w:proofErr w:type="gramStart"/>
            <w:r w:rsidRPr="004D2043">
              <w:t>renouncement</w:t>
            </w:r>
            <w:proofErr w:type="gramEnd"/>
            <w:r w:rsidRPr="004D2043">
              <w:t xml:space="preserve"> of benefits under </w:t>
            </w:r>
            <w:r w:rsidR="006D50AE" w:rsidRPr="004D2043">
              <w:t>38 CFR</w:t>
            </w:r>
            <w:r w:rsidRPr="004D2043">
              <w:t xml:space="preserve"> 3.106(c).</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Counting</w:t>
            </w:r>
            <w:proofErr w:type="gramEnd"/>
            <w:r w:rsidRPr="004D2043">
              <w:t xml:space="preserve"> Nonrecurring Income</w:t>
            </w:r>
          </w:p>
        </w:tc>
        <w:tc>
          <w:tcPr>
            <w:tcW w:w="7740" w:type="dxa"/>
          </w:tcPr>
          <w:p w:rsidR="00FF096B" w:rsidRPr="004D2043" w:rsidRDefault="00FF096B">
            <w:pPr>
              <w:pStyle w:val="BlockText"/>
            </w:pPr>
            <w:r w:rsidRPr="004D2043">
              <w:t>Count nonrecurring income for 12 months from the first day of the month after the month during which the income is received.</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Example</w:t>
            </w:r>
            <w:proofErr w:type="gramEnd"/>
            <w:r w:rsidRPr="004D2043">
              <w:t xml:space="preserve"> 1:  Counting Nonrecurring Income</w:t>
            </w:r>
          </w:p>
        </w:tc>
        <w:tc>
          <w:tcPr>
            <w:tcW w:w="7740" w:type="dxa"/>
          </w:tcPr>
          <w:p w:rsidR="00FF096B" w:rsidRPr="004D2043" w:rsidRDefault="00FF096B">
            <w:pPr>
              <w:pStyle w:val="BlockText"/>
            </w:pPr>
            <w:r w:rsidRPr="004D2043">
              <w:t xml:space="preserve">A Veteran receives a $500 SS retroactive check on March 14, </w:t>
            </w:r>
            <w:r w:rsidR="00AD3566" w:rsidRPr="004D2043">
              <w:t>2015</w:t>
            </w:r>
            <w:r w:rsidRPr="004D2043">
              <w:t xml:space="preserve">.  Count this income starting April 1, </w:t>
            </w:r>
            <w:r w:rsidR="00AD3566" w:rsidRPr="004D2043">
              <w:t>2015</w:t>
            </w:r>
            <w:r w:rsidRPr="004D2043">
              <w:t xml:space="preserve">, and remove it April 1, </w:t>
            </w:r>
            <w:r w:rsidR="00AD3566" w:rsidRPr="004D2043">
              <w:t>2016</w:t>
            </w:r>
            <w:r w:rsidRPr="004D2043">
              <w:t>.</w:t>
            </w:r>
          </w:p>
          <w:p w:rsidR="00FF096B" w:rsidRPr="004D2043" w:rsidRDefault="00FF096B" w:rsidP="0044326F">
            <w:pPr>
              <w:pStyle w:val="BlockText"/>
            </w:pPr>
          </w:p>
          <w:p w:rsidR="00FF096B" w:rsidRPr="004D2043" w:rsidRDefault="00FF096B">
            <w:pPr>
              <w:pStyle w:val="BlockText"/>
            </w:pPr>
            <w:r w:rsidRPr="004D2043">
              <w:rPr>
                <w:b/>
                <w:i/>
              </w:rPr>
              <w:t>Note</w:t>
            </w:r>
            <w:r w:rsidRPr="004D2043">
              <w:t xml:space="preserve">:  If the nonrecurring income causes the award to be discontinued, </w:t>
            </w:r>
            <w:hyperlink r:id="rId38" w:anchor="se38.1.3_131" w:history="1">
              <w:r w:rsidR="006D50AE" w:rsidRPr="004D2043">
                <w:rPr>
                  <w:rStyle w:val="Hyperlink"/>
                </w:rPr>
                <w:t>38 CFR</w:t>
              </w:r>
              <w:r w:rsidRPr="004D2043">
                <w:rPr>
                  <w:rStyle w:val="Hyperlink"/>
                </w:rPr>
                <w:t xml:space="preserve"> 3.31</w:t>
              </w:r>
            </w:hyperlink>
            <w:r w:rsidRPr="004D2043">
              <w:t xml:space="preserve"> applies to a reopened award and the beneficiary is ineligible for 13 months.  </w:t>
            </w:r>
          </w:p>
          <w:p w:rsidR="00FF096B" w:rsidRPr="004D2043" w:rsidRDefault="00FF096B">
            <w:pPr>
              <w:pStyle w:val="BlockText"/>
            </w:pPr>
          </w:p>
          <w:p w:rsidR="00FF096B" w:rsidRPr="004D2043" w:rsidRDefault="00FF096B">
            <w:pPr>
              <w:pStyle w:val="BlockText"/>
            </w:pPr>
            <w:r w:rsidRPr="004D2043">
              <w:rPr>
                <w:b/>
                <w:i/>
              </w:rPr>
              <w:t>Reference</w:t>
            </w:r>
            <w:r w:rsidRPr="004D2043">
              <w:t xml:space="preserve">:  For more information about the payment period, see </w:t>
            </w:r>
            <w:hyperlink r:id="rId39" w:history="1">
              <w:r w:rsidRPr="004D2043">
                <w:rPr>
                  <w:rStyle w:val="Hyperlink"/>
                </w:rPr>
                <w:t>M21-1, Part V, Subpart iii, 1.A.7</w:t>
              </w:r>
            </w:hyperlink>
            <w:r w:rsidRPr="004D2043">
              <w:t>.</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r w:rsidR="00FF096B" w:rsidRPr="004D2043">
        <w:t xml:space="preserve"> </w:t>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c.  Example</w:t>
            </w:r>
            <w:proofErr w:type="gramEnd"/>
            <w:r w:rsidRPr="004D2043">
              <w:t xml:space="preserve"> 2: Counting Nonrecurring Income</w:t>
            </w:r>
          </w:p>
        </w:tc>
        <w:tc>
          <w:tcPr>
            <w:tcW w:w="7740" w:type="dxa"/>
          </w:tcPr>
          <w:p w:rsidR="00FF096B" w:rsidRPr="004D2043" w:rsidRDefault="0063239D">
            <w:pPr>
              <w:pStyle w:val="BlockText"/>
            </w:pPr>
            <w:r w:rsidRPr="004D2043">
              <w:rPr>
                <w:b/>
                <w:bCs/>
                <w:i/>
                <w:iCs/>
              </w:rPr>
              <w:t>Example</w:t>
            </w:r>
            <w:r w:rsidRPr="004D2043">
              <w:rPr>
                <w:b/>
                <w:bCs/>
                <w:iCs/>
              </w:rPr>
              <w:t>:</w:t>
            </w:r>
            <w:r w:rsidR="00FF096B" w:rsidRPr="004D2043">
              <w:t xml:space="preserve">  A single Veteran has $9,000 per year in recurring income.  The Veteran receives one-time income of $500 on March 14, </w:t>
            </w:r>
            <w:r w:rsidR="002D4EBF" w:rsidRPr="004D2043">
              <w:t>2014</w:t>
            </w:r>
            <w:r w:rsidR="00FF096B" w:rsidRPr="004D2043">
              <w:t xml:space="preserve">, and a second one-time income of $600 on July 20, </w:t>
            </w:r>
            <w:r w:rsidR="002D4EBF" w:rsidRPr="004D2043">
              <w:t>2014</w:t>
            </w:r>
            <w:r w:rsidR="00FF096B" w:rsidRPr="004D2043">
              <w:t>.</w:t>
            </w:r>
          </w:p>
          <w:p w:rsidR="00FF096B" w:rsidRPr="004D2043" w:rsidRDefault="00FF096B">
            <w:pPr>
              <w:pStyle w:val="BlockText"/>
            </w:pPr>
          </w:p>
          <w:p w:rsidR="00FF096B" w:rsidRPr="004D2043" w:rsidRDefault="00FF096B">
            <w:pPr>
              <w:pStyle w:val="BlockText"/>
            </w:pPr>
            <w:r w:rsidRPr="004D2043">
              <w:t>Adjust the award as shown in the table below:</w:t>
            </w:r>
          </w:p>
        </w:tc>
      </w:tr>
    </w:tbl>
    <w:p w:rsidR="00FF096B" w:rsidRPr="004D2043" w:rsidRDefault="00FF096B"/>
    <w:tbl>
      <w:tblPr>
        <w:tblW w:w="0" w:type="auto"/>
        <w:tblInd w:w="1829" w:type="dxa"/>
        <w:tblLayout w:type="fixed"/>
        <w:tblLook w:val="0000" w:firstRow="0" w:lastRow="0" w:firstColumn="0" w:lastColumn="0" w:noHBand="0" w:noVBand="0"/>
      </w:tblPr>
      <w:tblGrid>
        <w:gridCol w:w="1609"/>
        <w:gridCol w:w="1440"/>
        <w:gridCol w:w="1530"/>
        <w:gridCol w:w="2969"/>
      </w:tblGrid>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lastRenderedPageBreak/>
              <w:t>Date</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Rate</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w:t>
            </w:r>
          </w:p>
        </w:tc>
      </w:tr>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rsidP="00470A94">
            <w:pPr>
              <w:pStyle w:val="TableText"/>
            </w:pPr>
            <w:r w:rsidRPr="004D2043">
              <w:t>04-01-</w:t>
            </w:r>
            <w:r w:rsidR="00470A94" w:rsidRPr="004D2043">
              <w:t>2014</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$89.00</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9500</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rsidP="002D4EBF">
            <w:pPr>
              <w:pStyle w:val="TableText"/>
            </w:pPr>
            <w:r w:rsidRPr="004D2043">
              <w:t xml:space="preserve">$500 nonrecurring income received March 14, </w:t>
            </w:r>
            <w:r w:rsidR="002D4EBF" w:rsidRPr="004D2043">
              <w:t>2014</w:t>
            </w:r>
            <w:r w:rsidRPr="004D2043">
              <w:t>.</w:t>
            </w:r>
          </w:p>
        </w:tc>
      </w:tr>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rsidP="00470A94">
            <w:pPr>
              <w:pStyle w:val="TableText"/>
            </w:pPr>
            <w:r w:rsidRPr="004D2043">
              <w:t>08-01-</w:t>
            </w:r>
            <w:r w:rsidR="00470A94" w:rsidRPr="004D2043">
              <w:t>2014</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$39.00</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10100</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rsidP="002D4EBF">
            <w:pPr>
              <w:pStyle w:val="TableText"/>
            </w:pPr>
            <w:r w:rsidRPr="004D2043">
              <w:t xml:space="preserve">$600 nonrecurring income received July 20, </w:t>
            </w:r>
            <w:r w:rsidR="002D4EBF" w:rsidRPr="004D2043">
              <w:t>2014</w:t>
            </w:r>
            <w:r w:rsidRPr="004D2043">
              <w:t>.</w:t>
            </w:r>
          </w:p>
        </w:tc>
      </w:tr>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rsidP="00470A94">
            <w:pPr>
              <w:pStyle w:val="TableText"/>
            </w:pPr>
            <w:r w:rsidRPr="004D2043">
              <w:t>12-01-</w:t>
            </w:r>
            <w:r w:rsidR="00470A94" w:rsidRPr="004D2043">
              <w:t>2014</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$69.00</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10100</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Cost-of-living adjustment (COLA).</w:t>
            </w:r>
          </w:p>
        </w:tc>
      </w:tr>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rsidP="00470A94">
            <w:pPr>
              <w:pStyle w:val="TableText"/>
            </w:pPr>
            <w:r w:rsidRPr="004D2043">
              <w:t>04-01-</w:t>
            </w:r>
            <w:r w:rsidR="00470A94" w:rsidRPr="004D2043">
              <w:t>2015</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$110.00</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9600</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$500 removed.</w:t>
            </w:r>
          </w:p>
        </w:tc>
      </w:tr>
      <w:tr w:rsidR="00FF096B" w:rsidRPr="004D2043">
        <w:trPr>
          <w:cantSplit/>
          <w:trHeight w:val="290"/>
        </w:trPr>
        <w:tc>
          <w:tcPr>
            <w:tcW w:w="1609" w:type="dxa"/>
            <w:tcBorders>
              <w:top w:val="single" w:sz="6" w:space="0" w:color="auto"/>
              <w:left w:val="single" w:sz="6" w:space="0" w:color="auto"/>
              <w:bottom w:val="single" w:sz="6" w:space="0" w:color="auto"/>
              <w:right w:val="single" w:sz="6" w:space="0" w:color="auto"/>
            </w:tcBorders>
          </w:tcPr>
          <w:p w:rsidR="00FF096B" w:rsidRPr="004D2043" w:rsidRDefault="00FF096B" w:rsidP="00470A94">
            <w:pPr>
              <w:pStyle w:val="TableText"/>
            </w:pPr>
            <w:r w:rsidRPr="004D2043">
              <w:t>08-01-</w:t>
            </w:r>
            <w:r w:rsidR="00470A94" w:rsidRPr="004D2043">
              <w:t>2015</w:t>
            </w:r>
          </w:p>
        </w:tc>
        <w:tc>
          <w:tcPr>
            <w:tcW w:w="144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$160.00</w:t>
            </w:r>
          </w:p>
        </w:tc>
        <w:tc>
          <w:tcPr>
            <w:tcW w:w="153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9000</w:t>
            </w:r>
          </w:p>
        </w:tc>
        <w:tc>
          <w:tcPr>
            <w:tcW w:w="296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$600 removed.</w:t>
            </w:r>
          </w:p>
        </w:tc>
      </w:tr>
    </w:tbl>
    <w:p w:rsidR="00FF096B" w:rsidRPr="004D2043" w:rsidRDefault="00FF096B"/>
    <w:tbl>
      <w:tblPr>
        <w:tblW w:w="0" w:type="auto"/>
        <w:tblInd w:w="1728" w:type="dxa"/>
        <w:tblLayout w:type="fixed"/>
        <w:tblLook w:val="0000" w:firstRow="0" w:lastRow="0" w:firstColumn="0" w:lastColumn="0" w:noHBand="0" w:noVBand="0"/>
      </w:tblPr>
      <w:tblGrid>
        <w:gridCol w:w="7740"/>
      </w:tblGrid>
      <w:tr w:rsidR="00FF096B" w:rsidRPr="004D2043">
        <w:trPr>
          <w:cantSplit/>
        </w:trPr>
        <w:tc>
          <w:tcPr>
            <w:tcW w:w="7740" w:type="dxa"/>
          </w:tcPr>
          <w:p w:rsidR="00FF096B" w:rsidRPr="004D2043" w:rsidRDefault="00FF096B" w:rsidP="002D4EBF">
            <w:pPr>
              <w:pStyle w:val="NoteText"/>
            </w:pPr>
            <w:r w:rsidRPr="004D2043">
              <w:rPr>
                <w:b/>
                <w:bCs/>
                <w:i/>
                <w:iCs/>
              </w:rPr>
              <w:t>Note</w:t>
            </w:r>
            <w:r w:rsidRPr="004D2043">
              <w:t xml:space="preserve">:  </w:t>
            </w:r>
            <w:hyperlink r:id="rId40" w:anchor="se38.1.3_131" w:history="1">
              <w:r w:rsidR="006D50AE" w:rsidRPr="004D2043">
                <w:rPr>
                  <w:rStyle w:val="Hyperlink"/>
                </w:rPr>
                <w:t>38 CFR</w:t>
              </w:r>
              <w:r w:rsidRPr="004D2043">
                <w:rPr>
                  <w:rStyle w:val="Hyperlink"/>
                </w:rPr>
                <w:t xml:space="preserve"> 3.31</w:t>
              </w:r>
            </w:hyperlink>
            <w:r w:rsidRPr="004D2043">
              <w:t xml:space="preserve"> does not apply to the rate changes on April 1, </w:t>
            </w:r>
            <w:r w:rsidR="002D4EBF" w:rsidRPr="004D2043">
              <w:t>2015</w:t>
            </w:r>
            <w:r w:rsidRPr="004D2043">
              <w:t xml:space="preserve">, and August 1, </w:t>
            </w:r>
            <w:r w:rsidR="002D4EBF" w:rsidRPr="004D2043">
              <w:t>2015</w:t>
            </w:r>
            <w:r w:rsidRPr="004D2043">
              <w:t>.</w:t>
            </w:r>
          </w:p>
        </w:tc>
      </w:tr>
    </w:tbl>
    <w:p w:rsidR="006E6587" w:rsidRPr="004D2043" w:rsidRDefault="006E6587">
      <w:pPr>
        <w:pStyle w:val="BlockLine"/>
      </w:pPr>
    </w:p>
    <w:tbl>
      <w:tblPr>
        <w:tblW w:w="0" w:type="auto"/>
        <w:tblLook w:val="04A0" w:firstRow="1" w:lastRow="0" w:firstColumn="1" w:lastColumn="0" w:noHBand="0" w:noVBand="1"/>
      </w:tblPr>
      <w:tblGrid>
        <w:gridCol w:w="1728"/>
        <w:gridCol w:w="7740"/>
      </w:tblGrid>
      <w:tr w:rsidR="00470A94" w:rsidRPr="004D2043" w:rsidTr="00817512">
        <w:tc>
          <w:tcPr>
            <w:tcW w:w="1728" w:type="dxa"/>
            <w:shd w:val="clear" w:color="auto" w:fill="auto"/>
          </w:tcPr>
          <w:p w:rsidR="00470A94" w:rsidRPr="004D2043" w:rsidRDefault="00470A94" w:rsidP="00817512">
            <w:pPr>
              <w:rPr>
                <w:b/>
                <w:sz w:val="22"/>
              </w:rPr>
            </w:pPr>
            <w:r w:rsidRPr="004D2043">
              <w:rPr>
                <w:b/>
                <w:sz w:val="22"/>
              </w:rPr>
              <w:t>d. Example 2: Counting Multiple Non Recurring Income When One income terminates benefits</w:t>
            </w:r>
          </w:p>
        </w:tc>
        <w:tc>
          <w:tcPr>
            <w:tcW w:w="7740" w:type="dxa"/>
            <w:shd w:val="clear" w:color="auto" w:fill="auto"/>
          </w:tcPr>
          <w:p w:rsidR="00470A94" w:rsidRPr="004D2043" w:rsidRDefault="00EA30F0" w:rsidP="00817512">
            <w:hyperlink r:id="rId41" w:anchor="se38.1.3_131" w:history="1">
              <w:r w:rsidR="00470A94" w:rsidRPr="004D2043">
                <w:rPr>
                  <w:rStyle w:val="Hyperlink"/>
                </w:rPr>
                <w:t>38 CFR 3.31</w:t>
              </w:r>
            </w:hyperlink>
            <w:r w:rsidR="004E7E4A" w:rsidRPr="004D2043">
              <w:t xml:space="preserve"> does not apply when there are</w:t>
            </w:r>
            <w:r w:rsidR="00470A94" w:rsidRPr="004D2043">
              <w:t xml:space="preserve"> multiple</w:t>
            </w:r>
            <w:r w:rsidR="006D7559" w:rsidRPr="004D2043">
              <w:t xml:space="preserve"> instances of</w:t>
            </w:r>
            <w:r w:rsidR="00470A94" w:rsidRPr="004D2043">
              <w:t xml:space="preserve"> </w:t>
            </w:r>
            <w:proofErr w:type="spellStart"/>
            <w:r w:rsidR="00470A94" w:rsidRPr="004D2043">
              <w:t>non recurring</w:t>
            </w:r>
            <w:proofErr w:type="spellEnd"/>
            <w:r w:rsidR="00470A94" w:rsidRPr="004D2043">
              <w:t xml:space="preserve"> income that is counted for 12 months and removal of one income brings claimant</w:t>
            </w:r>
            <w:r w:rsidR="004E7E4A" w:rsidRPr="004D2043">
              <w:t>s IVAP</w:t>
            </w:r>
            <w:r w:rsidR="00470A94" w:rsidRPr="004D2043">
              <w:t xml:space="preserve"> within the MAPR.</w:t>
            </w:r>
          </w:p>
          <w:p w:rsidR="00470A94" w:rsidRPr="004D2043" w:rsidRDefault="00470A94" w:rsidP="00817512"/>
          <w:p w:rsidR="00470A94" w:rsidRPr="004D2043" w:rsidRDefault="0063239D" w:rsidP="00817512">
            <w:r w:rsidRPr="004D2043">
              <w:rPr>
                <w:b/>
                <w:i/>
              </w:rPr>
              <w:t>Example</w:t>
            </w:r>
            <w:r w:rsidRPr="004D2043">
              <w:rPr>
                <w:b/>
              </w:rPr>
              <w:t>:</w:t>
            </w:r>
            <w:r w:rsidR="00470A94" w:rsidRPr="004D2043">
              <w:t xml:space="preserve"> A single Veteran has $9</w:t>
            </w:r>
            <w:r w:rsidR="007C2F6F" w:rsidRPr="004D2043">
              <w:t>,</w:t>
            </w:r>
            <w:r w:rsidR="00470A94" w:rsidRPr="004D2043">
              <w:t>000 in annual recurring in</w:t>
            </w:r>
            <w:r w:rsidR="007C2F6F" w:rsidRPr="004D2043">
              <w:t>come. The Veteran receives</w:t>
            </w:r>
            <w:r w:rsidR="00470A94" w:rsidRPr="004D2043">
              <w:t xml:space="preserve"> one</w:t>
            </w:r>
            <w:r w:rsidR="001062D6" w:rsidRPr="004D2043">
              <w:t>-</w:t>
            </w:r>
            <w:r w:rsidR="00470A94" w:rsidRPr="004D2043">
              <w:t>time income of $2</w:t>
            </w:r>
            <w:r w:rsidR="007C2F6F" w:rsidRPr="004D2043">
              <w:t>,</w:t>
            </w:r>
            <w:r w:rsidR="00470A94" w:rsidRPr="004D2043">
              <w:t xml:space="preserve">000 on </w:t>
            </w:r>
            <w:r w:rsidR="004E7E4A" w:rsidRPr="004D2043">
              <w:t>March 5, 2015</w:t>
            </w:r>
            <w:r w:rsidR="001062D6" w:rsidRPr="004D2043">
              <w:t>,</w:t>
            </w:r>
            <w:r w:rsidR="004E7E4A" w:rsidRPr="004D2043">
              <w:t xml:space="preserve"> and $2</w:t>
            </w:r>
            <w:r w:rsidR="007C2F6F" w:rsidRPr="004D2043">
              <w:t>,</w:t>
            </w:r>
            <w:r w:rsidR="004E7E4A" w:rsidRPr="004D2043">
              <w:t>2</w:t>
            </w:r>
            <w:r w:rsidR="00470A94" w:rsidRPr="004D2043">
              <w:t>00 on April 2, 2015.</w:t>
            </w:r>
          </w:p>
          <w:p w:rsidR="00470A94" w:rsidRPr="004D2043" w:rsidRDefault="00470A94" w:rsidP="00817512"/>
          <w:p w:rsidR="00470A94" w:rsidRPr="004D2043" w:rsidRDefault="00470A94" w:rsidP="00817512">
            <w:r w:rsidRPr="004D2043">
              <w:rPr>
                <w:b/>
                <w:i/>
              </w:rPr>
              <w:t>Result:</w:t>
            </w:r>
            <w:r w:rsidRPr="004D2043">
              <w:t xml:space="preserve"> Adjust the award as shown in the table below:</w:t>
            </w:r>
          </w:p>
        </w:tc>
      </w:tr>
    </w:tbl>
    <w:p w:rsidR="00470A94" w:rsidRPr="004D2043" w:rsidRDefault="00470A94" w:rsidP="00470A94"/>
    <w:p w:rsidR="00470A94" w:rsidRPr="004D2043" w:rsidRDefault="00470A94" w:rsidP="00470A94"/>
    <w:tbl>
      <w:tblPr>
        <w:tblW w:w="7758"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1841"/>
        <w:gridCol w:w="1972"/>
        <w:gridCol w:w="1972"/>
      </w:tblGrid>
      <w:tr w:rsidR="00470A94" w:rsidRPr="004D2043" w:rsidTr="00817512">
        <w:tc>
          <w:tcPr>
            <w:tcW w:w="1973" w:type="dxa"/>
            <w:shd w:val="clear" w:color="auto" w:fill="auto"/>
          </w:tcPr>
          <w:p w:rsidR="00470A94" w:rsidRPr="004D2043" w:rsidRDefault="00470A94" w:rsidP="00817512">
            <w:pPr>
              <w:jc w:val="center"/>
              <w:rPr>
                <w:b/>
              </w:rPr>
            </w:pPr>
            <w:r w:rsidRPr="004D2043">
              <w:rPr>
                <w:b/>
              </w:rPr>
              <w:t>Date</w:t>
            </w:r>
          </w:p>
        </w:tc>
        <w:tc>
          <w:tcPr>
            <w:tcW w:w="1841" w:type="dxa"/>
            <w:shd w:val="clear" w:color="auto" w:fill="auto"/>
          </w:tcPr>
          <w:p w:rsidR="00470A94" w:rsidRPr="004D2043" w:rsidRDefault="00470A94" w:rsidP="00817512">
            <w:pPr>
              <w:jc w:val="center"/>
              <w:rPr>
                <w:b/>
              </w:rPr>
            </w:pPr>
            <w:r w:rsidRPr="004D2043">
              <w:rPr>
                <w:b/>
              </w:rPr>
              <w:t>Rate</w:t>
            </w:r>
          </w:p>
        </w:tc>
        <w:tc>
          <w:tcPr>
            <w:tcW w:w="1972" w:type="dxa"/>
            <w:shd w:val="clear" w:color="auto" w:fill="auto"/>
          </w:tcPr>
          <w:p w:rsidR="00470A94" w:rsidRPr="004D2043" w:rsidRDefault="00470A94" w:rsidP="00817512">
            <w:pPr>
              <w:jc w:val="center"/>
              <w:rPr>
                <w:b/>
              </w:rPr>
            </w:pPr>
            <w:r w:rsidRPr="004D2043">
              <w:rPr>
                <w:b/>
              </w:rPr>
              <w:t>IVAP</w:t>
            </w:r>
          </w:p>
        </w:tc>
        <w:tc>
          <w:tcPr>
            <w:tcW w:w="1972" w:type="dxa"/>
            <w:shd w:val="clear" w:color="auto" w:fill="auto"/>
          </w:tcPr>
          <w:p w:rsidR="00470A94" w:rsidRPr="004D2043" w:rsidRDefault="00470A94" w:rsidP="00817512">
            <w:pPr>
              <w:jc w:val="center"/>
              <w:rPr>
                <w:b/>
              </w:rPr>
            </w:pPr>
            <w:r w:rsidRPr="004D2043">
              <w:rPr>
                <w:b/>
              </w:rPr>
              <w:t>Reason</w:t>
            </w:r>
          </w:p>
        </w:tc>
      </w:tr>
      <w:tr w:rsidR="00470A94" w:rsidRPr="004D2043" w:rsidTr="00817512">
        <w:tc>
          <w:tcPr>
            <w:tcW w:w="1973" w:type="dxa"/>
            <w:shd w:val="clear" w:color="auto" w:fill="auto"/>
          </w:tcPr>
          <w:p w:rsidR="00470A94" w:rsidRPr="004D2043" w:rsidRDefault="00470A94" w:rsidP="00470A94">
            <w:r w:rsidRPr="004D2043">
              <w:t>04-01-2015</w:t>
            </w:r>
          </w:p>
        </w:tc>
        <w:tc>
          <w:tcPr>
            <w:tcW w:w="1841" w:type="dxa"/>
            <w:shd w:val="clear" w:color="auto" w:fill="auto"/>
          </w:tcPr>
          <w:p w:rsidR="00470A94" w:rsidRPr="004D2043" w:rsidRDefault="004E7E4A" w:rsidP="00470A94">
            <w:r w:rsidRPr="004D2043">
              <w:t>$155.00</w:t>
            </w:r>
          </w:p>
        </w:tc>
        <w:tc>
          <w:tcPr>
            <w:tcW w:w="1972" w:type="dxa"/>
            <w:shd w:val="clear" w:color="auto" w:fill="auto"/>
          </w:tcPr>
          <w:p w:rsidR="00470A94" w:rsidRPr="004D2043" w:rsidRDefault="004E7E4A" w:rsidP="00470A94">
            <w:r w:rsidRPr="004D2043">
              <w:t>11</w:t>
            </w:r>
            <w:r w:rsidR="007C2F6F" w:rsidRPr="004D2043">
              <w:t>,</w:t>
            </w:r>
            <w:r w:rsidRPr="004D2043">
              <w:t>000</w:t>
            </w:r>
          </w:p>
        </w:tc>
        <w:tc>
          <w:tcPr>
            <w:tcW w:w="1972" w:type="dxa"/>
            <w:shd w:val="clear" w:color="auto" w:fill="auto"/>
          </w:tcPr>
          <w:p w:rsidR="00470A94" w:rsidRPr="004D2043" w:rsidRDefault="004E7E4A" w:rsidP="001062D6">
            <w:r w:rsidRPr="004D2043">
              <w:t>$2</w:t>
            </w:r>
            <w:r w:rsidR="00783A6D" w:rsidRPr="004D2043">
              <w:t>,</w:t>
            </w:r>
            <w:r w:rsidRPr="004D2043">
              <w:t>000 nonrecurring income received March 5, 2015.</w:t>
            </w:r>
          </w:p>
        </w:tc>
      </w:tr>
      <w:tr w:rsidR="00470A94" w:rsidRPr="004D2043" w:rsidTr="00817512">
        <w:tc>
          <w:tcPr>
            <w:tcW w:w="1973" w:type="dxa"/>
            <w:shd w:val="clear" w:color="auto" w:fill="auto"/>
          </w:tcPr>
          <w:p w:rsidR="00470A94" w:rsidRPr="004D2043" w:rsidRDefault="004E7E4A" w:rsidP="00470A94">
            <w:r w:rsidRPr="004D2043">
              <w:t>05-01-2015</w:t>
            </w:r>
          </w:p>
        </w:tc>
        <w:tc>
          <w:tcPr>
            <w:tcW w:w="1841" w:type="dxa"/>
            <w:shd w:val="clear" w:color="auto" w:fill="auto"/>
          </w:tcPr>
          <w:p w:rsidR="00470A94" w:rsidRPr="004D2043" w:rsidRDefault="004E7E4A" w:rsidP="00470A94">
            <w:r w:rsidRPr="004D2043">
              <w:t>$0.00</w:t>
            </w:r>
          </w:p>
        </w:tc>
        <w:tc>
          <w:tcPr>
            <w:tcW w:w="1972" w:type="dxa"/>
            <w:shd w:val="clear" w:color="auto" w:fill="auto"/>
          </w:tcPr>
          <w:p w:rsidR="00470A94" w:rsidRPr="004D2043" w:rsidRDefault="004E7E4A" w:rsidP="00470A94">
            <w:r w:rsidRPr="004D2043">
              <w:t>13</w:t>
            </w:r>
            <w:r w:rsidR="007C2F6F" w:rsidRPr="004D2043">
              <w:t>,</w:t>
            </w:r>
            <w:r w:rsidRPr="004D2043">
              <w:t>200</w:t>
            </w:r>
          </w:p>
        </w:tc>
        <w:tc>
          <w:tcPr>
            <w:tcW w:w="1972" w:type="dxa"/>
            <w:shd w:val="clear" w:color="auto" w:fill="auto"/>
          </w:tcPr>
          <w:p w:rsidR="00470A94" w:rsidRPr="004D2043" w:rsidRDefault="007C2F6F" w:rsidP="007C2F6F">
            <w:r w:rsidRPr="004D2043">
              <w:t>$2,2</w:t>
            </w:r>
            <w:r w:rsidR="004E7E4A" w:rsidRPr="004D2043">
              <w:t>00 nonrecurring income received April 2, 2015.</w:t>
            </w:r>
          </w:p>
        </w:tc>
      </w:tr>
      <w:tr w:rsidR="00470A94" w:rsidRPr="004D2043" w:rsidTr="00817512">
        <w:tc>
          <w:tcPr>
            <w:tcW w:w="1973" w:type="dxa"/>
            <w:shd w:val="clear" w:color="auto" w:fill="auto"/>
          </w:tcPr>
          <w:p w:rsidR="00470A94" w:rsidRPr="004D2043" w:rsidRDefault="004E7E4A" w:rsidP="00470A94">
            <w:r w:rsidRPr="004D2043">
              <w:t>04-01-2016</w:t>
            </w:r>
          </w:p>
        </w:tc>
        <w:tc>
          <w:tcPr>
            <w:tcW w:w="1841" w:type="dxa"/>
            <w:shd w:val="clear" w:color="auto" w:fill="auto"/>
          </w:tcPr>
          <w:p w:rsidR="00470A94" w:rsidRPr="004D2043" w:rsidRDefault="004E7E4A" w:rsidP="00470A94">
            <w:r w:rsidRPr="004D2043">
              <w:t>$139.00</w:t>
            </w:r>
          </w:p>
        </w:tc>
        <w:tc>
          <w:tcPr>
            <w:tcW w:w="1972" w:type="dxa"/>
            <w:shd w:val="clear" w:color="auto" w:fill="auto"/>
          </w:tcPr>
          <w:p w:rsidR="00470A94" w:rsidRPr="004D2043" w:rsidRDefault="004E7E4A" w:rsidP="00470A94">
            <w:r w:rsidRPr="004D2043">
              <w:t>11</w:t>
            </w:r>
            <w:r w:rsidR="007C2F6F" w:rsidRPr="004D2043">
              <w:t>,</w:t>
            </w:r>
            <w:r w:rsidRPr="004D2043">
              <w:t>200</w:t>
            </w:r>
          </w:p>
        </w:tc>
        <w:tc>
          <w:tcPr>
            <w:tcW w:w="1972" w:type="dxa"/>
            <w:shd w:val="clear" w:color="auto" w:fill="auto"/>
          </w:tcPr>
          <w:p w:rsidR="00470A94" w:rsidRPr="004D2043" w:rsidRDefault="004E7E4A" w:rsidP="001062D6">
            <w:r w:rsidRPr="004D2043">
              <w:t>$2</w:t>
            </w:r>
            <w:r w:rsidR="0048257E" w:rsidRPr="004D2043">
              <w:t>,</w:t>
            </w:r>
            <w:r w:rsidRPr="004D2043">
              <w:t>000 removed</w:t>
            </w:r>
            <w:r w:rsidR="001062D6" w:rsidRPr="004D2043">
              <w:t>.</w:t>
            </w:r>
            <w:r w:rsidRPr="004D2043">
              <w:t xml:space="preserve"> (</w:t>
            </w:r>
            <w:r w:rsidR="001062D6" w:rsidRPr="004D2043">
              <w:t xml:space="preserve">Do </w:t>
            </w:r>
            <w:r w:rsidR="001062D6" w:rsidRPr="004D2043">
              <w:rPr>
                <w:b/>
                <w:i/>
              </w:rPr>
              <w:t>not</w:t>
            </w:r>
            <w:r w:rsidR="001062D6" w:rsidRPr="004D2043">
              <w:t xml:space="preserve"> apply </w:t>
            </w:r>
            <w:r w:rsidRPr="004D2043">
              <w:t>38 CFR 3.31</w:t>
            </w:r>
            <w:r w:rsidR="001062D6" w:rsidRPr="004D2043">
              <w:t>.</w:t>
            </w:r>
            <w:r w:rsidRPr="004D2043">
              <w:t>)</w:t>
            </w:r>
          </w:p>
        </w:tc>
      </w:tr>
      <w:tr w:rsidR="004E7E4A" w:rsidRPr="004D2043" w:rsidTr="00817512">
        <w:tc>
          <w:tcPr>
            <w:tcW w:w="1973" w:type="dxa"/>
            <w:shd w:val="clear" w:color="auto" w:fill="auto"/>
          </w:tcPr>
          <w:p w:rsidR="004E7E4A" w:rsidRPr="004D2043" w:rsidRDefault="004E7E4A" w:rsidP="00470A94">
            <w:r w:rsidRPr="004D2043">
              <w:t>05-01-2016</w:t>
            </w:r>
          </w:p>
        </w:tc>
        <w:tc>
          <w:tcPr>
            <w:tcW w:w="1841" w:type="dxa"/>
            <w:shd w:val="clear" w:color="auto" w:fill="auto"/>
          </w:tcPr>
          <w:p w:rsidR="004E7E4A" w:rsidRPr="004D2043" w:rsidRDefault="004E7E4A" w:rsidP="00470A94">
            <w:r w:rsidRPr="004D2043">
              <w:t>$322.00</w:t>
            </w:r>
          </w:p>
        </w:tc>
        <w:tc>
          <w:tcPr>
            <w:tcW w:w="1972" w:type="dxa"/>
            <w:shd w:val="clear" w:color="auto" w:fill="auto"/>
          </w:tcPr>
          <w:p w:rsidR="004E7E4A" w:rsidRPr="004D2043" w:rsidRDefault="004E7E4A" w:rsidP="00470A94">
            <w:r w:rsidRPr="004D2043">
              <w:t>9</w:t>
            </w:r>
            <w:r w:rsidR="007C2F6F" w:rsidRPr="004D2043">
              <w:t>,</w:t>
            </w:r>
            <w:r w:rsidRPr="004D2043">
              <w:t>000</w:t>
            </w:r>
          </w:p>
        </w:tc>
        <w:tc>
          <w:tcPr>
            <w:tcW w:w="1972" w:type="dxa"/>
            <w:shd w:val="clear" w:color="auto" w:fill="auto"/>
          </w:tcPr>
          <w:p w:rsidR="004E7E4A" w:rsidRPr="004D2043" w:rsidRDefault="004E7E4A" w:rsidP="004E7E4A">
            <w:r w:rsidRPr="004D2043">
              <w:t>$2</w:t>
            </w:r>
            <w:r w:rsidR="0048257E" w:rsidRPr="004D2043">
              <w:t>,</w:t>
            </w:r>
            <w:r w:rsidRPr="004D2043">
              <w:t>200 removed.</w:t>
            </w:r>
          </w:p>
        </w:tc>
      </w:tr>
    </w:tbl>
    <w:p w:rsidR="00470A94" w:rsidRPr="004D2043" w:rsidRDefault="00470A94" w:rsidP="00470A94"/>
    <w:p w:rsidR="00470A94" w:rsidRPr="004D2043" w:rsidRDefault="00470A94" w:rsidP="00470A94">
      <w:pPr>
        <w:pStyle w:val="BlockLine"/>
        <w:ind w:left="0"/>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e</w:t>
            </w:r>
            <w:r w:rsidR="00FF096B" w:rsidRPr="004D2043">
              <w:t>.  Counting</w:t>
            </w:r>
            <w:proofErr w:type="gramEnd"/>
            <w:r w:rsidR="00FF096B" w:rsidRPr="004D2043">
              <w:t xml:space="preserve"> Recurring Income</w:t>
            </w:r>
          </w:p>
        </w:tc>
        <w:tc>
          <w:tcPr>
            <w:tcW w:w="7740" w:type="dxa"/>
          </w:tcPr>
          <w:p w:rsidR="00FF096B" w:rsidRPr="004D2043" w:rsidRDefault="00FF096B">
            <w:pPr>
              <w:pStyle w:val="BlockText"/>
            </w:pPr>
            <w:r w:rsidRPr="004D2043">
              <w:t xml:space="preserve">Count recurring income on an open-ended basis from the first day of </w:t>
            </w:r>
            <w:proofErr w:type="gramStart"/>
            <w:r w:rsidRPr="004D2043">
              <w:t>the  month</w:t>
            </w:r>
            <w:proofErr w:type="gramEnd"/>
            <w:r w:rsidRPr="004D2043">
              <w:t xml:space="preserve"> after the month during which the recurring income is first received.  If there is a change in recurring income, adjust the award effective the first day of the month after the change occurs.</w:t>
            </w:r>
          </w:p>
          <w:p w:rsidR="00FF096B" w:rsidRPr="004D2043" w:rsidRDefault="00FF096B">
            <w:pPr>
              <w:pStyle w:val="BlockText"/>
              <w:rPr>
                <w:sz w:val="16"/>
              </w:rPr>
            </w:pPr>
          </w:p>
          <w:p w:rsidR="00FF096B" w:rsidRPr="004D2043" w:rsidRDefault="00FF096B" w:rsidP="002D4EBF">
            <w:pPr>
              <w:pStyle w:val="BlockText"/>
            </w:pPr>
            <w:r w:rsidRPr="004D2043">
              <w:rPr>
                <w:b/>
                <w:i/>
              </w:rPr>
              <w:t>Example</w:t>
            </w:r>
            <w:r w:rsidRPr="004D2043">
              <w:t xml:space="preserve">:  A Veteran receives a retirement check in the amount of $200 on March 14, </w:t>
            </w:r>
            <w:r w:rsidR="002D4EBF" w:rsidRPr="004D2043">
              <w:t>2014</w:t>
            </w:r>
            <w:r w:rsidRPr="004D2043">
              <w:t xml:space="preserve">.  The Veteran expects to receive a $200 check on or about the 14th of each month for the indefinite future.  Increase IVAP by $2,400 ($200 x 12) effective April 1, </w:t>
            </w:r>
            <w:r w:rsidR="002D4EBF" w:rsidRPr="004D2043">
              <w:t>2014</w:t>
            </w:r>
            <w:r w:rsidRPr="004D2043">
              <w:t>.</w:t>
            </w:r>
          </w:p>
        </w:tc>
      </w:tr>
    </w:tbl>
    <w:p w:rsidR="00FF096B" w:rsidRPr="004D2043" w:rsidRDefault="00B16BA4">
      <w:pPr>
        <w:pStyle w:val="BlockLine"/>
      </w:pPr>
      <w:r w:rsidRPr="004D2043">
        <w:fldChar w:fldCharType="begin"/>
      </w:r>
      <w:r w:rsidRPr="004D2043">
        <w:instrText xml:space="preserve"> PRIVATE INFOTYPE="PRINCIPLE" </w:instrText>
      </w:r>
      <w:r w:rsidRPr="004D2043">
        <w:fldChar w:fldCharType="end"/>
      </w: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r w:rsidRPr="004D2043">
              <w:t>f</w:t>
            </w:r>
            <w:r w:rsidR="00FF096B" w:rsidRPr="004D2043">
              <w:t>. Counting Irregular Income</w:t>
            </w:r>
          </w:p>
        </w:tc>
        <w:tc>
          <w:tcPr>
            <w:tcW w:w="7740" w:type="dxa"/>
          </w:tcPr>
          <w:p w:rsidR="00FF096B" w:rsidRPr="004D2043" w:rsidRDefault="00FF096B">
            <w:pPr>
              <w:pStyle w:val="BlockText"/>
            </w:pPr>
            <w:r w:rsidRPr="004D2043">
              <w:t xml:space="preserve">When irregular income is initially received from a particular source, count it for 12 months from the first day of the month after the month during which it is first received.  Thereafter, count irregular income for 12 months from the beginning of the </w:t>
            </w:r>
            <w:r w:rsidR="002D4EBF" w:rsidRPr="004D2043">
              <w:t xml:space="preserve">calendar or initial year reporting </w:t>
            </w:r>
            <w:r w:rsidRPr="004D2043">
              <w:t xml:space="preserve">period during which it is received.  </w:t>
            </w:r>
          </w:p>
          <w:p w:rsidR="00FF096B" w:rsidRPr="004D2043" w:rsidRDefault="00FF096B">
            <w:pPr>
              <w:pStyle w:val="BlockText"/>
            </w:pPr>
          </w:p>
          <w:p w:rsidR="00FF096B" w:rsidRPr="004D2043" w:rsidRDefault="00FF096B">
            <w:pPr>
              <w:pStyle w:val="BlockText"/>
            </w:pPr>
            <w:r w:rsidRPr="004D2043">
              <w:t>Count the lower amount of irregular income during any overlapping periods.</w:t>
            </w:r>
            <w:r w:rsidRPr="004D2043">
              <w:rPr>
                <w:rFonts w:ascii="Arial" w:hAnsi="Arial" w:cs="Arial"/>
                <w:sz w:val="20"/>
              </w:rPr>
              <w:t xml:space="preserve">  </w:t>
            </w:r>
            <w:r w:rsidRPr="004D2043">
              <w:t xml:space="preserve">However, if the irregular income for the calendar year is zero, then count the irregular income for the full 12-month period. </w:t>
            </w:r>
          </w:p>
          <w:p w:rsidR="00FF096B" w:rsidRPr="004D2043" w:rsidRDefault="00FF096B">
            <w:pPr>
              <w:pStyle w:val="BlockText"/>
            </w:pPr>
          </w:p>
          <w:p w:rsidR="00FF096B" w:rsidRPr="004D2043" w:rsidRDefault="00FF096B">
            <w:pPr>
              <w:pStyle w:val="BlockText"/>
            </w:pPr>
            <w:r w:rsidRPr="004D2043">
              <w:rPr>
                <w:b/>
                <w:i/>
              </w:rPr>
              <w:t>Note</w:t>
            </w:r>
            <w:r w:rsidRPr="004D2043">
              <w:t xml:space="preserve">:  A claimant could be in receipt of multiple types of irregular income.  Do </w:t>
            </w:r>
            <w:r w:rsidRPr="004D2043">
              <w:rPr>
                <w:i/>
              </w:rPr>
              <w:t>not</w:t>
            </w:r>
            <w:r w:rsidRPr="004D2043">
              <w:t xml:space="preserve"> lump together different types of irregular income, for example, interest income and odd-job income.  However, it is permissible to lump together the same type of irregular income from multiple sources, for example, interest income from multiple banks or odd-job income from multiple employers.</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g</w:t>
            </w:r>
            <w:r w:rsidR="00FF096B" w:rsidRPr="004D2043">
              <w:t>.  Example</w:t>
            </w:r>
            <w:proofErr w:type="gramEnd"/>
            <w:r w:rsidR="00FF096B" w:rsidRPr="004D2043">
              <w:t xml:space="preserve"> 1:  Counting Irregular Income</w:t>
            </w:r>
          </w:p>
        </w:tc>
        <w:tc>
          <w:tcPr>
            <w:tcW w:w="7740" w:type="dxa"/>
          </w:tcPr>
          <w:p w:rsidR="00FF096B" w:rsidRPr="004D2043" w:rsidRDefault="0063239D">
            <w:pPr>
              <w:pStyle w:val="BlockText"/>
            </w:pPr>
            <w:r w:rsidRPr="004D2043">
              <w:rPr>
                <w:b/>
                <w:i/>
              </w:rPr>
              <w:t>Example</w:t>
            </w:r>
            <w:r w:rsidR="00FF096B" w:rsidRPr="004D2043">
              <w:t xml:space="preserve">:  A Veteran has been paid </w:t>
            </w:r>
            <w:r w:rsidR="002D4EBF" w:rsidRPr="004D2043">
              <w:t xml:space="preserve">current-law </w:t>
            </w:r>
            <w:r w:rsidR="00FF096B" w:rsidRPr="004D2043">
              <w:t>pension based on interest income of $600 per year.  The Veteran</w:t>
            </w:r>
            <w:r w:rsidR="006E785C" w:rsidRPr="004D2043">
              <w:t xml:space="preserve"> </w:t>
            </w:r>
            <w:r w:rsidR="002D4EBF" w:rsidRPr="004D2043">
              <w:t xml:space="preserve">submits a claim on </w:t>
            </w:r>
            <w:r w:rsidR="00FE35A0" w:rsidRPr="004D2043">
              <w:t>May 1</w:t>
            </w:r>
            <w:r w:rsidR="002D4EBF" w:rsidRPr="004D2043">
              <w:t>, 2015</w:t>
            </w:r>
            <w:r w:rsidR="006E785C" w:rsidRPr="004D2043">
              <w:t>,</w:t>
            </w:r>
            <w:r w:rsidR="002D4EBF" w:rsidRPr="004D2043">
              <w:t xml:space="preserve"> and</w:t>
            </w:r>
            <w:r w:rsidR="00FE35A0" w:rsidRPr="004D2043">
              <w:t xml:space="preserve"> </w:t>
            </w:r>
            <w:r w:rsidR="002D4EBF" w:rsidRPr="004D2043">
              <w:t xml:space="preserve">reports </w:t>
            </w:r>
            <w:proofErr w:type="spellStart"/>
            <w:r w:rsidR="002D4EBF" w:rsidRPr="004D2043">
              <w:t>receiving</w:t>
            </w:r>
            <w:r w:rsidR="00FF096B" w:rsidRPr="004D2043">
              <w:t>only</w:t>
            </w:r>
            <w:proofErr w:type="spellEnd"/>
            <w:r w:rsidR="00FF096B" w:rsidRPr="004D2043">
              <w:t xml:space="preserve"> $500 interest during period of calendar year </w:t>
            </w:r>
            <w:r w:rsidR="002D4EBF" w:rsidRPr="004D2043">
              <w:t xml:space="preserve">2014. </w:t>
            </w:r>
            <w:r w:rsidR="00FF096B" w:rsidRPr="004D2043">
              <w:t>.</w:t>
            </w:r>
            <w:r w:rsidR="00FE35A0" w:rsidRPr="004D2043">
              <w:t xml:space="preserve"> The decreased interest is verified upon review of Federal Tax Information (FTI) provided by the Internal Revenue Service (IRS)  </w:t>
            </w:r>
          </w:p>
          <w:p w:rsidR="00FF096B" w:rsidRPr="004D2043" w:rsidRDefault="00FF096B">
            <w:pPr>
              <w:pStyle w:val="BlockText"/>
            </w:pPr>
          </w:p>
          <w:p w:rsidR="00FF096B" w:rsidRPr="004D2043" w:rsidRDefault="00FF096B" w:rsidP="00FE35A0">
            <w:pPr>
              <w:pStyle w:val="BlockText"/>
            </w:pPr>
            <w:r w:rsidRPr="004D2043">
              <w:t xml:space="preserve">Adjust from January 1, </w:t>
            </w:r>
            <w:r w:rsidR="00FE35A0" w:rsidRPr="004D2043">
              <w:t>2014</w:t>
            </w:r>
            <w:r w:rsidRPr="004D2043">
              <w:t xml:space="preserve">, subject to </w:t>
            </w:r>
            <w:hyperlink r:id="rId42" w:history="1">
              <w:r w:rsidR="006D50AE" w:rsidRPr="004D2043">
                <w:rPr>
                  <w:rStyle w:val="Hyperlink"/>
                </w:rPr>
                <w:t>38 CFR</w:t>
              </w:r>
              <w:r w:rsidRPr="004D2043">
                <w:rPr>
                  <w:rStyle w:val="Hyperlink"/>
                </w:rPr>
                <w:t xml:space="preserve"> 3.31</w:t>
              </w:r>
            </w:hyperlink>
            <w:r w:rsidRPr="004D2043">
              <w:t xml:space="preserve"> (that is, adjust from February 1, </w:t>
            </w:r>
            <w:r w:rsidR="00FE35A0" w:rsidRPr="004D2043">
              <w:t>2014</w:t>
            </w:r>
            <w:r w:rsidRPr="004D2043">
              <w:t xml:space="preserve">, if the change in income causes the pension rate for January 1, </w:t>
            </w:r>
            <w:r w:rsidR="00FE35A0" w:rsidRPr="004D2043">
              <w:t>2014</w:t>
            </w:r>
            <w:r w:rsidRPr="004D2043">
              <w:t xml:space="preserve">, to exceed the December </w:t>
            </w:r>
            <w:r w:rsidR="00FE35A0" w:rsidRPr="004D2043">
              <w:t xml:space="preserve">2013 </w:t>
            </w:r>
            <w:r w:rsidRPr="004D2043">
              <w:t>rate.)</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h</w:t>
            </w:r>
            <w:r w:rsidR="00FF096B" w:rsidRPr="004D2043">
              <w:t>.  Example</w:t>
            </w:r>
            <w:proofErr w:type="gramEnd"/>
            <w:r w:rsidR="00FF096B" w:rsidRPr="004D2043">
              <w:t xml:space="preserve"> 2:  Counting Irregular Income</w:t>
            </w:r>
          </w:p>
        </w:tc>
        <w:tc>
          <w:tcPr>
            <w:tcW w:w="7740" w:type="dxa"/>
          </w:tcPr>
          <w:p w:rsidR="00FF096B" w:rsidRPr="004D2043" w:rsidRDefault="0063239D">
            <w:pPr>
              <w:pStyle w:val="BlockText"/>
            </w:pPr>
            <w:r w:rsidRPr="004D2043">
              <w:rPr>
                <w:b/>
                <w:i/>
              </w:rPr>
              <w:t>Example</w:t>
            </w:r>
            <w:r w:rsidR="00FF096B" w:rsidRPr="004D2043">
              <w:t xml:space="preserve">:  The Veteran turns 65 and applies for pension on March 14, </w:t>
            </w:r>
            <w:r w:rsidR="00FE35A0" w:rsidRPr="004D2043">
              <w:t>2014</w:t>
            </w:r>
            <w:r w:rsidR="00FF096B" w:rsidRPr="004D2043">
              <w:t xml:space="preserve">.  On his application the Veteran </w:t>
            </w:r>
            <w:r w:rsidR="006E785C" w:rsidRPr="004D2043">
              <w:t xml:space="preserve">reports </w:t>
            </w:r>
            <w:r w:rsidR="00FF096B" w:rsidRPr="004D2043">
              <w:t xml:space="preserve">that he </w:t>
            </w:r>
            <w:r w:rsidR="006E785C" w:rsidRPr="004D2043">
              <w:t xml:space="preserve">expects </w:t>
            </w:r>
            <w:r w:rsidR="00FF096B" w:rsidRPr="004D2043">
              <w:t xml:space="preserve">to receive interest income of $50 per year.  The $50 was counted on his award on an open-ended basis from April 1, </w:t>
            </w:r>
            <w:r w:rsidR="00FE35A0" w:rsidRPr="004D2043">
              <w:t>2014</w:t>
            </w:r>
            <w:r w:rsidR="00FF096B" w:rsidRPr="004D2043">
              <w:t xml:space="preserve">.  </w:t>
            </w:r>
            <w:r w:rsidR="00FE35A0" w:rsidRPr="004D2043">
              <w:t>The following year</w:t>
            </w:r>
            <w:r w:rsidR="006E785C" w:rsidRPr="004D2043">
              <w:t>,</w:t>
            </w:r>
            <w:r w:rsidR="00FF096B" w:rsidRPr="004D2043">
              <w:t xml:space="preserve"> the Veteran reports having received interest income of $80 between April 1, </w:t>
            </w:r>
            <w:r w:rsidR="00FE35A0" w:rsidRPr="004D2043">
              <w:t>2014</w:t>
            </w:r>
            <w:r w:rsidR="00FF096B" w:rsidRPr="004D2043">
              <w:t xml:space="preserve">, and December 31, </w:t>
            </w:r>
            <w:r w:rsidR="00FE35A0" w:rsidRPr="004D2043">
              <w:t>2014</w:t>
            </w:r>
            <w:r w:rsidR="00FF096B" w:rsidRPr="004D2043">
              <w:t xml:space="preserve">.  He expects to receive interest income of $90 during </w:t>
            </w:r>
            <w:r w:rsidR="00FE35A0" w:rsidRPr="004D2043">
              <w:t>2015</w:t>
            </w:r>
            <w:r w:rsidR="00FF096B" w:rsidRPr="004D2043">
              <w:t xml:space="preserve">.  </w:t>
            </w:r>
            <w:r w:rsidR="00FE35A0" w:rsidRPr="004D2043">
              <w:t>Review of F</w:t>
            </w:r>
            <w:r w:rsidR="007E0FE0" w:rsidRPr="004D2043">
              <w:t>TI</w:t>
            </w:r>
            <w:r w:rsidR="00FE35A0" w:rsidRPr="004D2043">
              <w:t xml:space="preserve"> provided by IRS shows that he received $70 in interest income the prior year</w:t>
            </w:r>
            <w:r w:rsidR="00EC0313" w:rsidRPr="004D2043">
              <w:t>s</w:t>
            </w:r>
            <w:r w:rsidR="00FE35A0" w:rsidRPr="004D2043">
              <w:t xml:space="preserve">. </w:t>
            </w:r>
          </w:p>
          <w:p w:rsidR="00FF096B" w:rsidRPr="004D2043" w:rsidRDefault="00FF096B">
            <w:pPr>
              <w:pStyle w:val="BlockText"/>
            </w:pPr>
          </w:p>
          <w:p w:rsidR="00FF096B" w:rsidRPr="004D2043" w:rsidRDefault="00FF096B" w:rsidP="006E785C">
            <w:pPr>
              <w:pStyle w:val="BlockText"/>
            </w:pPr>
            <w:r w:rsidRPr="004D2043">
              <w:t xml:space="preserve">Adjust to pay based on interest income of $80 from April 1, </w:t>
            </w:r>
            <w:r w:rsidR="00FE35A0" w:rsidRPr="004D2043">
              <w:t>2014</w:t>
            </w:r>
            <w:r w:rsidRPr="004D2043">
              <w:t xml:space="preserve">, and interest income of $90 from April 1, </w:t>
            </w:r>
            <w:r w:rsidR="00FE35A0" w:rsidRPr="004D2043">
              <w:t>2015</w:t>
            </w:r>
            <w:r w:rsidRPr="004D2043">
              <w:t xml:space="preserve">.  If </w:t>
            </w:r>
            <w:r w:rsidR="00FE35A0" w:rsidRPr="004D2043">
              <w:t>evidence submitted</w:t>
            </w:r>
            <w:r w:rsidRPr="004D2043">
              <w:t xml:space="preserve"> at the end of </w:t>
            </w:r>
            <w:r w:rsidR="00FE35A0" w:rsidRPr="004D2043">
              <w:t xml:space="preserve">2015 </w:t>
            </w:r>
            <w:r w:rsidRPr="004D2043">
              <w:t xml:space="preserve">shows that the Veteran actually received interest income of $60 during calendar year </w:t>
            </w:r>
            <w:r w:rsidR="00FE35A0" w:rsidRPr="004D2043">
              <w:t>2015</w:t>
            </w:r>
            <w:r w:rsidRPr="004D2043">
              <w:t xml:space="preserve">, adjust to pay based on IVAP of $60 from January 1, </w:t>
            </w:r>
            <w:r w:rsidR="00FE35A0" w:rsidRPr="004D2043">
              <w:t>2015</w:t>
            </w:r>
            <w:r w:rsidRPr="004D2043">
              <w:t xml:space="preserve">, subject to </w:t>
            </w:r>
            <w:hyperlink r:id="rId43" w:history="1">
              <w:r w:rsidR="006D50AE" w:rsidRPr="004D2043">
                <w:rPr>
                  <w:rStyle w:val="Hyperlink"/>
                </w:rPr>
                <w:t>38 CFR</w:t>
              </w:r>
              <w:r w:rsidRPr="004D2043">
                <w:rPr>
                  <w:rStyle w:val="Hyperlink"/>
                </w:rPr>
                <w:t xml:space="preserve"> 3.31</w:t>
              </w:r>
            </w:hyperlink>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spellStart"/>
            <w:proofErr w:type="gramStart"/>
            <w:r w:rsidRPr="004D2043">
              <w:t>i</w:t>
            </w:r>
            <w:proofErr w:type="spellEnd"/>
            <w:r w:rsidR="00FF096B" w:rsidRPr="004D2043">
              <w:t>.  Example</w:t>
            </w:r>
            <w:proofErr w:type="gramEnd"/>
            <w:r w:rsidR="00FF096B" w:rsidRPr="004D2043">
              <w:t xml:space="preserve"> 3:  Counting Irregular Income</w:t>
            </w:r>
          </w:p>
        </w:tc>
        <w:tc>
          <w:tcPr>
            <w:tcW w:w="7740" w:type="dxa"/>
          </w:tcPr>
          <w:p w:rsidR="00FF096B" w:rsidRPr="004D2043" w:rsidRDefault="0063239D">
            <w:pPr>
              <w:pStyle w:val="BlockText"/>
            </w:pPr>
            <w:r w:rsidRPr="004D2043">
              <w:rPr>
                <w:b/>
                <w:i/>
              </w:rPr>
              <w:t>Example</w:t>
            </w:r>
            <w:r w:rsidR="00FF096B" w:rsidRPr="004D2043">
              <w:t xml:space="preserve">:  The Veteran is rated permanently and totally disabled from August 7, </w:t>
            </w:r>
            <w:r w:rsidR="007E0FE0" w:rsidRPr="004D2043">
              <w:t>2013</w:t>
            </w:r>
            <w:r w:rsidR="00FF096B" w:rsidRPr="004D2043">
              <w:t xml:space="preserve">.  The Veteran is paid based on $0 IVAP.  On October 28, </w:t>
            </w:r>
            <w:r w:rsidR="007E0FE0" w:rsidRPr="004D2043">
              <w:t>2013</w:t>
            </w:r>
            <w:r w:rsidR="00FF096B" w:rsidRPr="004D2043">
              <w:t xml:space="preserve">, the Veteran reports that he started receiving interest income of $100 per year on September 29, </w:t>
            </w:r>
            <w:r w:rsidR="007E0FE0" w:rsidRPr="004D2043">
              <w:t>2013</w:t>
            </w:r>
            <w:r w:rsidR="00FF096B" w:rsidRPr="004D2043">
              <w:t xml:space="preserve">.  </w:t>
            </w:r>
            <w:r w:rsidR="006E785C" w:rsidRPr="004D2043">
              <w:t>Because</w:t>
            </w:r>
            <w:r w:rsidR="007E0FE0" w:rsidRPr="004D2043">
              <w:t xml:space="preserve"> this</w:t>
            </w:r>
            <w:r w:rsidR="007C3A78" w:rsidRPr="004D2043">
              <w:t xml:space="preserve"> is new income</w:t>
            </w:r>
            <w:r w:rsidR="00736AEE" w:rsidRPr="004D2043">
              <w:t>,</w:t>
            </w:r>
            <w:r w:rsidR="000A04AF" w:rsidRPr="004D2043">
              <w:t xml:space="preserve"> it is </w:t>
            </w:r>
            <w:r w:rsidR="007C3A78" w:rsidRPr="004D2043">
              <w:t>not veri</w:t>
            </w:r>
            <w:r w:rsidR="007E0FE0" w:rsidRPr="004D2043">
              <w:t xml:space="preserve">fied by FTI provided by the IRS. </w:t>
            </w:r>
            <w:r w:rsidR="00FF096B" w:rsidRPr="004D2043">
              <w:t xml:space="preserve">The award is adjusted to count IVAP of $100 on an open-ended basis from October 1, </w:t>
            </w:r>
            <w:r w:rsidR="007E0FE0" w:rsidRPr="004D2043">
              <w:t>2013</w:t>
            </w:r>
            <w:r w:rsidR="00FF096B" w:rsidRPr="004D2043">
              <w:t xml:space="preserve">.  </w:t>
            </w:r>
            <w:r w:rsidR="007E0FE0" w:rsidRPr="004D2043">
              <w:t>On February 3, 2015,</w:t>
            </w:r>
            <w:r w:rsidR="00FF096B" w:rsidRPr="004D2043">
              <w:t xml:space="preserve"> the Veteran reports having received interest income of $75 during the period January 1, </w:t>
            </w:r>
            <w:r w:rsidR="007E0FE0" w:rsidRPr="004D2043">
              <w:t>2014</w:t>
            </w:r>
            <w:r w:rsidR="00FF096B" w:rsidRPr="004D2043">
              <w:t xml:space="preserve">, through December 31, </w:t>
            </w:r>
            <w:r w:rsidR="007E0FE0" w:rsidRPr="004D2043">
              <w:t>2014</w:t>
            </w:r>
            <w:r w:rsidR="00FF096B" w:rsidRPr="004D2043">
              <w:t>.</w:t>
            </w:r>
            <w:r w:rsidR="006E785C" w:rsidRPr="004D2043">
              <w:t xml:space="preserve">  </w:t>
            </w:r>
            <w:r w:rsidR="007E0FE0" w:rsidRPr="004D2043">
              <w:t>FTI is unable to verify information for the period of September 29, 201</w:t>
            </w:r>
            <w:r w:rsidR="0095150B" w:rsidRPr="004D2043">
              <w:t>3</w:t>
            </w:r>
            <w:r w:rsidR="006E785C" w:rsidRPr="004D2043">
              <w:t>,</w:t>
            </w:r>
            <w:r w:rsidR="0095150B" w:rsidRPr="004D2043">
              <w:t xml:space="preserve"> through September</w:t>
            </w:r>
            <w:r w:rsidR="007E0FE0" w:rsidRPr="004D2043">
              <w:t xml:space="preserve"> 3</w:t>
            </w:r>
            <w:r w:rsidR="0095150B" w:rsidRPr="004D2043">
              <w:t>0, 2014</w:t>
            </w:r>
            <w:r w:rsidR="006E785C" w:rsidRPr="004D2043">
              <w:t>,</w:t>
            </w:r>
            <w:r w:rsidR="0095150B" w:rsidRPr="004D2043">
              <w:t xml:space="preserve"> because</w:t>
            </w:r>
            <w:r w:rsidR="000A04AF" w:rsidRPr="004D2043">
              <w:t xml:space="preserve"> it is not</w:t>
            </w:r>
            <w:r w:rsidR="0095150B" w:rsidRPr="004D2043">
              <w:t xml:space="preserve"> a calendar year</w:t>
            </w:r>
            <w:r w:rsidR="007E0FE0" w:rsidRPr="004D2043">
              <w:t>. In addition,</w:t>
            </w:r>
            <w:r w:rsidR="00FF096B" w:rsidRPr="004D2043">
              <w:t xml:space="preserve"> </w:t>
            </w:r>
            <w:r w:rsidR="007E0FE0" w:rsidRPr="004D2043">
              <w:t xml:space="preserve">FTI information is not yet available for CY 2014. </w:t>
            </w:r>
          </w:p>
          <w:p w:rsidR="00FF096B" w:rsidRPr="004D2043" w:rsidRDefault="00FF096B">
            <w:pPr>
              <w:pStyle w:val="BlockText"/>
            </w:pPr>
          </w:p>
          <w:p w:rsidR="00FF096B" w:rsidRPr="004D2043" w:rsidRDefault="00FF096B" w:rsidP="0095150B">
            <w:pPr>
              <w:pStyle w:val="BlockText"/>
            </w:pPr>
            <w:r w:rsidRPr="004D2043">
              <w:rPr>
                <w:b/>
                <w:i/>
              </w:rPr>
              <w:t>Result</w:t>
            </w:r>
            <w:r w:rsidRPr="004D2043">
              <w:t xml:space="preserve">:  </w:t>
            </w:r>
            <w:r w:rsidR="0095150B" w:rsidRPr="004D2043">
              <w:t>A</w:t>
            </w:r>
            <w:r w:rsidRPr="004D2043">
              <w:t>djust the award as shown in the table below:</w:t>
            </w:r>
          </w:p>
        </w:tc>
      </w:tr>
    </w:tbl>
    <w:p w:rsidR="00FF096B" w:rsidRPr="004D2043" w:rsidRDefault="00FF096B"/>
    <w:tbl>
      <w:tblPr>
        <w:tblW w:w="0" w:type="auto"/>
        <w:tblInd w:w="1829" w:type="dxa"/>
        <w:tblLayout w:type="fixed"/>
        <w:tblLook w:val="0000" w:firstRow="0" w:lastRow="0" w:firstColumn="0" w:lastColumn="0" w:noHBand="0" w:noVBand="0"/>
      </w:tblPr>
      <w:tblGrid>
        <w:gridCol w:w="1879"/>
        <w:gridCol w:w="1710"/>
        <w:gridCol w:w="3959"/>
      </w:tblGrid>
      <w:tr w:rsidR="00FF096B" w:rsidRPr="004D2043">
        <w:trPr>
          <w:cantSplit/>
          <w:trHeight w:val="290"/>
        </w:trPr>
        <w:tc>
          <w:tcPr>
            <w:tcW w:w="187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Date</w:t>
            </w:r>
          </w:p>
        </w:tc>
        <w:tc>
          <w:tcPr>
            <w:tcW w:w="171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395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w:t>
            </w:r>
          </w:p>
        </w:tc>
      </w:tr>
      <w:tr w:rsidR="00FF096B" w:rsidRPr="004D2043">
        <w:trPr>
          <w:cantSplit/>
          <w:trHeight w:val="290"/>
        </w:trPr>
        <w:tc>
          <w:tcPr>
            <w:tcW w:w="1879" w:type="dxa"/>
            <w:tcBorders>
              <w:top w:val="single" w:sz="6" w:space="0" w:color="auto"/>
              <w:left w:val="single" w:sz="6" w:space="0" w:color="auto"/>
              <w:bottom w:val="single" w:sz="6" w:space="0" w:color="auto"/>
              <w:right w:val="single" w:sz="6" w:space="0" w:color="auto"/>
            </w:tcBorders>
          </w:tcPr>
          <w:p w:rsidR="00FF096B" w:rsidRPr="004D2043" w:rsidRDefault="00FF096B" w:rsidP="007E0FE0">
            <w:pPr>
              <w:pStyle w:val="TableText"/>
            </w:pPr>
            <w:r w:rsidRPr="004D2043">
              <w:t>09-01-</w:t>
            </w:r>
            <w:r w:rsidR="007E0FE0" w:rsidRPr="004D2043">
              <w:t>2013</w:t>
            </w:r>
          </w:p>
        </w:tc>
        <w:tc>
          <w:tcPr>
            <w:tcW w:w="171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0</w:t>
            </w:r>
          </w:p>
        </w:tc>
        <w:tc>
          <w:tcPr>
            <w:tcW w:w="3959" w:type="dxa"/>
            <w:tcBorders>
              <w:top w:val="single" w:sz="6" w:space="0" w:color="auto"/>
              <w:left w:val="single" w:sz="6" w:space="0" w:color="auto"/>
              <w:bottom w:val="single" w:sz="6" w:space="0" w:color="auto"/>
              <w:right w:val="single" w:sz="6" w:space="0" w:color="auto"/>
            </w:tcBorders>
          </w:tcPr>
          <w:p w:rsidR="00FF096B" w:rsidRPr="004D2043" w:rsidRDefault="00FF096B" w:rsidP="006E785C">
            <w:pPr>
              <w:pStyle w:val="TableText"/>
            </w:pPr>
            <w:r w:rsidRPr="004D2043">
              <w:t xml:space="preserve">No income from August 7, </w:t>
            </w:r>
            <w:r w:rsidR="00AC3094" w:rsidRPr="004D2043">
              <w:t>2013</w:t>
            </w:r>
          </w:p>
        </w:tc>
      </w:tr>
      <w:tr w:rsidR="00FF096B" w:rsidRPr="004D2043">
        <w:trPr>
          <w:cantSplit/>
          <w:trHeight w:val="290"/>
        </w:trPr>
        <w:tc>
          <w:tcPr>
            <w:tcW w:w="1879" w:type="dxa"/>
            <w:tcBorders>
              <w:top w:val="single" w:sz="6" w:space="0" w:color="auto"/>
              <w:left w:val="single" w:sz="6" w:space="0" w:color="auto"/>
              <w:bottom w:val="single" w:sz="6" w:space="0" w:color="auto"/>
              <w:right w:val="single" w:sz="6" w:space="0" w:color="auto"/>
            </w:tcBorders>
          </w:tcPr>
          <w:p w:rsidR="00FF096B" w:rsidRPr="004D2043" w:rsidRDefault="00FF096B" w:rsidP="007E0FE0">
            <w:pPr>
              <w:pStyle w:val="TableText"/>
            </w:pPr>
            <w:r w:rsidRPr="004D2043">
              <w:t>10-01-</w:t>
            </w:r>
            <w:r w:rsidR="007E0FE0" w:rsidRPr="004D2043">
              <w:t>2013</w:t>
            </w:r>
          </w:p>
        </w:tc>
        <w:tc>
          <w:tcPr>
            <w:tcW w:w="1710" w:type="dxa"/>
            <w:tcBorders>
              <w:top w:val="single" w:sz="6" w:space="0" w:color="auto"/>
              <w:left w:val="single" w:sz="6" w:space="0" w:color="auto"/>
              <w:bottom w:val="single" w:sz="6" w:space="0" w:color="auto"/>
              <w:right w:val="single" w:sz="6" w:space="0" w:color="auto"/>
            </w:tcBorders>
          </w:tcPr>
          <w:p w:rsidR="00FF096B" w:rsidRPr="004D2043" w:rsidRDefault="0095150B">
            <w:pPr>
              <w:pStyle w:val="TableText"/>
            </w:pPr>
            <w:r w:rsidRPr="004D2043">
              <w:t>100</w:t>
            </w:r>
          </w:p>
        </w:tc>
        <w:tc>
          <w:tcPr>
            <w:tcW w:w="395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w:t>
            </w:r>
            <w:r w:rsidR="0095150B" w:rsidRPr="004D2043">
              <w:t>100</w:t>
            </w:r>
            <w:r w:rsidR="006E785C" w:rsidRPr="004D2043">
              <w:t xml:space="preserve"> interest from September 29, 20</w:t>
            </w:r>
            <w:r w:rsidR="00AC3094" w:rsidRPr="004D2043">
              <w:t>13</w:t>
            </w:r>
          </w:p>
        </w:tc>
      </w:tr>
      <w:tr w:rsidR="00FF096B" w:rsidRPr="004D2043">
        <w:trPr>
          <w:cantSplit/>
          <w:trHeight w:val="290"/>
        </w:trPr>
        <w:tc>
          <w:tcPr>
            <w:tcW w:w="1879" w:type="dxa"/>
            <w:tcBorders>
              <w:top w:val="single" w:sz="6" w:space="0" w:color="auto"/>
              <w:left w:val="single" w:sz="6" w:space="0" w:color="auto"/>
              <w:bottom w:val="single" w:sz="6" w:space="0" w:color="auto"/>
              <w:right w:val="single" w:sz="6" w:space="0" w:color="auto"/>
            </w:tcBorders>
          </w:tcPr>
          <w:p w:rsidR="00FF096B" w:rsidRPr="004D2043" w:rsidRDefault="00FF096B" w:rsidP="007E0FE0">
            <w:pPr>
              <w:pStyle w:val="TableText"/>
            </w:pPr>
            <w:r w:rsidRPr="004D2043">
              <w:t>02-01-</w:t>
            </w:r>
            <w:r w:rsidR="007E0FE0" w:rsidRPr="004D2043">
              <w:t>2014</w:t>
            </w:r>
          </w:p>
        </w:tc>
        <w:tc>
          <w:tcPr>
            <w:tcW w:w="171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75</w:t>
            </w:r>
          </w:p>
        </w:tc>
        <w:tc>
          <w:tcPr>
            <w:tcW w:w="395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$75 interest from January 1, 20</w:t>
            </w:r>
            <w:r w:rsidR="00AC3094" w:rsidRPr="004D2043">
              <w:t>14</w:t>
            </w:r>
          </w:p>
          <w:p w:rsidR="00FF096B" w:rsidRPr="004D2043" w:rsidRDefault="00FF096B">
            <w:pPr>
              <w:pStyle w:val="TableText"/>
            </w:pPr>
          </w:p>
          <w:p w:rsidR="00FF096B" w:rsidRPr="004D2043" w:rsidRDefault="00FF096B">
            <w:pPr>
              <w:pStyle w:val="TableText"/>
            </w:pPr>
            <w:r w:rsidRPr="004D2043">
              <w:rPr>
                <w:b/>
                <w:bCs/>
                <w:i/>
                <w:iCs/>
              </w:rPr>
              <w:t>Note</w:t>
            </w:r>
            <w:r w:rsidRPr="004D2043">
              <w:t xml:space="preserve">:  </w:t>
            </w:r>
            <w:hyperlink r:id="rId44" w:history="1">
              <w:r w:rsidR="006D50AE" w:rsidRPr="004D2043">
                <w:rPr>
                  <w:rStyle w:val="Hyperlink"/>
                </w:rPr>
                <w:t>38 CFR</w:t>
              </w:r>
              <w:r w:rsidRPr="004D2043">
                <w:rPr>
                  <w:rStyle w:val="Hyperlink"/>
                </w:rPr>
                <w:t xml:space="preserve"> 3.31</w:t>
              </w:r>
            </w:hyperlink>
            <w:r w:rsidRPr="004D2043">
              <w:t xml:space="preserve"> applies.</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rsidP="009B5131">
            <w:pPr>
              <w:pStyle w:val="Heading5"/>
            </w:pPr>
            <w:proofErr w:type="gramStart"/>
            <w:r w:rsidRPr="004D2043">
              <w:lastRenderedPageBreak/>
              <w:t>j</w:t>
            </w:r>
            <w:r w:rsidR="00FF096B" w:rsidRPr="004D2043">
              <w:t>.  Irregular</w:t>
            </w:r>
            <w:proofErr w:type="gramEnd"/>
            <w:r w:rsidR="00FF096B" w:rsidRPr="004D2043">
              <w:t xml:space="preserve"> Income and Original or </w:t>
            </w:r>
            <w:r w:rsidR="009B5131" w:rsidRPr="004D2043">
              <w:t xml:space="preserve">New </w:t>
            </w:r>
            <w:r w:rsidR="00FF096B" w:rsidRPr="004D2043">
              <w:t>Awards</w:t>
            </w:r>
          </w:p>
        </w:tc>
        <w:tc>
          <w:tcPr>
            <w:tcW w:w="7740" w:type="dxa"/>
          </w:tcPr>
          <w:p w:rsidR="00FF096B" w:rsidRPr="004D2043" w:rsidRDefault="00FF096B">
            <w:pPr>
              <w:pStyle w:val="BlockText"/>
            </w:pPr>
            <w:r w:rsidRPr="004D2043">
              <w:t xml:space="preserve">For an original or </w:t>
            </w:r>
            <w:r w:rsidR="007E0FE0" w:rsidRPr="004D2043">
              <w:t xml:space="preserve">new </w:t>
            </w:r>
            <w:r w:rsidRPr="004D2043">
              <w:t xml:space="preserve">award after a period of </w:t>
            </w:r>
            <w:proofErr w:type="spellStart"/>
            <w:r w:rsidRPr="004D2043">
              <w:t>nonentitlement</w:t>
            </w:r>
            <w:proofErr w:type="spellEnd"/>
            <w:r w:rsidRPr="004D2043">
              <w:t>, count irregular income received between the effective date and the payment date over the d</w:t>
            </w:r>
            <w:r w:rsidR="006E785C" w:rsidRPr="004D2043">
              <w:t>uration of the initial period.</w:t>
            </w:r>
          </w:p>
          <w:p w:rsidR="00FF096B" w:rsidRPr="004D2043" w:rsidRDefault="00FF096B">
            <w:pPr>
              <w:pStyle w:val="BlockText"/>
            </w:pPr>
          </w:p>
          <w:p w:rsidR="00FF096B" w:rsidRPr="004D2043" w:rsidRDefault="0063239D">
            <w:pPr>
              <w:pStyle w:val="BlockText"/>
            </w:pPr>
            <w:r w:rsidRPr="004D2043">
              <w:rPr>
                <w:b/>
                <w:i/>
              </w:rPr>
              <w:t>Example</w:t>
            </w:r>
            <w:r w:rsidR="00FF096B" w:rsidRPr="004D2043">
              <w:t xml:space="preserve">:  A Veteran turns 65 and claims pension on December 14, </w:t>
            </w:r>
            <w:r w:rsidR="007E0FE0" w:rsidRPr="004D2043">
              <w:t>201</w:t>
            </w:r>
            <w:r w:rsidR="00377197" w:rsidRPr="004D2043">
              <w:t>3</w:t>
            </w:r>
            <w:r w:rsidR="00FF096B" w:rsidRPr="004D2043">
              <w:t xml:space="preserve">.  The initial </w:t>
            </w:r>
            <w:r w:rsidR="007E0FE0" w:rsidRPr="004D2043">
              <w:t>year</w:t>
            </w:r>
            <w:r w:rsidR="00FF096B" w:rsidRPr="004D2043">
              <w:t xml:space="preserve"> period is December 14, </w:t>
            </w:r>
            <w:r w:rsidR="007E0FE0" w:rsidRPr="004D2043">
              <w:t>201</w:t>
            </w:r>
            <w:r w:rsidR="00377197" w:rsidRPr="004D2043">
              <w:t>3</w:t>
            </w:r>
            <w:r w:rsidR="00FF096B" w:rsidRPr="004D2043">
              <w:t xml:space="preserve">, through December 31, </w:t>
            </w:r>
            <w:r w:rsidR="007E0FE0" w:rsidRPr="004D2043">
              <w:t>201</w:t>
            </w:r>
            <w:r w:rsidR="00377197" w:rsidRPr="004D2043">
              <w:t>4</w:t>
            </w:r>
            <w:r w:rsidR="00FF096B" w:rsidRPr="004D2043">
              <w:t xml:space="preserve">.  </w:t>
            </w:r>
            <w:r w:rsidR="00377197" w:rsidRPr="004D2043">
              <w:t xml:space="preserve">The Veteran is paid the maximum rate based on $0 income. </w:t>
            </w:r>
            <w:r w:rsidR="00C805DD" w:rsidRPr="004D2043">
              <w:t>On June 18, 2014, t</w:t>
            </w:r>
            <w:r w:rsidR="00FF096B" w:rsidRPr="004D2043">
              <w:t>he Veteran reports</w:t>
            </w:r>
            <w:r w:rsidR="006E785C" w:rsidRPr="004D2043">
              <w:t xml:space="preserve"> </w:t>
            </w:r>
            <w:r w:rsidR="00FF096B" w:rsidRPr="004D2043">
              <w:t xml:space="preserve">having received income from babysitting in the amount of $500 during the period January 1, </w:t>
            </w:r>
            <w:r w:rsidR="00377197" w:rsidRPr="004D2043">
              <w:t>2014</w:t>
            </w:r>
            <w:r w:rsidR="00FF096B" w:rsidRPr="004D2043">
              <w:t xml:space="preserve">, through December 31, </w:t>
            </w:r>
            <w:r w:rsidR="00377197" w:rsidRPr="004D2043">
              <w:t>2014</w:t>
            </w:r>
            <w:r w:rsidR="00FF096B" w:rsidRPr="004D2043">
              <w:t xml:space="preserve">.  The Veteran does not anticipate receiving income from any source in </w:t>
            </w:r>
            <w:r w:rsidR="00377197" w:rsidRPr="004D2043">
              <w:t>2015</w:t>
            </w:r>
            <w:r w:rsidR="00FF096B" w:rsidRPr="004D2043">
              <w:t xml:space="preserve">.  </w:t>
            </w:r>
            <w:r w:rsidR="00377197" w:rsidRPr="004D2043">
              <w:t>Review of FTI provided by the IRS shows $0 in income.</w:t>
            </w:r>
          </w:p>
          <w:p w:rsidR="00FF096B" w:rsidRPr="004D2043" w:rsidRDefault="00FF096B">
            <w:pPr>
              <w:pStyle w:val="BlockText"/>
            </w:pPr>
          </w:p>
          <w:p w:rsidR="00FF096B" w:rsidRPr="004D2043" w:rsidRDefault="00FF096B">
            <w:pPr>
              <w:pStyle w:val="BlockText"/>
            </w:pPr>
            <w:r w:rsidRPr="004D2043">
              <w:t xml:space="preserve">Further development reveals that a total of $630 in babysitting income was received between December 14, </w:t>
            </w:r>
            <w:r w:rsidR="00377197" w:rsidRPr="004D2043">
              <w:t>2013</w:t>
            </w:r>
            <w:r w:rsidRPr="004D2043">
              <w:t xml:space="preserve">, and January 1, </w:t>
            </w:r>
            <w:r w:rsidR="00377197" w:rsidRPr="004D2043">
              <w:t>2015</w:t>
            </w:r>
            <w:r w:rsidRPr="004D2043">
              <w:t>.  The income was received at various times and in various amounts during the period i</w:t>
            </w:r>
            <w:r w:rsidR="006E785C" w:rsidRPr="004D2043">
              <w:t>n question (irregular income).</w:t>
            </w:r>
          </w:p>
          <w:p w:rsidR="00FF096B" w:rsidRPr="004D2043" w:rsidRDefault="00FF096B">
            <w:pPr>
              <w:pStyle w:val="BlockText"/>
            </w:pPr>
          </w:p>
          <w:p w:rsidR="00FF096B" w:rsidRPr="004D2043" w:rsidRDefault="00FF096B">
            <w:pPr>
              <w:pStyle w:val="BlockText"/>
            </w:pPr>
            <w:r w:rsidRPr="004D2043">
              <w:rPr>
                <w:b/>
                <w:i/>
              </w:rPr>
              <w:t>Result</w:t>
            </w:r>
            <w:r w:rsidRPr="004D2043">
              <w:t xml:space="preserve">:  Increase IVAP to $630 from </w:t>
            </w:r>
            <w:r w:rsidRPr="004D2043">
              <w:br w:type="page"/>
              <w:t xml:space="preserve">January 1, </w:t>
            </w:r>
            <w:r w:rsidR="00377197" w:rsidRPr="004D2043">
              <w:t>2014</w:t>
            </w:r>
            <w:r w:rsidRPr="004D2043">
              <w:t xml:space="preserve">, and reduce IVAP to $0 from February 1, </w:t>
            </w:r>
            <w:r w:rsidR="00377197" w:rsidRPr="004D2043">
              <w:t>201</w:t>
            </w:r>
            <w:r w:rsidR="00C805DD" w:rsidRPr="004D2043">
              <w:t>5</w:t>
            </w:r>
            <w:r w:rsidR="00377197" w:rsidRPr="004D2043">
              <w:t xml:space="preserve"> </w:t>
            </w:r>
            <w:r w:rsidRPr="004D2043">
              <w:t>(</w:t>
            </w:r>
            <w:hyperlink r:id="rId45" w:history="1">
              <w:r w:rsidR="006D50AE" w:rsidRPr="004D2043">
                <w:rPr>
                  <w:rStyle w:val="Hyperlink"/>
                </w:rPr>
                <w:t>38 CFR</w:t>
              </w:r>
              <w:r w:rsidRPr="004D2043">
                <w:rPr>
                  <w:rStyle w:val="Hyperlink"/>
                </w:rPr>
                <w:t xml:space="preserve"> 3.31</w:t>
              </w:r>
            </w:hyperlink>
            <w:r w:rsidRPr="004D2043">
              <w:t>).</w:t>
            </w:r>
          </w:p>
          <w:p w:rsidR="00FF096B" w:rsidRPr="004D2043" w:rsidRDefault="00FF096B">
            <w:pPr>
              <w:pStyle w:val="BlockText"/>
            </w:pPr>
          </w:p>
          <w:p w:rsidR="00FF096B" w:rsidRPr="004D2043" w:rsidRDefault="00FF096B">
            <w:pPr>
              <w:pStyle w:val="BlockText"/>
            </w:pPr>
            <w:r w:rsidRPr="004D2043">
              <w:rPr>
                <w:b/>
                <w:i/>
              </w:rPr>
              <w:t>Reference</w:t>
            </w:r>
            <w:r w:rsidRPr="004D2043">
              <w:t xml:space="preserve">:  For a definition of the term </w:t>
            </w:r>
            <w:r w:rsidRPr="004D2043">
              <w:rPr>
                <w:b/>
                <w:i/>
              </w:rPr>
              <w:t>initial period</w:t>
            </w:r>
            <w:r w:rsidRPr="004D2043">
              <w:t>, see M21-1, Part V, Subpart iii, 1.E.</w:t>
            </w:r>
            <w:r w:rsidR="007E0FE0" w:rsidRPr="004D2043">
              <w:t>7</w:t>
            </w:r>
            <w:r w:rsidRPr="004D2043">
              <w:t>.</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k</w:t>
            </w:r>
            <w:r w:rsidR="00FF096B" w:rsidRPr="004D2043">
              <w:t>.  Irregular</w:t>
            </w:r>
            <w:proofErr w:type="gramEnd"/>
            <w:r w:rsidR="00FF096B" w:rsidRPr="004D2043">
              <w:t xml:space="preserve"> Income and the End-of-the-Month Rule</w:t>
            </w:r>
          </w:p>
        </w:tc>
        <w:tc>
          <w:tcPr>
            <w:tcW w:w="7740" w:type="dxa"/>
          </w:tcPr>
          <w:p w:rsidR="00FF096B" w:rsidRPr="004D2043" w:rsidRDefault="00FF096B">
            <w:pPr>
              <w:pStyle w:val="BlockText"/>
            </w:pPr>
            <w:r w:rsidRPr="004D2043">
              <w:t xml:space="preserve">Per </w:t>
            </w:r>
            <w:hyperlink r:id="rId46" w:history="1">
              <w:r w:rsidR="006D50AE" w:rsidRPr="004D2043">
                <w:rPr>
                  <w:rStyle w:val="Hyperlink"/>
                </w:rPr>
                <w:t>38 CFR</w:t>
              </w:r>
              <w:r w:rsidRPr="004D2043">
                <w:rPr>
                  <w:rStyle w:val="Hyperlink"/>
                </w:rPr>
                <w:t xml:space="preserve"> 3.660(a</w:t>
              </w:r>
              <w:proofErr w:type="gramStart"/>
              <w:r w:rsidRPr="004D2043">
                <w:rPr>
                  <w:rStyle w:val="Hyperlink"/>
                </w:rPr>
                <w:t>)(</w:t>
              </w:r>
              <w:proofErr w:type="gramEnd"/>
              <w:r w:rsidRPr="004D2043">
                <w:rPr>
                  <w:rStyle w:val="Hyperlink"/>
                </w:rPr>
                <w:t>2)</w:t>
              </w:r>
            </w:hyperlink>
            <w:r w:rsidRPr="004D2043">
              <w:t xml:space="preserve">, whenever reduction of a running </w:t>
            </w:r>
            <w:r w:rsidR="00377197" w:rsidRPr="004D2043">
              <w:t xml:space="preserve">current-law </w:t>
            </w:r>
            <w:r w:rsidRPr="004D2043">
              <w:t xml:space="preserve">Pension award is required because of an increase in income, the reduction is effective the end of the month in which the increase occurred.  However, this “end-of-the-month rule” does </w:t>
            </w:r>
            <w:r w:rsidRPr="004D2043">
              <w:rPr>
                <w:i/>
              </w:rPr>
              <w:t>not</w:t>
            </w:r>
            <w:r w:rsidRPr="004D2043">
              <w:t xml:space="preserve"> apply to decreased rates attributable to increases in irregular income (that is, when VA is already counting irregular income) when there is no discretely identifiable date of receipt.</w:t>
            </w:r>
          </w:p>
          <w:p w:rsidR="00FF096B" w:rsidRPr="004D2043" w:rsidRDefault="00FF096B">
            <w:pPr>
              <w:pStyle w:val="BlockText"/>
              <w:rPr>
                <w:bCs/>
                <w:iCs/>
              </w:rPr>
            </w:pPr>
          </w:p>
          <w:p w:rsidR="00FF096B" w:rsidRPr="004D2043" w:rsidRDefault="0063239D">
            <w:pPr>
              <w:pStyle w:val="BlockText"/>
            </w:pPr>
            <w:r w:rsidRPr="004D2043">
              <w:rPr>
                <w:b/>
                <w:i/>
              </w:rPr>
              <w:t>Example</w:t>
            </w:r>
            <w:r w:rsidR="00FF096B" w:rsidRPr="004D2043">
              <w:t xml:space="preserve">:  </w:t>
            </w:r>
            <w:r w:rsidR="006E785C" w:rsidRPr="004D2043">
              <w:t>A</w:t>
            </w:r>
            <w:r w:rsidR="00FF096B" w:rsidRPr="004D2043">
              <w:t xml:space="preserve"> Veteran is being paid on $80 IVAP from interest.  </w:t>
            </w:r>
            <w:r w:rsidR="00377197" w:rsidRPr="004D2043">
              <w:t>On January 31, 2015</w:t>
            </w:r>
            <w:r w:rsidR="006E785C" w:rsidRPr="004D2043">
              <w:t>,</w:t>
            </w:r>
            <w:r w:rsidR="00377197" w:rsidRPr="004D2043">
              <w:t xml:space="preserve"> t</w:t>
            </w:r>
            <w:r w:rsidR="00FF096B" w:rsidRPr="004D2043">
              <w:t xml:space="preserve">he Veteran </w:t>
            </w:r>
            <w:r w:rsidR="00377197" w:rsidRPr="004D2043">
              <w:t>reports $90 in interest for 2014</w:t>
            </w:r>
            <w:r w:rsidR="00FF096B" w:rsidRPr="004D2043">
              <w:t xml:space="preserve">.  </w:t>
            </w:r>
            <w:r w:rsidR="00377197" w:rsidRPr="004D2043">
              <w:t xml:space="preserve">FTI provided by the IRS is not yet available for the year 2014. </w:t>
            </w:r>
          </w:p>
          <w:p w:rsidR="00FF096B" w:rsidRPr="004D2043" w:rsidRDefault="00FF096B">
            <w:pPr>
              <w:pStyle w:val="BlockText"/>
            </w:pPr>
          </w:p>
          <w:p w:rsidR="00FF096B" w:rsidRPr="004D2043" w:rsidRDefault="00FF096B">
            <w:pPr>
              <w:pStyle w:val="BlockText"/>
            </w:pPr>
            <w:r w:rsidRPr="004D2043">
              <w:t xml:space="preserve">Count interest income of $90 from January 1, </w:t>
            </w:r>
            <w:r w:rsidR="00377197" w:rsidRPr="004D2043">
              <w:t>2014</w:t>
            </w:r>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l</w:t>
            </w:r>
            <w:r w:rsidR="00FF096B" w:rsidRPr="004D2043">
              <w:t>.  Reclassifying</w:t>
            </w:r>
            <w:proofErr w:type="gramEnd"/>
            <w:r w:rsidR="00FF096B" w:rsidRPr="004D2043">
              <w:t xml:space="preserve"> Income as Irregular Income</w:t>
            </w:r>
          </w:p>
        </w:tc>
        <w:tc>
          <w:tcPr>
            <w:tcW w:w="7740" w:type="dxa"/>
          </w:tcPr>
          <w:p w:rsidR="00FF096B" w:rsidRPr="004D2043" w:rsidRDefault="00FF096B">
            <w:pPr>
              <w:pStyle w:val="BlockText"/>
            </w:pPr>
            <w:r w:rsidRPr="004D2043">
              <w:t>In some instances, income that is initially characterized as recurring income is reclassified as irregular income after the fact.</w:t>
            </w:r>
          </w:p>
          <w:p w:rsidR="00FF096B" w:rsidRPr="004D2043" w:rsidRDefault="00FF096B">
            <w:pPr>
              <w:pStyle w:val="BlockText"/>
            </w:pPr>
          </w:p>
          <w:p w:rsidR="00FF096B" w:rsidRPr="004D2043" w:rsidRDefault="00FF096B">
            <w:pPr>
              <w:pStyle w:val="BlockText"/>
            </w:pPr>
            <w:r w:rsidRPr="004D2043">
              <w:rPr>
                <w:b/>
                <w:i/>
              </w:rPr>
              <w:t>Example</w:t>
            </w:r>
            <w:r w:rsidRPr="004D2043">
              <w:t xml:space="preserve">:  A surviving spouse’s original award is payable from May 1, </w:t>
            </w:r>
            <w:r w:rsidR="00377197" w:rsidRPr="004D2043">
              <w:t>2014</w:t>
            </w:r>
            <w:r w:rsidRPr="004D2043">
              <w:t xml:space="preserve">.  The surviving spouse reports anticipated earnings of $200 per month. </w:t>
            </w:r>
            <w:r w:rsidR="009B1A33" w:rsidRPr="004D2043">
              <w:t xml:space="preserve"> </w:t>
            </w:r>
            <w:r w:rsidR="00980A9E" w:rsidRPr="004D2043">
              <w:t xml:space="preserve">Review of FTI provided by the IRS shows that she had wages from multiple payers in the prior years. </w:t>
            </w:r>
            <w:r w:rsidR="009B1A33" w:rsidRPr="004D2043">
              <w:t xml:space="preserve"> </w:t>
            </w:r>
            <w:r w:rsidR="00980A9E" w:rsidRPr="004D2043">
              <w:t>It shows her combined wages for the prior year from all payers was $2,200.</w:t>
            </w:r>
            <w:r w:rsidRPr="004D2043">
              <w:t xml:space="preserve"> The award is made based on </w:t>
            </w:r>
            <w:r w:rsidR="00980A9E" w:rsidRPr="004D2043">
              <w:t xml:space="preserve">reported </w:t>
            </w:r>
            <w:r w:rsidRPr="004D2043">
              <w:t xml:space="preserve">IVAP of $2,400 (recurring income).  During May </w:t>
            </w:r>
            <w:r w:rsidR="00377197" w:rsidRPr="004D2043">
              <w:t>2015</w:t>
            </w:r>
            <w:r w:rsidRPr="004D2043">
              <w:t xml:space="preserve">, VA receives </w:t>
            </w:r>
            <w:r w:rsidR="00980A9E" w:rsidRPr="004D2043">
              <w:t xml:space="preserve">a statement from </w:t>
            </w:r>
            <w:r w:rsidRPr="004D2043">
              <w:t>the surviving spous</w:t>
            </w:r>
            <w:r w:rsidR="00AD662A" w:rsidRPr="004D2043">
              <w:t>e</w:t>
            </w:r>
            <w:r w:rsidRPr="004D2043">
              <w:t xml:space="preserve"> </w:t>
            </w:r>
            <w:r w:rsidR="00980A9E" w:rsidRPr="004D2043">
              <w:t xml:space="preserve">indicating </w:t>
            </w:r>
            <w:r w:rsidRPr="004D2043">
              <w:t>that</w:t>
            </w:r>
            <w:r w:rsidR="00AD662A" w:rsidRPr="004D2043">
              <w:t xml:space="preserve"> she</w:t>
            </w:r>
          </w:p>
          <w:p w:rsidR="009B1A33" w:rsidRPr="004D2043" w:rsidRDefault="009B1A33">
            <w:pPr>
              <w:pStyle w:val="BlockText"/>
            </w:pPr>
          </w:p>
          <w:p w:rsidR="00FF096B" w:rsidRPr="004D2043" w:rsidRDefault="00FF096B">
            <w:pPr>
              <w:pStyle w:val="BulletText1"/>
            </w:pPr>
            <w:r w:rsidRPr="004D2043">
              <w:t xml:space="preserve">was laid off in August </w:t>
            </w:r>
            <w:r w:rsidR="00980A9E" w:rsidRPr="004D2043">
              <w:t>2014</w:t>
            </w:r>
          </w:p>
          <w:p w:rsidR="00FF096B" w:rsidRPr="004D2043" w:rsidRDefault="00FF096B">
            <w:pPr>
              <w:pStyle w:val="BulletText1"/>
            </w:pPr>
            <w:r w:rsidRPr="004D2043">
              <w:t xml:space="preserve">got another job in September </w:t>
            </w:r>
            <w:r w:rsidR="00980A9E" w:rsidRPr="004D2043">
              <w:t>2014</w:t>
            </w:r>
            <w:r w:rsidRPr="004D2043">
              <w:t xml:space="preserve"> making $300 per month</w:t>
            </w:r>
          </w:p>
          <w:p w:rsidR="00FF096B" w:rsidRPr="004D2043" w:rsidRDefault="00FF096B">
            <w:pPr>
              <w:pStyle w:val="BulletText1"/>
            </w:pPr>
            <w:r w:rsidRPr="004D2043">
              <w:t xml:space="preserve">quit in October </w:t>
            </w:r>
            <w:r w:rsidR="00980A9E" w:rsidRPr="004D2043">
              <w:t>2014</w:t>
            </w:r>
          </w:p>
          <w:p w:rsidR="00FF096B" w:rsidRPr="004D2043" w:rsidRDefault="00FF096B">
            <w:pPr>
              <w:pStyle w:val="BulletText1"/>
            </w:pPr>
            <w:r w:rsidRPr="004D2043">
              <w:t xml:space="preserve">earned $250 in March </w:t>
            </w:r>
            <w:r w:rsidR="00980A9E" w:rsidRPr="004D2043">
              <w:t>2015 from odd jobs</w:t>
            </w:r>
            <w:r w:rsidRPr="004D2043">
              <w:t xml:space="preserve">, and </w:t>
            </w:r>
          </w:p>
          <w:p w:rsidR="00FF096B" w:rsidRPr="004D2043" w:rsidRDefault="009B1A33">
            <w:pPr>
              <w:pStyle w:val="BulletText1"/>
            </w:pPr>
            <w:proofErr w:type="gramStart"/>
            <w:r w:rsidRPr="004D2043">
              <w:t>is</w:t>
            </w:r>
            <w:proofErr w:type="gramEnd"/>
            <w:r w:rsidRPr="004D2043">
              <w:t xml:space="preserve"> presently unemployed.</w:t>
            </w:r>
          </w:p>
          <w:p w:rsidR="00FF096B" w:rsidRPr="004D2043" w:rsidRDefault="00FF096B">
            <w:pPr>
              <w:pStyle w:val="BlockText"/>
            </w:pPr>
          </w:p>
          <w:p w:rsidR="00FF096B" w:rsidRPr="004D2043" w:rsidRDefault="00FF096B">
            <w:pPr>
              <w:pStyle w:val="BlockText"/>
            </w:pPr>
            <w:r w:rsidRPr="004D2043">
              <w:t xml:space="preserve">Total earnings during the period May 1, </w:t>
            </w:r>
            <w:r w:rsidR="00980A9E" w:rsidRPr="004D2043">
              <w:t>2014</w:t>
            </w:r>
            <w:r w:rsidRPr="004D2043">
              <w:t xml:space="preserve">, through April 30, </w:t>
            </w:r>
            <w:r w:rsidR="00980A9E" w:rsidRPr="004D2043">
              <w:t>2015</w:t>
            </w:r>
            <w:r w:rsidRPr="004D2043">
              <w:t>, came to $1,650.</w:t>
            </w:r>
            <w:r w:rsidR="00980A9E" w:rsidRPr="004D2043">
              <w:t xml:space="preserve"> </w:t>
            </w:r>
            <w:r w:rsidR="009B1A33" w:rsidRPr="004D2043">
              <w:t xml:space="preserve"> </w:t>
            </w:r>
            <w:r w:rsidR="00980A9E" w:rsidRPr="004D2043">
              <w:t>FTI provided by the IRS is not yet available for 2014 or 2015.</w:t>
            </w:r>
          </w:p>
          <w:p w:rsidR="00FF096B" w:rsidRPr="004D2043" w:rsidRDefault="00FF096B">
            <w:pPr>
              <w:pStyle w:val="BlockText"/>
            </w:pPr>
          </w:p>
          <w:p w:rsidR="00FF096B" w:rsidRPr="004D2043" w:rsidRDefault="00FF096B" w:rsidP="00980A9E">
            <w:pPr>
              <w:pStyle w:val="BlockText"/>
            </w:pPr>
            <w:proofErr w:type="spellStart"/>
            <w:r w:rsidRPr="004D2043">
              <w:t>Recharacterize</w:t>
            </w:r>
            <w:proofErr w:type="spellEnd"/>
            <w:r w:rsidRPr="004D2043">
              <w:t xml:space="preserve"> the recurring income as irregular income and change the IVAP t</w:t>
            </w:r>
            <w:r w:rsidR="009419A2" w:rsidRPr="004D2043">
              <w:t xml:space="preserve">o $1,650 effective May 1, </w:t>
            </w:r>
            <w:r w:rsidR="00980A9E" w:rsidRPr="004D2043">
              <w:t>2014</w:t>
            </w:r>
            <w:r w:rsidR="009419A2"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m</w:t>
            </w:r>
            <w:r w:rsidR="00FF096B" w:rsidRPr="004D2043">
              <w:t>.  Counting</w:t>
            </w:r>
            <w:proofErr w:type="gramEnd"/>
            <w:r w:rsidR="00FF096B" w:rsidRPr="004D2043">
              <w:t xml:space="preserve"> Short-Term Recurring Income</w:t>
            </w:r>
          </w:p>
        </w:tc>
        <w:tc>
          <w:tcPr>
            <w:tcW w:w="7740" w:type="dxa"/>
          </w:tcPr>
          <w:p w:rsidR="00FF096B" w:rsidRPr="004D2043" w:rsidRDefault="00FF096B">
            <w:pPr>
              <w:pStyle w:val="BlockText"/>
            </w:pPr>
            <w:r w:rsidRPr="004D2043">
              <w:t xml:space="preserve">Treat short-term recurring income like nonrecurring income and count the total amount received for 12 months from the first </w:t>
            </w:r>
            <w:r w:rsidR="009B1A33" w:rsidRPr="004D2043">
              <w:t xml:space="preserve">day </w:t>
            </w:r>
            <w:r w:rsidRPr="004D2043">
              <w:t>of the month after it was initially received.</w:t>
            </w:r>
          </w:p>
          <w:p w:rsidR="00FF096B" w:rsidRPr="004D2043" w:rsidRDefault="00FF096B">
            <w:pPr>
              <w:pStyle w:val="BlockText"/>
            </w:pPr>
          </w:p>
          <w:p w:rsidR="00FF096B" w:rsidRPr="004D2043" w:rsidRDefault="00FF096B">
            <w:pPr>
              <w:pStyle w:val="BlockText"/>
            </w:pPr>
            <w:r w:rsidRPr="004D2043">
              <w:rPr>
                <w:b/>
                <w:i/>
              </w:rPr>
              <w:t>Example</w:t>
            </w:r>
            <w:r w:rsidRPr="004D2043">
              <w:t>:</w:t>
            </w:r>
            <w:r w:rsidR="00A21229" w:rsidRPr="004D2043">
              <w:rPr>
                <w:b/>
                <w:i/>
              </w:rPr>
              <w:t xml:space="preserve">  </w:t>
            </w:r>
            <w:r w:rsidRPr="004D2043">
              <w:t xml:space="preserve">A Veteran started receiving earned income of $200 per month, effective March 14, </w:t>
            </w:r>
            <w:r w:rsidR="00661B76" w:rsidRPr="004D2043">
              <w:t>2015</w:t>
            </w:r>
            <w:r w:rsidRPr="004D2043">
              <w:t xml:space="preserve">.  The Veteran has no other income.  The award was adjusted effective April 1, </w:t>
            </w:r>
            <w:r w:rsidR="00661B76" w:rsidRPr="004D2043">
              <w:t>2015</w:t>
            </w:r>
            <w:r w:rsidRPr="004D2043">
              <w:t xml:space="preserve">, to count $2,400 on an open-ended basis.  The Veteran later reports losing the job and states that the last check was received on July 14, </w:t>
            </w:r>
            <w:r w:rsidR="0079385E" w:rsidRPr="004D2043">
              <w:t>2015</w:t>
            </w:r>
            <w:r w:rsidRPr="004D2043">
              <w:t xml:space="preserve">.  The total earnings received were $1,000.  </w:t>
            </w:r>
            <w:r w:rsidR="00661B76" w:rsidRPr="004D2043">
              <w:t>When he makes the report</w:t>
            </w:r>
            <w:r w:rsidR="0079385E" w:rsidRPr="004D2043">
              <w:t>,</w:t>
            </w:r>
            <w:r w:rsidR="00661B76" w:rsidRPr="004D2043">
              <w:t xml:space="preserve"> FTI provided by IRS is not available for the period of reported wages. </w:t>
            </w:r>
          </w:p>
          <w:p w:rsidR="00FF096B" w:rsidRPr="004D2043" w:rsidRDefault="00FF096B">
            <w:pPr>
              <w:pStyle w:val="BlockText"/>
            </w:pPr>
          </w:p>
          <w:p w:rsidR="00FF096B" w:rsidRPr="004D2043" w:rsidRDefault="00FF096B">
            <w:pPr>
              <w:pStyle w:val="BlockText"/>
            </w:pPr>
            <w:r w:rsidRPr="004D2043">
              <w:t xml:space="preserve">Count $1,000 for the period April 1, </w:t>
            </w:r>
            <w:r w:rsidR="00661B76" w:rsidRPr="004D2043">
              <w:t>2015</w:t>
            </w:r>
            <w:r w:rsidRPr="004D2043">
              <w:t xml:space="preserve">, through March 31, </w:t>
            </w:r>
            <w:r w:rsidR="00661B76" w:rsidRPr="004D2043">
              <w:t>2016</w:t>
            </w:r>
            <w:r w:rsidRPr="004D2043">
              <w:t xml:space="preserve">.  Remove the income on April 1, </w:t>
            </w:r>
            <w:r w:rsidR="00661B76" w:rsidRPr="004D2043">
              <w:t>2016</w:t>
            </w:r>
            <w:r w:rsidRPr="004D2043">
              <w:t xml:space="preserve">.  </w:t>
            </w:r>
          </w:p>
          <w:p w:rsidR="00FF096B" w:rsidRPr="004D2043" w:rsidRDefault="00FF096B">
            <w:pPr>
              <w:pStyle w:val="BlockText"/>
            </w:pPr>
          </w:p>
          <w:p w:rsidR="00FF096B" w:rsidRPr="004D2043" w:rsidRDefault="00FF096B">
            <w:pPr>
              <w:pStyle w:val="BlockText"/>
            </w:pPr>
            <w:r w:rsidRPr="004D2043">
              <w:rPr>
                <w:b/>
                <w:bCs/>
                <w:i/>
                <w:iCs/>
              </w:rPr>
              <w:t>Reference</w:t>
            </w:r>
            <w:r w:rsidRPr="004D2043">
              <w:t xml:space="preserve">:  For more information on treating short-term recurring income like nonrecurring income, see </w:t>
            </w:r>
            <w:hyperlink r:id="rId47" w:history="1">
              <w:r w:rsidR="006D50AE" w:rsidRPr="004D2043">
                <w:rPr>
                  <w:rStyle w:val="Hyperlink"/>
                </w:rPr>
                <w:t>38 CFR</w:t>
              </w:r>
              <w:r w:rsidRPr="004D2043">
                <w:rPr>
                  <w:rStyle w:val="Hyperlink"/>
                </w:rPr>
                <w:t xml:space="preserve"> 3.271(a</w:t>
              </w:r>
              <w:proofErr w:type="gramStart"/>
              <w:r w:rsidRPr="004D2043">
                <w:rPr>
                  <w:rStyle w:val="Hyperlink"/>
                </w:rPr>
                <w:t>)(</w:t>
              </w:r>
              <w:proofErr w:type="gramEnd"/>
              <w:r w:rsidRPr="004D2043">
                <w:rPr>
                  <w:rStyle w:val="Hyperlink"/>
                </w:rPr>
                <w:t>1)</w:t>
              </w:r>
            </w:hyperlink>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n</w:t>
            </w:r>
            <w:r w:rsidR="00FF096B" w:rsidRPr="004D2043">
              <w:t>.  Counting</w:t>
            </w:r>
            <w:proofErr w:type="gramEnd"/>
            <w:r w:rsidR="00FF096B" w:rsidRPr="004D2043">
              <w:t xml:space="preserve"> Hard-to-Classify</w:t>
            </w:r>
          </w:p>
          <w:p w:rsidR="00FF096B" w:rsidRPr="004D2043" w:rsidRDefault="00FF096B">
            <w:pPr>
              <w:pStyle w:val="Heading5"/>
            </w:pPr>
            <w:r w:rsidRPr="004D2043">
              <w:t>Income</w:t>
            </w:r>
          </w:p>
        </w:tc>
        <w:tc>
          <w:tcPr>
            <w:tcW w:w="7740" w:type="dxa"/>
          </w:tcPr>
          <w:p w:rsidR="00FF096B" w:rsidRPr="004D2043" w:rsidRDefault="00FF096B">
            <w:pPr>
              <w:pStyle w:val="BlockText"/>
            </w:pPr>
            <w:r w:rsidRPr="004D2043">
              <w:t>Not all income fits neatly into one of the four categories listed in M21-1, Part V, Subpart iii, 1.E.</w:t>
            </w:r>
            <w:r w:rsidR="00980A9E" w:rsidRPr="004D2043">
              <w:t>5</w:t>
            </w:r>
            <w:r w:rsidRPr="004D2043">
              <w:t>.  There are instances where it is not clear whether a claimant has received irregular income, or multipl</w:t>
            </w:r>
            <w:r w:rsidR="009419A2" w:rsidRPr="004D2043">
              <w:t>e occurrences of nonrecurring.</w:t>
            </w:r>
          </w:p>
          <w:p w:rsidR="00FF096B" w:rsidRPr="004D2043" w:rsidRDefault="00FF096B">
            <w:pPr>
              <w:pStyle w:val="BlockText"/>
            </w:pPr>
          </w:p>
          <w:p w:rsidR="00FF096B" w:rsidRPr="004D2043" w:rsidRDefault="00FF096B">
            <w:pPr>
              <w:pStyle w:val="BlockText"/>
            </w:pPr>
            <w:r w:rsidRPr="004D2043">
              <w:rPr>
                <w:b/>
                <w:i/>
              </w:rPr>
              <w:t>Question</w:t>
            </w:r>
            <w:r w:rsidRPr="004D2043">
              <w:t xml:space="preserve">:  If a Veteran does occasional seasonal labor and receives three $500 checks during the 12-month </w:t>
            </w:r>
            <w:r w:rsidR="00661B76" w:rsidRPr="004D2043">
              <w:t xml:space="preserve">calendar or initial year </w:t>
            </w:r>
            <w:r w:rsidRPr="004D2043">
              <w:t xml:space="preserve">reporting </w:t>
            </w:r>
            <w:r w:rsidR="009419A2" w:rsidRPr="004D2043">
              <w:t>period, should it be treated as</w:t>
            </w:r>
          </w:p>
          <w:p w:rsidR="00FF096B" w:rsidRPr="004D2043" w:rsidRDefault="00FF096B">
            <w:pPr>
              <w:pStyle w:val="BulletText1"/>
            </w:pPr>
            <w:r w:rsidRPr="004D2043">
              <w:t xml:space="preserve">three instances of nonrecurring income with three </w:t>
            </w:r>
            <w:r w:rsidR="009419A2" w:rsidRPr="004D2043">
              <w:t>separate income adjustments, or</w:t>
            </w:r>
          </w:p>
          <w:p w:rsidR="00FF096B" w:rsidRPr="004D2043" w:rsidRDefault="00FF096B">
            <w:pPr>
              <w:pStyle w:val="BulletText1"/>
            </w:pPr>
            <w:proofErr w:type="gramStart"/>
            <w:r w:rsidRPr="004D2043">
              <w:t>irregular</w:t>
            </w:r>
            <w:proofErr w:type="gramEnd"/>
            <w:r w:rsidRPr="004D2043">
              <w:t xml:space="preserve"> income and counted for the duration of the </w:t>
            </w:r>
            <w:r w:rsidR="00661B76" w:rsidRPr="004D2043">
              <w:t xml:space="preserve">calendar or </w:t>
            </w:r>
            <w:proofErr w:type="spellStart"/>
            <w:r w:rsidR="00661B76" w:rsidRPr="004D2043">
              <w:t>intial</w:t>
            </w:r>
            <w:proofErr w:type="spellEnd"/>
            <w:r w:rsidR="00661B76" w:rsidRPr="004D2043">
              <w:t xml:space="preserve"> </w:t>
            </w:r>
            <w:r w:rsidRPr="004D2043">
              <w:t>reporting period during which it was received?</w:t>
            </w:r>
          </w:p>
          <w:p w:rsidR="00FF096B" w:rsidRPr="004D2043" w:rsidRDefault="00FF096B">
            <w:pPr>
              <w:pStyle w:val="BlockText"/>
            </w:pPr>
          </w:p>
          <w:p w:rsidR="00FF096B" w:rsidRPr="004D2043" w:rsidRDefault="00FF096B">
            <w:pPr>
              <w:pStyle w:val="BlockText"/>
            </w:pPr>
            <w:r w:rsidRPr="004D2043">
              <w:br w:type="page"/>
            </w:r>
            <w:r w:rsidRPr="004D2043">
              <w:rPr>
                <w:b/>
                <w:i/>
              </w:rPr>
              <w:t>Answer</w:t>
            </w:r>
            <w:r w:rsidRPr="004D2043">
              <w:t>:  Situations like this amount to a judgment call by the Veterans Service Representative (VSR) working the case.  The important principle is that all income must be counted for 12 months, unless an overlapping period is involved in the case of irregular income.  It often makes little difference to the claimant whether $500 is counted for three separate 12-month periods or $1,500 is counted for one 12-month period.  However, if alternative computation methods would have significantly different results for the claimant, use the method that is to the claimant’s advantage.</w:t>
            </w:r>
          </w:p>
          <w:p w:rsidR="00FF096B" w:rsidRPr="004D2043" w:rsidRDefault="00FF096B">
            <w:pPr>
              <w:pStyle w:val="BlockText"/>
            </w:pPr>
          </w:p>
          <w:p w:rsidR="00FF096B" w:rsidRPr="004D2043" w:rsidRDefault="00FF096B">
            <w:pPr>
              <w:pStyle w:val="BlockText"/>
            </w:pPr>
            <w:r w:rsidRPr="004D2043">
              <w:rPr>
                <w:b/>
                <w:i/>
              </w:rPr>
              <w:t>Exception</w:t>
            </w:r>
            <w:r w:rsidRPr="004D2043">
              <w:t>:  There is an exception to the general rule that all income must be counted for 12 months.  When a dependent with income is removed from the award, the dependent’s income is removed with the dependent even if this means that the income is cou</w:t>
            </w:r>
            <w:r w:rsidR="009419A2" w:rsidRPr="004D2043">
              <w:t>nted for fewer than 12 months.</w:t>
            </w:r>
          </w:p>
          <w:p w:rsidR="00FF096B" w:rsidRPr="004D2043" w:rsidRDefault="00FF096B">
            <w:pPr>
              <w:pStyle w:val="BlockText"/>
            </w:pPr>
          </w:p>
          <w:p w:rsidR="00FF096B" w:rsidRPr="004D2043" w:rsidRDefault="00FF096B" w:rsidP="00661B76">
            <w:pPr>
              <w:pStyle w:val="BlockText"/>
            </w:pPr>
            <w:r w:rsidRPr="004D2043">
              <w:rPr>
                <w:b/>
                <w:i/>
              </w:rPr>
              <w:t>Reference</w:t>
            </w:r>
            <w:r w:rsidRPr="004D2043">
              <w:t>:  For more information about removing a dependent from an award, see M21-1 Part V, Subpart iii, 1.F.</w:t>
            </w:r>
            <w:r w:rsidR="00FE4C44" w:rsidRPr="004D2043">
              <w:t>3</w:t>
            </w:r>
            <w:r w:rsidR="009419A2"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o</w:t>
            </w:r>
            <w:r w:rsidR="00FF096B" w:rsidRPr="004D2043">
              <w:t>.  Income</w:t>
            </w:r>
            <w:proofErr w:type="gramEnd"/>
            <w:r w:rsidR="00FF096B" w:rsidRPr="004D2043">
              <w:t xml:space="preserve"> Received Before the Effective Date of the Award</w:t>
            </w:r>
          </w:p>
        </w:tc>
        <w:tc>
          <w:tcPr>
            <w:tcW w:w="7740" w:type="dxa"/>
          </w:tcPr>
          <w:p w:rsidR="00FF096B" w:rsidRPr="004D2043" w:rsidRDefault="00FF096B">
            <w:pPr>
              <w:pStyle w:val="BlockText"/>
            </w:pPr>
            <w:r w:rsidRPr="004D2043">
              <w:t xml:space="preserve">Do </w:t>
            </w:r>
            <w:r w:rsidRPr="004D2043">
              <w:rPr>
                <w:i/>
              </w:rPr>
              <w:t>not</w:t>
            </w:r>
            <w:r w:rsidRPr="004D2043">
              <w:t xml:space="preserve"> count income received before the effective date of an original or </w:t>
            </w:r>
            <w:r w:rsidR="00655439" w:rsidRPr="004D2043">
              <w:t>new</w:t>
            </w:r>
            <w:r w:rsidRPr="004D2043">
              <w:t xml:space="preserve"> award.  (For </w:t>
            </w:r>
            <w:r w:rsidR="00655439" w:rsidRPr="004D2043">
              <w:t>Survivors</w:t>
            </w:r>
            <w:r w:rsidRPr="004D2043">
              <w:t xml:space="preserve"> </w:t>
            </w:r>
            <w:r w:rsidR="009B1A33" w:rsidRPr="004D2043">
              <w:t xml:space="preserve">Pension </w:t>
            </w:r>
            <w:r w:rsidRPr="004D2043">
              <w:t xml:space="preserve">cases, do not count income received between the effective date and the date of the Veteran’s death.)  The effective date is the date a claimant is entitled to benefits without regard to </w:t>
            </w:r>
            <w:hyperlink r:id="rId48" w:history="1">
              <w:r w:rsidR="006D50AE" w:rsidRPr="004D2043">
                <w:rPr>
                  <w:rStyle w:val="Hyperlink"/>
                </w:rPr>
                <w:t>38 CFR</w:t>
              </w:r>
              <w:r w:rsidRPr="004D2043">
                <w:rPr>
                  <w:rStyle w:val="Hyperlink"/>
                </w:rPr>
                <w:t xml:space="preserve"> 3.31</w:t>
              </w:r>
            </w:hyperlink>
            <w:r w:rsidR="009419A2" w:rsidRPr="004D2043">
              <w:t>.</w:t>
            </w:r>
          </w:p>
          <w:p w:rsidR="00FF096B" w:rsidRPr="004D2043" w:rsidRDefault="00FF096B">
            <w:pPr>
              <w:pStyle w:val="BlockText"/>
            </w:pPr>
          </w:p>
          <w:p w:rsidR="00FF096B" w:rsidRPr="004D2043" w:rsidRDefault="00FF096B">
            <w:pPr>
              <w:pStyle w:val="BlockText"/>
            </w:pPr>
            <w:r w:rsidRPr="004D2043">
              <w:t xml:space="preserve">However, if the claimant would have been entitled to </w:t>
            </w:r>
            <w:r w:rsidR="00655439" w:rsidRPr="004D2043">
              <w:t>current-law</w:t>
            </w:r>
            <w:r w:rsidRPr="004D2043">
              <w:t xml:space="preserve"> Pension but </w:t>
            </w:r>
            <w:r w:rsidR="00655439" w:rsidRPr="004D2043">
              <w:t>current-</w:t>
            </w:r>
            <w:proofErr w:type="spellStart"/>
            <w:r w:rsidR="00655439" w:rsidRPr="004D2043">
              <w:t>law</w:t>
            </w:r>
            <w:r w:rsidRPr="004D2043">
              <w:t>Pension</w:t>
            </w:r>
            <w:proofErr w:type="spellEnd"/>
            <w:r w:rsidRPr="004D2043">
              <w:t xml:space="preserve"> is not paid solely because income exceeds the MAPR, apply the normal income-counting procedures to any income received or expenses paid after the date that would have been the effective date, had incom</w:t>
            </w:r>
            <w:r w:rsidR="009419A2" w:rsidRPr="004D2043">
              <w:t>e not exceeded the MAPR.</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p</w:t>
            </w:r>
            <w:r w:rsidR="00FF096B" w:rsidRPr="004D2043">
              <w:t>.  Example</w:t>
            </w:r>
            <w:proofErr w:type="gramEnd"/>
            <w:r w:rsidR="00FF096B" w:rsidRPr="004D2043">
              <w:t>:  Income Received Before Effective Date of Award</w:t>
            </w:r>
          </w:p>
        </w:tc>
        <w:tc>
          <w:tcPr>
            <w:tcW w:w="7740" w:type="dxa"/>
          </w:tcPr>
          <w:p w:rsidR="00FF096B" w:rsidRPr="004D2043" w:rsidRDefault="00A21229">
            <w:pPr>
              <w:pStyle w:val="BlockText"/>
            </w:pPr>
            <w:r w:rsidRPr="004D2043">
              <w:rPr>
                <w:b/>
                <w:i/>
              </w:rPr>
              <w:t>Example</w:t>
            </w:r>
            <w:r w:rsidR="00FF096B" w:rsidRPr="004D2043">
              <w:t xml:space="preserve">:  A Veteran files an original pension claim on June 10, </w:t>
            </w:r>
            <w:r w:rsidR="007F0263" w:rsidRPr="004D2043">
              <w:t>2014</w:t>
            </w:r>
            <w:r w:rsidR="00FF096B" w:rsidRPr="004D2043">
              <w:t xml:space="preserve">.  The Veteran reports having received </w:t>
            </w:r>
            <w:r w:rsidR="00041819" w:rsidRPr="004D2043">
              <w:t>gambling winnings</w:t>
            </w:r>
            <w:r w:rsidR="00FF096B" w:rsidRPr="004D2043">
              <w:t xml:space="preserve"> of $10,000 on June 3, </w:t>
            </w:r>
            <w:r w:rsidR="007F0263" w:rsidRPr="004D2043">
              <w:t>2014</w:t>
            </w:r>
            <w:r w:rsidR="00FF096B" w:rsidRPr="004D2043">
              <w:t>.  VA determines that the Veteran is entitled to p</w:t>
            </w:r>
            <w:r w:rsidR="009419A2" w:rsidRPr="004D2043">
              <w:t xml:space="preserve">ension effective June 10, </w:t>
            </w:r>
            <w:r w:rsidR="007F0263" w:rsidRPr="004D2043">
              <w:t>2014</w:t>
            </w:r>
            <w:r w:rsidR="009419A2" w:rsidRPr="004D2043">
              <w:t>.</w:t>
            </w:r>
          </w:p>
          <w:p w:rsidR="00FF096B" w:rsidRPr="004D2043" w:rsidRDefault="00FF096B">
            <w:pPr>
              <w:pStyle w:val="BlockText"/>
              <w:rPr>
                <w:bCs/>
                <w:iCs/>
              </w:rPr>
            </w:pPr>
          </w:p>
          <w:p w:rsidR="00FF096B" w:rsidRPr="004D2043" w:rsidRDefault="00FF096B" w:rsidP="00041819">
            <w:pPr>
              <w:pStyle w:val="BlockText"/>
            </w:pPr>
            <w:r w:rsidRPr="004D2043">
              <w:t xml:space="preserve">Disregard the $10,000 in determining </w:t>
            </w:r>
            <w:r w:rsidR="00041819" w:rsidRPr="004D2043">
              <w:t xml:space="preserve">IVAP for the </w:t>
            </w:r>
            <w:r w:rsidRPr="004D2043">
              <w:t>Veteran’s entitlement to pension, since it was received before the date of the Veteran’s award.</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q</w:t>
            </w:r>
            <w:r w:rsidR="00FF096B" w:rsidRPr="004D2043">
              <w:t xml:space="preserve">.  </w:t>
            </w:r>
            <w:r w:rsidR="00A21229" w:rsidRPr="004D2043">
              <w:t>Example</w:t>
            </w:r>
            <w:proofErr w:type="gramEnd"/>
            <w:r w:rsidR="00A21229" w:rsidRPr="004D2043">
              <w:t xml:space="preserve">:  </w:t>
            </w:r>
            <w:r w:rsidR="00FF096B" w:rsidRPr="004D2043">
              <w:t>Income Received Before Date of Death</w:t>
            </w:r>
          </w:p>
        </w:tc>
        <w:tc>
          <w:tcPr>
            <w:tcW w:w="7740" w:type="dxa"/>
          </w:tcPr>
          <w:p w:rsidR="00FF096B" w:rsidRPr="004D2043" w:rsidRDefault="00FF096B">
            <w:pPr>
              <w:pStyle w:val="BlockText"/>
            </w:pPr>
            <w:r w:rsidRPr="004D2043">
              <w:t xml:space="preserve">In </w:t>
            </w:r>
            <w:r w:rsidR="00041819" w:rsidRPr="004D2043">
              <w:t>Survivors Pension</w:t>
            </w:r>
            <w:r w:rsidRPr="004D2043">
              <w:t xml:space="preserve"> cases, do </w:t>
            </w:r>
            <w:r w:rsidRPr="004D2043">
              <w:rPr>
                <w:i/>
              </w:rPr>
              <w:t>not</w:t>
            </w:r>
            <w:r w:rsidRPr="004D2043">
              <w:t xml:space="preserve"> count income received before the date of the Veteran’s death, even if it is received after the effective date of the award.</w:t>
            </w:r>
          </w:p>
          <w:p w:rsidR="00FF096B" w:rsidRPr="004D2043" w:rsidRDefault="00FF096B">
            <w:pPr>
              <w:pStyle w:val="BlockText"/>
            </w:pPr>
          </w:p>
          <w:p w:rsidR="00FF096B" w:rsidRPr="004D2043" w:rsidRDefault="00A21229">
            <w:pPr>
              <w:pStyle w:val="BlockText"/>
            </w:pPr>
            <w:r w:rsidRPr="004D2043">
              <w:rPr>
                <w:b/>
                <w:i/>
              </w:rPr>
              <w:t>Example</w:t>
            </w:r>
            <w:r w:rsidR="00FF096B" w:rsidRPr="004D2043">
              <w:t xml:space="preserve">:  The Veteran died on March 20, </w:t>
            </w:r>
            <w:r w:rsidR="00011CAB" w:rsidRPr="004D2043">
              <w:t>2014</w:t>
            </w:r>
            <w:r w:rsidR="00FF096B" w:rsidRPr="004D2043">
              <w:t xml:space="preserve">.  The surviving spouse files an original pension claim on February 2, </w:t>
            </w:r>
            <w:r w:rsidR="00011CAB" w:rsidRPr="004D2043">
              <w:t>2015</w:t>
            </w:r>
            <w:r w:rsidR="00FF096B" w:rsidRPr="004D2043">
              <w:t xml:space="preserve">.  The surviving spouse reports receipt of a $10,000 inheritance on March 19, </w:t>
            </w:r>
            <w:r w:rsidR="00011CAB" w:rsidRPr="004D2043">
              <w:t>2014</w:t>
            </w:r>
            <w:r w:rsidR="009B1A33" w:rsidRPr="004D2043">
              <w:t>.</w:t>
            </w:r>
          </w:p>
          <w:p w:rsidR="00FF096B" w:rsidRPr="004D2043" w:rsidRDefault="00FF096B">
            <w:pPr>
              <w:pStyle w:val="BlockText"/>
            </w:pPr>
          </w:p>
          <w:p w:rsidR="00FF096B" w:rsidRPr="004D2043" w:rsidRDefault="00FF096B" w:rsidP="00011CAB">
            <w:pPr>
              <w:pStyle w:val="BlockText"/>
            </w:pPr>
            <w:r w:rsidRPr="004D2043">
              <w:t xml:space="preserve">The effective date of the award under </w:t>
            </w:r>
            <w:hyperlink r:id="rId49" w:history="1">
              <w:r w:rsidR="006D50AE" w:rsidRPr="004D2043">
                <w:rPr>
                  <w:rStyle w:val="Hyperlink"/>
                </w:rPr>
                <w:t>38 CFR</w:t>
              </w:r>
              <w:r w:rsidRPr="004D2043">
                <w:rPr>
                  <w:rStyle w:val="Hyperlink"/>
                </w:rPr>
                <w:t xml:space="preserve"> 3.400(c</w:t>
              </w:r>
              <w:proofErr w:type="gramStart"/>
              <w:r w:rsidRPr="004D2043">
                <w:rPr>
                  <w:rStyle w:val="Hyperlink"/>
                </w:rPr>
                <w:t>)(</w:t>
              </w:r>
              <w:proofErr w:type="gramEnd"/>
              <w:r w:rsidRPr="004D2043">
                <w:rPr>
                  <w:rStyle w:val="Hyperlink"/>
                </w:rPr>
                <w:t>3)(ii)</w:t>
              </w:r>
            </w:hyperlink>
            <w:r w:rsidRPr="004D2043">
              <w:t xml:space="preserve"> is March 1, </w:t>
            </w:r>
            <w:r w:rsidR="00011CAB" w:rsidRPr="004D2043">
              <w:t>2014</w:t>
            </w:r>
            <w:r w:rsidRPr="004D2043">
              <w:t xml:space="preserve">.  Disregard the $10,000 in determining </w:t>
            </w:r>
            <w:r w:rsidR="00041819" w:rsidRPr="004D2043">
              <w:t xml:space="preserve">IVAP for </w:t>
            </w:r>
            <w:r w:rsidRPr="004D2043">
              <w:t>the surviving spouse’s entitlement to pension.  Although it was received after the effective date, it was received before the date of the Veteran’s death.</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r</w:t>
            </w:r>
            <w:r w:rsidR="00FF096B" w:rsidRPr="004D2043">
              <w:t>.  Date</w:t>
            </w:r>
            <w:proofErr w:type="gramEnd"/>
            <w:r w:rsidR="00FF096B" w:rsidRPr="004D2043">
              <w:t xml:space="preserve"> of Receipt of Income Not Known</w:t>
            </w:r>
          </w:p>
        </w:tc>
        <w:tc>
          <w:tcPr>
            <w:tcW w:w="7740" w:type="dxa"/>
          </w:tcPr>
          <w:p w:rsidR="00FF096B" w:rsidRPr="004D2043" w:rsidRDefault="00FF096B">
            <w:pPr>
              <w:pStyle w:val="BlockText"/>
            </w:pPr>
            <w:r w:rsidRPr="004D2043">
              <w:t>Always determine the reporting period during which income is received.  If this information is not of record, initiate development.</w:t>
            </w:r>
          </w:p>
          <w:p w:rsidR="00FF096B" w:rsidRPr="004D2043" w:rsidRDefault="00FF096B">
            <w:pPr>
              <w:pStyle w:val="BlockText"/>
            </w:pPr>
          </w:p>
          <w:p w:rsidR="00FF096B" w:rsidRPr="004D2043" w:rsidRDefault="00FF096B">
            <w:pPr>
              <w:pStyle w:val="BlockText"/>
              <w:rPr>
                <w:b/>
              </w:rPr>
            </w:pPr>
            <w:r w:rsidRPr="004D2043">
              <w:t xml:space="preserve">For original and </w:t>
            </w:r>
            <w:r w:rsidR="009A1E9A" w:rsidRPr="004D2043">
              <w:t>new</w:t>
            </w:r>
            <w:r w:rsidRPr="004D2043">
              <w:t xml:space="preserve"> awards, count the income from the effective date of the award if the actual date of receipt is not shown on the application.  If the beneficiary later reports the actual date of receipt of income, adjust the award.</w:t>
            </w:r>
          </w:p>
        </w:tc>
      </w:tr>
    </w:tbl>
    <w:p w:rsidR="00FF096B" w:rsidRPr="004D2043" w:rsidRDefault="00FF096B">
      <w:pPr>
        <w:pStyle w:val="ContinuedOnNextPa"/>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t>s</w:t>
            </w:r>
            <w:r w:rsidR="00FF096B" w:rsidRPr="004D2043">
              <w:t>.  Determining</w:t>
            </w:r>
            <w:proofErr w:type="gramEnd"/>
            <w:r w:rsidR="00FF096B" w:rsidRPr="004D2043">
              <w:t xml:space="preserve"> When Income Is Received</w:t>
            </w:r>
          </w:p>
        </w:tc>
        <w:tc>
          <w:tcPr>
            <w:tcW w:w="7740" w:type="dxa"/>
          </w:tcPr>
          <w:p w:rsidR="00FF096B" w:rsidRPr="004D2043" w:rsidRDefault="00FF096B">
            <w:pPr>
              <w:pStyle w:val="BlockText"/>
            </w:pPr>
            <w:r w:rsidRPr="004D2043">
              <w:t xml:space="preserve">Income is considered to have been received for VA purposes when cash or something that could be converted into cash comes into the possession of the recipient.  The fact that non-cash income comes into the recipient’s possession on a weekend or holiday (when it would be difficult or impossible to convert it into cash) makes no difference. </w:t>
            </w:r>
          </w:p>
          <w:p w:rsidR="00FF096B" w:rsidRPr="004D2043" w:rsidRDefault="00FF096B">
            <w:pPr>
              <w:pStyle w:val="BlockText"/>
            </w:pPr>
          </w:p>
          <w:p w:rsidR="00FF096B" w:rsidRPr="004D2043" w:rsidRDefault="00FF096B">
            <w:pPr>
              <w:pStyle w:val="BlockText"/>
            </w:pPr>
            <w:r w:rsidRPr="004D2043">
              <w:t>Likewise, banking practices which prevent the recipient from drawing on a check for a certain period of time are irrelevant to determining the date of receipt of income.  However, a post-dated check is not considered to have been received before the date of the check, even though it might be in the recipient’s possession earlier.  Electronically transferred income is considered to have been received by the recipient on the date that it is credited to the recipient’s account.</w:t>
            </w:r>
          </w:p>
          <w:p w:rsidR="00FF096B" w:rsidRPr="004D2043" w:rsidRDefault="00FF096B">
            <w:pPr>
              <w:pStyle w:val="BlockText"/>
            </w:pPr>
          </w:p>
          <w:p w:rsidR="00FF096B" w:rsidRPr="004D2043" w:rsidRDefault="00FF096B" w:rsidP="00011CAB">
            <w:pPr>
              <w:pStyle w:val="BlockText"/>
            </w:pPr>
            <w:r w:rsidRPr="004D2043">
              <w:rPr>
                <w:b/>
                <w:i/>
              </w:rPr>
              <w:t>Example</w:t>
            </w:r>
            <w:r w:rsidRPr="004D2043">
              <w:t xml:space="preserve">:  The Veteran is notified on September 29, </w:t>
            </w:r>
            <w:r w:rsidR="00011CAB" w:rsidRPr="004D2043">
              <w:t>2014</w:t>
            </w:r>
            <w:r w:rsidRPr="004D2043">
              <w:t xml:space="preserve">, that he has inherited $10,000.  The Veteran receives the $10,000 check on October 28, </w:t>
            </w:r>
            <w:r w:rsidR="00011CAB" w:rsidRPr="004D2043">
              <w:t>2014</w:t>
            </w:r>
            <w:r w:rsidRPr="004D2043">
              <w:t xml:space="preserve">.  The $10,000 is considered to have been received on October 28, </w:t>
            </w:r>
            <w:r w:rsidR="00011CAB" w:rsidRPr="004D2043">
              <w:t>2014</w:t>
            </w:r>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7E4A">
            <w:pPr>
              <w:pStyle w:val="Heading5"/>
            </w:pPr>
            <w:proofErr w:type="gramStart"/>
            <w:r w:rsidRPr="004D2043">
              <w:lastRenderedPageBreak/>
              <w:t>t</w:t>
            </w:r>
            <w:r w:rsidR="00FF096B" w:rsidRPr="004D2043">
              <w:t>.  Renouncement</w:t>
            </w:r>
            <w:proofErr w:type="gramEnd"/>
            <w:r w:rsidR="00FF096B" w:rsidRPr="004D2043">
              <w:t xml:space="preserve"> of Benefits Under </w:t>
            </w:r>
            <w:r w:rsidR="006D50AE" w:rsidRPr="004D2043">
              <w:t>38 CFR</w:t>
            </w:r>
            <w:r w:rsidR="00FF096B" w:rsidRPr="004D2043">
              <w:t xml:space="preserve"> 3.106(c)</w:t>
            </w:r>
          </w:p>
        </w:tc>
        <w:tc>
          <w:tcPr>
            <w:tcW w:w="7740" w:type="dxa"/>
          </w:tcPr>
          <w:p w:rsidR="00FF096B" w:rsidRPr="004D2043" w:rsidRDefault="00FF096B">
            <w:pPr>
              <w:pStyle w:val="BlockText"/>
            </w:pPr>
            <w:r w:rsidRPr="004D2043">
              <w:t xml:space="preserve">Under </w:t>
            </w:r>
            <w:hyperlink r:id="rId50" w:history="1">
              <w:r w:rsidR="006D50AE" w:rsidRPr="004D2043">
                <w:rPr>
                  <w:rStyle w:val="Hyperlink"/>
                </w:rPr>
                <w:t>38 CFR</w:t>
              </w:r>
              <w:r w:rsidRPr="004D2043">
                <w:rPr>
                  <w:rStyle w:val="Hyperlink"/>
                </w:rPr>
                <w:t xml:space="preserve"> 3.106(c)</w:t>
              </w:r>
            </w:hyperlink>
          </w:p>
          <w:p w:rsidR="00FF096B" w:rsidRPr="004D2043" w:rsidRDefault="00FF096B">
            <w:pPr>
              <w:pStyle w:val="BlockText"/>
            </w:pPr>
          </w:p>
          <w:p w:rsidR="00FF096B" w:rsidRPr="004D2043" w:rsidRDefault="00FF096B">
            <w:pPr>
              <w:pStyle w:val="BulletText1"/>
            </w:pPr>
            <w:r w:rsidRPr="004D2043">
              <w:t xml:space="preserve">an application for Pension filed within one year after renouncement of that benefit is not treated as an original application, and </w:t>
            </w:r>
          </w:p>
          <w:p w:rsidR="00FF096B" w:rsidRPr="004D2043" w:rsidRDefault="00FF096B">
            <w:pPr>
              <w:pStyle w:val="BulletText1"/>
            </w:pPr>
            <w:proofErr w:type="gramStart"/>
            <w:r w:rsidRPr="004D2043">
              <w:t>benefits</w:t>
            </w:r>
            <w:proofErr w:type="gramEnd"/>
            <w:r w:rsidRPr="004D2043">
              <w:t xml:space="preserve"> are payable as if the </w:t>
            </w:r>
            <w:r w:rsidR="009419A2" w:rsidRPr="004D2043">
              <w:t>renouncement had not occurred.</w:t>
            </w:r>
          </w:p>
          <w:p w:rsidR="00FF096B" w:rsidRPr="004D2043" w:rsidRDefault="00FF096B">
            <w:pPr>
              <w:pStyle w:val="BlockText"/>
              <w:rPr>
                <w:sz w:val="16"/>
              </w:rPr>
            </w:pPr>
          </w:p>
          <w:p w:rsidR="00FF096B" w:rsidRPr="004D2043" w:rsidRDefault="00FF096B">
            <w:pPr>
              <w:pStyle w:val="BlockText"/>
              <w:rPr>
                <w:i/>
              </w:rPr>
            </w:pPr>
            <w:r w:rsidRPr="004D2043">
              <w:t xml:space="preserve">This provision, which was effective November 2, 1994, the date of enactment of </w:t>
            </w:r>
            <w:r w:rsidRPr="004D2043">
              <w:rPr>
                <w:i/>
              </w:rPr>
              <w:t>Public Law (PL) 103-446</w:t>
            </w:r>
          </w:p>
          <w:p w:rsidR="00FF096B" w:rsidRPr="004D2043" w:rsidRDefault="00FF096B">
            <w:pPr>
              <w:pStyle w:val="BlockText"/>
              <w:rPr>
                <w:sz w:val="16"/>
              </w:rPr>
            </w:pPr>
          </w:p>
          <w:p w:rsidR="00FF096B" w:rsidRPr="004D2043" w:rsidRDefault="0040650A">
            <w:pPr>
              <w:pStyle w:val="BulletText1"/>
            </w:pPr>
            <w:r w:rsidRPr="004D2043">
              <w:t>requires</w:t>
            </w:r>
            <w:r w:rsidR="00FF096B" w:rsidRPr="004D2043">
              <w:t xml:space="preserve"> VA to include income received in that one year period as income for VA purposes, and </w:t>
            </w:r>
          </w:p>
          <w:p w:rsidR="00FF096B" w:rsidRPr="004D2043" w:rsidRDefault="00FF096B">
            <w:pPr>
              <w:pStyle w:val="BulletText1"/>
            </w:pPr>
            <w:proofErr w:type="gramStart"/>
            <w:r w:rsidRPr="004D2043">
              <w:t>precludes</w:t>
            </w:r>
            <w:proofErr w:type="gramEnd"/>
            <w:r w:rsidRPr="004D2043">
              <w:t xml:space="preserve"> the planned renouncement of the benefit prior to receipt of nonrecurring income in order to avoid having that nonrecurring income used to calculate IVAP.</w:t>
            </w:r>
          </w:p>
        </w:tc>
      </w:tr>
    </w:tbl>
    <w:p w:rsidR="00FF096B" w:rsidRPr="004D2043" w:rsidRDefault="00FF096B">
      <w:pPr>
        <w:pStyle w:val="BlockLine"/>
      </w:pPr>
      <w:r w:rsidRPr="004D2043">
        <w:t xml:space="preserve"> </w:t>
      </w:r>
    </w:p>
    <w:p w:rsidR="00FF096B" w:rsidRPr="004D2043" w:rsidRDefault="00FF096B">
      <w:pPr>
        <w:pStyle w:val="Heading4"/>
        <w:spacing w:after="120"/>
      </w:pPr>
      <w:r w:rsidRPr="004D2043">
        <w:br w:type="page"/>
      </w:r>
      <w:r w:rsidR="00274582" w:rsidRPr="004D2043">
        <w:lastRenderedPageBreak/>
        <w:t>7</w:t>
      </w:r>
      <w:r w:rsidRPr="004D2043">
        <w:t xml:space="preserve">.  Counting Income </w:t>
      </w:r>
      <w:proofErr w:type="gramStart"/>
      <w:r w:rsidRPr="004D2043">
        <w:t>During</w:t>
      </w:r>
      <w:proofErr w:type="gramEnd"/>
      <w:r w:rsidRPr="004D2043">
        <w:t xml:space="preserve"> the Initial Period</w:t>
      </w:r>
    </w:p>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Introduction</w:t>
            </w:r>
          </w:p>
        </w:tc>
        <w:tc>
          <w:tcPr>
            <w:tcW w:w="7740" w:type="dxa"/>
          </w:tcPr>
          <w:p w:rsidR="00FF096B" w:rsidRPr="004D2043" w:rsidRDefault="00FF096B">
            <w:pPr>
              <w:pStyle w:val="BlockText"/>
            </w:pPr>
            <w:r w:rsidRPr="004D2043">
              <w:t>This topic contains information on counting income during the initial period, including</w:t>
            </w:r>
          </w:p>
          <w:p w:rsidR="00FF096B" w:rsidRPr="004D2043" w:rsidRDefault="00FF096B">
            <w:pPr>
              <w:pStyle w:val="BlockText"/>
            </w:pPr>
          </w:p>
          <w:p w:rsidR="00FF096B" w:rsidRPr="004D2043" w:rsidRDefault="00FF096B">
            <w:pPr>
              <w:pStyle w:val="BulletText1"/>
            </w:pPr>
            <w:r w:rsidRPr="004D2043">
              <w:t xml:space="preserve">a definition of </w:t>
            </w:r>
            <w:r w:rsidRPr="004D2043">
              <w:rPr>
                <w:b/>
                <w:i/>
              </w:rPr>
              <w:t>initial period</w:t>
            </w:r>
          </w:p>
          <w:p w:rsidR="00FF096B" w:rsidRPr="004D2043" w:rsidRDefault="00FF096B">
            <w:pPr>
              <w:pStyle w:val="BulletText1"/>
            </w:pPr>
            <w:r w:rsidRPr="004D2043">
              <w:t>counting irregular income received during the initial period</w:t>
            </w:r>
          </w:p>
          <w:p w:rsidR="00FF096B" w:rsidRPr="004D2043" w:rsidRDefault="00FF096B">
            <w:pPr>
              <w:pStyle w:val="BulletText1"/>
            </w:pPr>
            <w:r w:rsidRPr="004D2043">
              <w:t>deductible medical expenses paid during the initial period</w:t>
            </w:r>
          </w:p>
          <w:p w:rsidR="00FF096B" w:rsidRPr="004D2043" w:rsidRDefault="009B5131">
            <w:pPr>
              <w:pStyle w:val="BulletText1"/>
            </w:pPr>
            <w:r w:rsidRPr="004D2043">
              <w:t>income counting for the</w:t>
            </w:r>
            <w:r w:rsidR="00FF096B" w:rsidRPr="004D2043">
              <w:t xml:space="preserve"> initial period and </w:t>
            </w:r>
            <w:r w:rsidR="00E37738" w:rsidRPr="004D2043">
              <w:t>three</w:t>
            </w:r>
            <w:r w:rsidR="00FF096B" w:rsidRPr="004D2043">
              <w:t xml:space="preserve"> examples</w:t>
            </w:r>
          </w:p>
          <w:p w:rsidR="00FF096B" w:rsidRPr="004D2043" w:rsidRDefault="00FF096B">
            <w:pPr>
              <w:pStyle w:val="BulletText1"/>
            </w:pPr>
            <w:r w:rsidRPr="004D2043">
              <w:t>income changes during the initial 12 months of the award and two examples</w:t>
            </w:r>
          </w:p>
          <w:p w:rsidR="00FF096B" w:rsidRPr="004D2043" w:rsidRDefault="00FF096B">
            <w:pPr>
              <w:pStyle w:val="BulletText1"/>
            </w:pPr>
            <w:r w:rsidRPr="004D2043">
              <w:t>counting the initial 12 months of income for disallowed claims</w:t>
            </w:r>
          </w:p>
          <w:p w:rsidR="00FF096B" w:rsidRPr="004D2043" w:rsidRDefault="00FF096B">
            <w:pPr>
              <w:pStyle w:val="BulletText1"/>
            </w:pPr>
            <w:r w:rsidRPr="004D2043">
              <w:t>counting the second 12 months of income for disallowed claims, and</w:t>
            </w:r>
          </w:p>
          <w:p w:rsidR="00350AC6" w:rsidRPr="004D2043" w:rsidRDefault="00FF096B" w:rsidP="00E72136">
            <w:pPr>
              <w:pStyle w:val="BulletText1"/>
            </w:pPr>
            <w:proofErr w:type="gramStart"/>
            <w:r w:rsidRPr="004D2043">
              <w:t>four</w:t>
            </w:r>
            <w:proofErr w:type="gramEnd"/>
            <w:r w:rsidRPr="004D2043">
              <w:t xml:space="preserve"> examples of counting income during the initial period</w:t>
            </w:r>
            <w:r w:rsidR="00E72136"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r w:rsidRPr="004D2043">
              <w:t>Change Date</w:t>
            </w:r>
          </w:p>
        </w:tc>
        <w:tc>
          <w:tcPr>
            <w:tcW w:w="7740" w:type="dxa"/>
          </w:tcPr>
          <w:p w:rsidR="00FF096B" w:rsidRPr="004D2043" w:rsidRDefault="00030A8D">
            <w:pPr>
              <w:pStyle w:val="BlockText"/>
            </w:pPr>
            <w:r w:rsidRPr="004D2043">
              <w:t>June 27, 2015</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a.  Definition</w:t>
            </w:r>
            <w:proofErr w:type="gramEnd"/>
            <w:r w:rsidRPr="004D2043">
              <w:t>:</w:t>
            </w:r>
          </w:p>
          <w:p w:rsidR="00FF096B" w:rsidRPr="004D2043" w:rsidRDefault="00FF096B">
            <w:pPr>
              <w:pStyle w:val="Heading5"/>
            </w:pPr>
            <w:r w:rsidRPr="004D2043">
              <w:t>Initial Period</w:t>
            </w:r>
          </w:p>
        </w:tc>
        <w:tc>
          <w:tcPr>
            <w:tcW w:w="7740" w:type="dxa"/>
          </w:tcPr>
          <w:p w:rsidR="00FF096B" w:rsidRPr="004D2043" w:rsidRDefault="00FF096B">
            <w:pPr>
              <w:pStyle w:val="BlockText"/>
            </w:pPr>
            <w:r w:rsidRPr="004D2043">
              <w:t>The</w:t>
            </w:r>
            <w:r w:rsidRPr="004D2043">
              <w:rPr>
                <w:b/>
              </w:rPr>
              <w:t xml:space="preserve"> </w:t>
            </w:r>
            <w:r w:rsidRPr="004D2043">
              <w:rPr>
                <w:b/>
                <w:i/>
              </w:rPr>
              <w:t>initial period</w:t>
            </w:r>
            <w:r w:rsidRPr="004D2043">
              <w:t xml:space="preserve"> is defined as the period extending from the effective date of the award, or later date of the Veteran’s death, through the end of the month that is 12 months from the month during which pension entitlement arose.</w:t>
            </w:r>
          </w:p>
          <w:p w:rsidR="00FF096B" w:rsidRPr="004D2043" w:rsidRDefault="00FF096B">
            <w:pPr>
              <w:pStyle w:val="BlockText"/>
            </w:pPr>
          </w:p>
          <w:p w:rsidR="00FF096B" w:rsidRPr="004D2043" w:rsidRDefault="00FF096B">
            <w:pPr>
              <w:pStyle w:val="BlockText"/>
            </w:pPr>
            <w:r w:rsidRPr="004D2043">
              <w:rPr>
                <w:b/>
                <w:bCs/>
                <w:i/>
                <w:iCs/>
              </w:rPr>
              <w:t>Examples</w:t>
            </w:r>
            <w:r w:rsidRPr="004D2043">
              <w:t>:</w:t>
            </w:r>
          </w:p>
          <w:p w:rsidR="00FF096B" w:rsidRPr="004D2043" w:rsidRDefault="003B7BB2">
            <w:pPr>
              <w:pStyle w:val="BulletText1"/>
            </w:pPr>
            <w:r w:rsidRPr="004D2043">
              <w:t>Veterans P</w:t>
            </w:r>
            <w:r w:rsidR="00FF096B" w:rsidRPr="004D2043">
              <w:t xml:space="preserve">ension:  If the claim is received on October 14, </w:t>
            </w:r>
            <w:r w:rsidRPr="004D2043">
              <w:t>2014</w:t>
            </w:r>
            <w:r w:rsidR="00FF096B" w:rsidRPr="004D2043">
              <w:t xml:space="preserve">, then the initial period is October 14, </w:t>
            </w:r>
            <w:r w:rsidRPr="004D2043">
              <w:t>2014</w:t>
            </w:r>
            <w:r w:rsidR="00FF096B" w:rsidRPr="004D2043">
              <w:t xml:space="preserve">, through October 31, </w:t>
            </w:r>
            <w:r w:rsidRPr="004D2043">
              <w:t>2015</w:t>
            </w:r>
            <w:r w:rsidR="00FF096B" w:rsidRPr="004D2043">
              <w:t>.</w:t>
            </w:r>
          </w:p>
          <w:p w:rsidR="00FF096B" w:rsidRPr="004D2043" w:rsidRDefault="003B7BB2">
            <w:pPr>
              <w:pStyle w:val="BulletText1"/>
            </w:pPr>
            <w:r w:rsidRPr="004D2043">
              <w:t>Survivors P</w:t>
            </w:r>
            <w:r w:rsidR="00FF096B" w:rsidRPr="004D2043">
              <w:t xml:space="preserve">ension:  If the Veteran died on May 2, </w:t>
            </w:r>
            <w:r w:rsidRPr="004D2043">
              <w:t>2014</w:t>
            </w:r>
            <w:r w:rsidR="00FF096B" w:rsidRPr="004D2043">
              <w:t>, and the claim is received</w:t>
            </w:r>
          </w:p>
          <w:p w:rsidR="00FF096B" w:rsidRPr="004D2043" w:rsidRDefault="00FF096B" w:rsidP="00CD4C2A">
            <w:pPr>
              <w:pStyle w:val="BulletText2"/>
            </w:pPr>
            <w:r w:rsidRPr="004D2043">
              <w:t xml:space="preserve">on August 4, </w:t>
            </w:r>
            <w:r w:rsidR="003B7BB2" w:rsidRPr="004D2043">
              <w:t xml:space="preserve">2014 </w:t>
            </w:r>
            <w:r w:rsidRPr="004D2043">
              <w:t xml:space="preserve">(within one year after the date of death), then the initial period is May 2, </w:t>
            </w:r>
            <w:r w:rsidR="003B7BB2" w:rsidRPr="004D2043">
              <w:t>2014</w:t>
            </w:r>
            <w:r w:rsidRPr="004D2043">
              <w:t xml:space="preserve">, through May 31, </w:t>
            </w:r>
            <w:r w:rsidR="003B7BB2" w:rsidRPr="004D2043">
              <w:t>2015</w:t>
            </w:r>
            <w:r w:rsidRPr="004D2043">
              <w:t>, or</w:t>
            </w:r>
          </w:p>
          <w:p w:rsidR="00FF096B" w:rsidRPr="004D2043" w:rsidRDefault="00FF096B" w:rsidP="003B7BB2">
            <w:pPr>
              <w:pStyle w:val="BulletText2"/>
            </w:pPr>
            <w:proofErr w:type="gramStart"/>
            <w:r w:rsidRPr="004D2043">
              <w:t>on</w:t>
            </w:r>
            <w:proofErr w:type="gramEnd"/>
            <w:r w:rsidRPr="004D2043">
              <w:t xml:space="preserve"> August 4, 20</w:t>
            </w:r>
            <w:r w:rsidR="00176E67" w:rsidRPr="004D2043">
              <w:t>15</w:t>
            </w:r>
            <w:r w:rsidRPr="004D2043">
              <w:t xml:space="preserve"> (more than one year after the date of death), then the initial period is August 4, </w:t>
            </w:r>
            <w:r w:rsidR="003B7BB2" w:rsidRPr="004D2043">
              <w:t>2015</w:t>
            </w:r>
            <w:r w:rsidRPr="004D2043">
              <w:t xml:space="preserve">, through August 31, </w:t>
            </w:r>
            <w:r w:rsidR="003B7BB2" w:rsidRPr="004D2043">
              <w:t>2016</w:t>
            </w:r>
            <w:r w:rsidRPr="004D2043">
              <w:t>.</w:t>
            </w:r>
          </w:p>
        </w:tc>
      </w:tr>
    </w:tbl>
    <w:p w:rsidR="00FF096B" w:rsidRPr="004D2043" w:rsidRDefault="00FF096B">
      <w:pPr>
        <w:pStyle w:val="BlockLine"/>
        <w:rPr>
          <w:sz w:val="20"/>
        </w:rPr>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b.  Counting</w:t>
            </w:r>
            <w:proofErr w:type="gramEnd"/>
            <w:r w:rsidRPr="004D2043">
              <w:t xml:space="preserve"> Irregular Income Received During the Initial Period</w:t>
            </w:r>
          </w:p>
        </w:tc>
        <w:tc>
          <w:tcPr>
            <w:tcW w:w="7740" w:type="dxa"/>
          </w:tcPr>
          <w:p w:rsidR="00FF096B" w:rsidRPr="004D2043" w:rsidRDefault="00FF096B">
            <w:pPr>
              <w:pStyle w:val="BlockText"/>
            </w:pPr>
            <w:r w:rsidRPr="004D2043">
              <w:t>If irregular income is involved, income received during a period of more than 12 months (the initial period) may be a factor in determining initial year IVAP for original awards and reopened awards aft</w:t>
            </w:r>
            <w:r w:rsidR="0040650A" w:rsidRPr="004D2043">
              <w:t xml:space="preserve">er a period of </w:t>
            </w:r>
            <w:proofErr w:type="spellStart"/>
            <w:r w:rsidR="0040650A" w:rsidRPr="004D2043">
              <w:t>nonentitlement</w:t>
            </w:r>
            <w:proofErr w:type="spellEnd"/>
            <w:r w:rsidR="0040650A"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c.  Deductible</w:t>
            </w:r>
            <w:proofErr w:type="gramEnd"/>
            <w:r w:rsidRPr="004D2043">
              <w:t xml:space="preserve"> Medical Expenses Paid During the Initial Period</w:t>
            </w:r>
          </w:p>
        </w:tc>
        <w:tc>
          <w:tcPr>
            <w:tcW w:w="7740" w:type="dxa"/>
          </w:tcPr>
          <w:p w:rsidR="00FF096B" w:rsidRPr="004D2043" w:rsidRDefault="00FF096B">
            <w:pPr>
              <w:pStyle w:val="BlockText"/>
            </w:pPr>
            <w:r w:rsidRPr="004D2043">
              <w:t>Deductible medical expenses paid during the initial period are allowed for the first 12 months of the award.</w:t>
            </w:r>
          </w:p>
          <w:p w:rsidR="00FF096B" w:rsidRPr="004D2043" w:rsidRDefault="00FF096B">
            <w:pPr>
              <w:pStyle w:val="BlockText"/>
              <w:rPr>
                <w:sz w:val="20"/>
              </w:rPr>
            </w:pPr>
          </w:p>
          <w:p w:rsidR="00FF096B" w:rsidRPr="004D2043" w:rsidRDefault="00FF096B">
            <w:pPr>
              <w:pStyle w:val="BlockText"/>
            </w:pPr>
            <w:r w:rsidRPr="004D2043">
              <w:rPr>
                <w:b/>
                <w:i/>
              </w:rPr>
              <w:t>Note</w:t>
            </w:r>
            <w:r w:rsidRPr="004D2043">
              <w:t xml:space="preserve">:  Because </w:t>
            </w:r>
            <w:r w:rsidR="003B7BB2" w:rsidRPr="004D2043">
              <w:t>income is generally reported</w:t>
            </w:r>
            <w:r w:rsidRPr="004D2043">
              <w:t xml:space="preserve"> on a calendar year basis, the initial year overlaps the first calendar year unless the date of entitlement is in December.  </w:t>
            </w:r>
            <w:r w:rsidRPr="004D2043">
              <w:rPr>
                <w:i/>
              </w:rPr>
              <w:t>Count the lower amount of irregular income and allow the higher amount of medical expe</w:t>
            </w:r>
            <w:r w:rsidR="0040650A" w:rsidRPr="004D2043">
              <w:rPr>
                <w:i/>
              </w:rPr>
              <w:t>nses during periods of overlap.</w:t>
            </w:r>
          </w:p>
          <w:p w:rsidR="00FF096B" w:rsidRPr="004D2043" w:rsidRDefault="00FF096B">
            <w:pPr>
              <w:pStyle w:val="BlockText"/>
              <w:rPr>
                <w:sz w:val="20"/>
              </w:rPr>
            </w:pPr>
          </w:p>
          <w:p w:rsidR="00FF096B" w:rsidRPr="004D2043" w:rsidRDefault="00FF096B">
            <w:pPr>
              <w:pStyle w:val="BlockText"/>
            </w:pPr>
            <w:r w:rsidRPr="004D2043">
              <w:t xml:space="preserve">If a surviving spouse is entitled to the Veteran’s rate for the month of death under </w:t>
            </w:r>
            <w:hyperlink r:id="rId51" w:anchor="se38.1.3_120" w:history="1">
              <w:r w:rsidR="006D50AE" w:rsidRPr="004D2043">
                <w:rPr>
                  <w:rStyle w:val="Hyperlink"/>
                </w:rPr>
                <w:t>38 CFR</w:t>
              </w:r>
              <w:r w:rsidRPr="004D2043">
                <w:rPr>
                  <w:rStyle w:val="Hyperlink"/>
                </w:rPr>
                <w:t xml:space="preserve"> 3.20</w:t>
              </w:r>
            </w:hyperlink>
            <w:r w:rsidRPr="004D2043">
              <w:t>, deductible medical expenses are allowed for the first 13 months of the award although they affect the IVAP for only 12 months.</w:t>
            </w:r>
          </w:p>
          <w:p w:rsidR="00FF096B" w:rsidRPr="004D2043" w:rsidRDefault="00FF096B">
            <w:pPr>
              <w:pStyle w:val="BlockText"/>
            </w:pPr>
          </w:p>
          <w:p w:rsidR="00FF096B" w:rsidRPr="004D2043" w:rsidRDefault="00FF096B">
            <w:pPr>
              <w:pStyle w:val="BlockText"/>
            </w:pPr>
            <w:r w:rsidRPr="004D2043">
              <w:rPr>
                <w:b/>
                <w:bCs/>
                <w:i/>
                <w:iCs/>
              </w:rPr>
              <w:t>Important</w:t>
            </w:r>
            <w:r w:rsidRPr="004D2043">
              <w:t xml:space="preserve">:  In </w:t>
            </w:r>
            <w:r w:rsidR="003B7BB2" w:rsidRPr="004D2043">
              <w:t xml:space="preserve">Survivors </w:t>
            </w:r>
            <w:r w:rsidRPr="004D2043">
              <w:t xml:space="preserve">pension cases, do </w:t>
            </w:r>
            <w:r w:rsidRPr="004D2043">
              <w:rPr>
                <w:i/>
                <w:iCs/>
              </w:rPr>
              <w:t>not</w:t>
            </w:r>
            <w:r w:rsidRPr="004D2043">
              <w:t xml:space="preserve"> deduct unreimbursed medical expenses paid by the surviving spouse between the effective date of the death pension award (first day of the month of the Veteran’s death) and the date of the Veteran’s death.  However, the expenses may be deducted as final expenses, if they are related</w:t>
            </w:r>
            <w:r w:rsidR="0040650A" w:rsidRPr="004D2043">
              <w:t xml:space="preserve"> to the Veteran’s last illness.</w:t>
            </w:r>
          </w:p>
          <w:p w:rsidR="00FF096B" w:rsidRPr="004D2043" w:rsidRDefault="00FF096B">
            <w:pPr>
              <w:pStyle w:val="BlockText"/>
              <w:jc w:val="right"/>
              <w:rPr>
                <w:sz w:val="20"/>
              </w:rPr>
            </w:pPr>
          </w:p>
          <w:p w:rsidR="00FF096B" w:rsidRPr="004D2043" w:rsidRDefault="00FF096B">
            <w:pPr>
              <w:pStyle w:val="BlockText"/>
            </w:pPr>
            <w:r w:rsidRPr="004D2043">
              <w:rPr>
                <w:b/>
                <w:i/>
              </w:rPr>
              <w:t>References</w:t>
            </w:r>
            <w:r w:rsidRPr="004D2043">
              <w:t>:  For more information on</w:t>
            </w:r>
          </w:p>
          <w:p w:rsidR="00FF096B" w:rsidRPr="004D2043" w:rsidRDefault="00FF096B">
            <w:pPr>
              <w:pStyle w:val="BulletText1"/>
            </w:pPr>
            <w:r w:rsidRPr="004D2043">
              <w:t>medical expense deductions, see M21-1, Part V, Subpart iii, 1.G, and</w:t>
            </w:r>
          </w:p>
          <w:p w:rsidR="00FF096B" w:rsidRPr="004D2043" w:rsidRDefault="00FF096B" w:rsidP="00235E32">
            <w:pPr>
              <w:pStyle w:val="BulletText1"/>
            </w:pPr>
            <w:proofErr w:type="gramStart"/>
            <w:r w:rsidRPr="004D2043">
              <w:t>irregular</w:t>
            </w:r>
            <w:proofErr w:type="gramEnd"/>
            <w:r w:rsidRPr="004D2043">
              <w:t xml:space="preserve"> income, see </w:t>
            </w:r>
            <w:hyperlink r:id="rId52" w:history="1">
              <w:r w:rsidRPr="004D2043">
                <w:rPr>
                  <w:rStyle w:val="Hyperlink"/>
                </w:rPr>
                <w:t>M21-1MR, Part V, Subpart iii, 1.E</w:t>
              </w:r>
            </w:hyperlink>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1F46" w:rsidP="003B7BB2">
            <w:pPr>
              <w:pStyle w:val="Heading5"/>
            </w:pPr>
            <w:proofErr w:type="gramStart"/>
            <w:r w:rsidRPr="004D2043">
              <w:t>d</w:t>
            </w:r>
            <w:r w:rsidR="00FF096B" w:rsidRPr="004D2043">
              <w:t>.  Example</w:t>
            </w:r>
            <w:proofErr w:type="gramEnd"/>
            <w:r w:rsidR="00FF096B" w:rsidRPr="004D2043">
              <w:t xml:space="preserve"> 1: </w:t>
            </w:r>
            <w:r w:rsidR="003B7BB2" w:rsidRPr="004D2043">
              <w:t>Income Counting</w:t>
            </w:r>
            <w:r w:rsidR="00FF096B" w:rsidRPr="004D2043">
              <w:t xml:space="preserve"> for the Initial Period</w:t>
            </w:r>
          </w:p>
        </w:tc>
        <w:tc>
          <w:tcPr>
            <w:tcW w:w="7740" w:type="dxa"/>
          </w:tcPr>
          <w:p w:rsidR="00FF096B" w:rsidRPr="004D2043" w:rsidRDefault="00FF096B">
            <w:pPr>
              <w:pStyle w:val="BlockText"/>
            </w:pPr>
            <w:r w:rsidRPr="004D2043">
              <w:t xml:space="preserve">A Veteran with no dependents is permanently and totally disabled effective March 14, </w:t>
            </w:r>
            <w:r w:rsidR="003B7BB2" w:rsidRPr="004D2043">
              <w:t>2014</w:t>
            </w:r>
            <w:r w:rsidRPr="004D2043">
              <w:t>.  Use the guidelines below to determine the Veteran’s IVAP.</w:t>
            </w:r>
          </w:p>
          <w:p w:rsidR="00FF096B" w:rsidRPr="004D2043" w:rsidRDefault="00FF096B">
            <w:pPr>
              <w:pStyle w:val="BlockText"/>
            </w:pPr>
          </w:p>
          <w:p w:rsidR="00FF096B" w:rsidRPr="004D2043" w:rsidRDefault="00FF096B">
            <w:pPr>
              <w:pStyle w:val="BulletText1"/>
            </w:pPr>
            <w:r w:rsidRPr="004D2043">
              <w:t xml:space="preserve">If the Veteran is receiving monthly recurring income on March 14, </w:t>
            </w:r>
            <w:r w:rsidR="003B7BB2" w:rsidRPr="004D2043">
              <w:t>201</w:t>
            </w:r>
            <w:r w:rsidR="004E1F46" w:rsidRPr="004D2043">
              <w:t>3</w:t>
            </w:r>
            <w:r w:rsidRPr="004D2043">
              <w:t>, enter the monthly income into the computer system with no end date.  The system will multiply the monthly income by 12 and count it on an open-ended basis.</w:t>
            </w:r>
          </w:p>
          <w:p w:rsidR="00FF096B" w:rsidRPr="004D2043" w:rsidRDefault="00FF096B">
            <w:pPr>
              <w:pStyle w:val="BulletText1"/>
            </w:pPr>
            <w:r w:rsidRPr="004D2043">
              <w:t xml:space="preserve">If the Veteran receives irregular income between March 14, </w:t>
            </w:r>
            <w:r w:rsidR="003B7BB2" w:rsidRPr="004D2043">
              <w:t>201</w:t>
            </w:r>
            <w:r w:rsidR="004E1F46" w:rsidRPr="004D2043">
              <w:t>3</w:t>
            </w:r>
            <w:r w:rsidRPr="004D2043">
              <w:t xml:space="preserve">, and April 1, </w:t>
            </w:r>
            <w:r w:rsidR="003B7BB2" w:rsidRPr="004D2043">
              <w:t>201</w:t>
            </w:r>
            <w:r w:rsidR="004E1F46" w:rsidRPr="004D2043">
              <w:t>4</w:t>
            </w:r>
            <w:r w:rsidRPr="004D2043">
              <w:t xml:space="preserve">, count it for the period April 1, </w:t>
            </w:r>
            <w:r w:rsidR="003B7BB2" w:rsidRPr="004D2043">
              <w:t>201</w:t>
            </w:r>
            <w:r w:rsidR="004E1F46" w:rsidRPr="004D2043">
              <w:t>3</w:t>
            </w:r>
            <w:r w:rsidRPr="004D2043">
              <w:t xml:space="preserve">, through March 31, </w:t>
            </w:r>
            <w:r w:rsidR="003B7BB2" w:rsidRPr="004D2043">
              <w:t>201</w:t>
            </w:r>
            <w:r w:rsidR="004E1F46" w:rsidRPr="004D2043">
              <w:t>4</w:t>
            </w:r>
            <w:r w:rsidRPr="004D2043">
              <w:t>.</w:t>
            </w:r>
          </w:p>
          <w:p w:rsidR="00FF096B" w:rsidRPr="004D2043" w:rsidRDefault="00FF096B">
            <w:pPr>
              <w:pStyle w:val="BulletText1"/>
            </w:pPr>
            <w:r w:rsidRPr="004D2043">
              <w:t xml:space="preserve">Include all deductible medical expenses paid during the period March 14, </w:t>
            </w:r>
            <w:r w:rsidR="003B7BB2" w:rsidRPr="004D2043">
              <w:t>201</w:t>
            </w:r>
            <w:r w:rsidR="004E1F46" w:rsidRPr="004D2043">
              <w:t>3</w:t>
            </w:r>
            <w:r w:rsidRPr="004D2043">
              <w:t xml:space="preserve">, through March 31, </w:t>
            </w:r>
            <w:r w:rsidR="003B7BB2" w:rsidRPr="004D2043">
              <w:t>201</w:t>
            </w:r>
            <w:r w:rsidR="004E1F46" w:rsidRPr="004D2043">
              <w:t>4</w:t>
            </w:r>
            <w:r w:rsidRPr="004D2043">
              <w:t xml:space="preserve">, in calculating IVAP for the period April 1, </w:t>
            </w:r>
            <w:r w:rsidR="003B7BB2" w:rsidRPr="004D2043">
              <w:t>201</w:t>
            </w:r>
            <w:r w:rsidR="004E1F46" w:rsidRPr="004D2043">
              <w:t>3</w:t>
            </w:r>
            <w:r w:rsidRPr="004D2043">
              <w:t xml:space="preserve">, through March 31, </w:t>
            </w:r>
            <w:r w:rsidR="003B7BB2" w:rsidRPr="004D2043">
              <w:t>201</w:t>
            </w:r>
            <w:r w:rsidR="004E1F46" w:rsidRPr="004D2043">
              <w:t>4</w:t>
            </w:r>
            <w:r w:rsidRPr="004D2043">
              <w:t xml:space="preserve">.  </w:t>
            </w:r>
          </w:p>
          <w:p w:rsidR="00FF096B" w:rsidRPr="004D2043" w:rsidRDefault="00FF096B">
            <w:pPr>
              <w:pStyle w:val="BulletText1"/>
            </w:pPr>
            <w:r w:rsidRPr="004D2043">
              <w:t xml:space="preserve">If the Veteran starts receiving recurring income on June 15, </w:t>
            </w:r>
            <w:proofErr w:type="gramStart"/>
            <w:r w:rsidR="004E1F46" w:rsidRPr="004D2043">
              <w:t>2013</w:t>
            </w:r>
            <w:r w:rsidRPr="004D2043">
              <w:t xml:space="preserve">, that ends in October </w:t>
            </w:r>
            <w:r w:rsidR="003B7BB2" w:rsidRPr="004D2043">
              <w:t>201</w:t>
            </w:r>
            <w:r w:rsidR="004E1F46" w:rsidRPr="004D2043">
              <w:t>3</w:t>
            </w:r>
            <w:r w:rsidRPr="004D2043">
              <w:t>,</w:t>
            </w:r>
            <w:proofErr w:type="gramEnd"/>
            <w:r w:rsidRPr="004D2043">
              <w:t xml:space="preserve"> count the total amount received as short-term recurring income from July 1, </w:t>
            </w:r>
            <w:r w:rsidR="003B7BB2" w:rsidRPr="004D2043">
              <w:t>201</w:t>
            </w:r>
            <w:r w:rsidR="004E1F46" w:rsidRPr="004D2043">
              <w:t>3</w:t>
            </w:r>
            <w:r w:rsidRPr="004D2043">
              <w:t xml:space="preserve">, through June 30, </w:t>
            </w:r>
            <w:r w:rsidR="003B7BB2" w:rsidRPr="004D2043">
              <w:t>201</w:t>
            </w:r>
            <w:r w:rsidR="004E1F46" w:rsidRPr="004D2043">
              <w:t>4</w:t>
            </w:r>
            <w:r w:rsidR="001569A5" w:rsidRPr="004D2043">
              <w:t>.</w:t>
            </w:r>
          </w:p>
          <w:p w:rsidR="00FF096B" w:rsidRPr="004D2043" w:rsidRDefault="00FF096B" w:rsidP="003B7BB2">
            <w:pPr>
              <w:pStyle w:val="BulletText1"/>
            </w:pPr>
            <w:r w:rsidRPr="004D2043">
              <w:t xml:space="preserve">If the Veteran receives nonrecurring income on December 5, </w:t>
            </w:r>
            <w:r w:rsidR="003B7BB2" w:rsidRPr="004D2043">
              <w:t>201</w:t>
            </w:r>
            <w:r w:rsidR="004E1F46" w:rsidRPr="004D2043">
              <w:t>4</w:t>
            </w:r>
            <w:r w:rsidRPr="004D2043">
              <w:t xml:space="preserve">, count it from January 1, </w:t>
            </w:r>
            <w:r w:rsidR="003B7BB2" w:rsidRPr="004D2043">
              <w:t>201</w:t>
            </w:r>
            <w:r w:rsidR="004E1F46" w:rsidRPr="004D2043">
              <w:t>5</w:t>
            </w:r>
            <w:r w:rsidRPr="004D2043">
              <w:t xml:space="preserve">, through December 31, </w:t>
            </w:r>
            <w:r w:rsidR="003B7BB2" w:rsidRPr="004D2043">
              <w:t>201</w:t>
            </w:r>
            <w:r w:rsidR="004E1F46" w:rsidRPr="004D2043">
              <w:t>5</w:t>
            </w:r>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4E1F46" w:rsidP="004E1F46">
            <w:pPr>
              <w:pStyle w:val="Heading5"/>
            </w:pPr>
            <w:proofErr w:type="gramStart"/>
            <w:r w:rsidRPr="004D2043">
              <w:t>e</w:t>
            </w:r>
            <w:r w:rsidR="00FF096B" w:rsidRPr="004D2043">
              <w:t>.  Example</w:t>
            </w:r>
            <w:proofErr w:type="gramEnd"/>
            <w:r w:rsidR="00FF096B" w:rsidRPr="004D2043">
              <w:t xml:space="preserve"> </w:t>
            </w:r>
            <w:r w:rsidR="00421F28" w:rsidRPr="004D2043">
              <w:t>2</w:t>
            </w:r>
            <w:r w:rsidR="00FF096B" w:rsidRPr="004D2043">
              <w:t xml:space="preserve">:  </w:t>
            </w:r>
            <w:r w:rsidRPr="004D2043">
              <w:t>Income Counting</w:t>
            </w:r>
            <w:r w:rsidR="00FF096B" w:rsidRPr="004D2043">
              <w:t xml:space="preserve"> for the Initial Period – IVAP Changes</w:t>
            </w:r>
          </w:p>
        </w:tc>
        <w:tc>
          <w:tcPr>
            <w:tcW w:w="7740" w:type="dxa"/>
          </w:tcPr>
          <w:p w:rsidR="00FF096B" w:rsidRPr="004D2043" w:rsidRDefault="00FF096B">
            <w:pPr>
              <w:pStyle w:val="BlockText"/>
            </w:pPr>
            <w:r w:rsidRPr="004D2043">
              <w:t>The table below shows the effective dates and reasons for the IVAP changes described above in M21-1MR, Part V, Subpart iii, 1.E.</w:t>
            </w:r>
            <w:r w:rsidR="004E1F46" w:rsidRPr="004D2043">
              <w:t>7</w:t>
            </w:r>
            <w:r w:rsidRPr="004D2043">
              <w:t>.</w:t>
            </w:r>
            <w:r w:rsidR="004E1F46" w:rsidRPr="004D2043">
              <w:t>d</w:t>
            </w:r>
            <w:r w:rsidRPr="004D2043">
              <w:t>.</w:t>
            </w:r>
          </w:p>
        </w:tc>
      </w:tr>
    </w:tbl>
    <w:p w:rsidR="00FF096B" w:rsidRPr="004D2043" w:rsidRDefault="00FF096B"/>
    <w:tbl>
      <w:tblPr>
        <w:tblW w:w="0" w:type="auto"/>
        <w:tblInd w:w="1829" w:type="dxa"/>
        <w:tblLayout w:type="fixed"/>
        <w:tblLook w:val="0000" w:firstRow="0" w:lastRow="0" w:firstColumn="0" w:lastColumn="0" w:noHBand="0" w:noVBand="0"/>
      </w:tblPr>
      <w:tblGrid>
        <w:gridCol w:w="1429"/>
        <w:gridCol w:w="1260"/>
        <w:gridCol w:w="5058"/>
      </w:tblGrid>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lastRenderedPageBreak/>
              <w:t>Date</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 for IVAP Change</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04-01-</w:t>
            </w:r>
            <w:r w:rsidR="004E1F46" w:rsidRPr="004D2043">
              <w:t>2013</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3</w:t>
            </w:r>
            <w:r w:rsidR="00426048" w:rsidRPr="004D2043">
              <w:t>,4</w:t>
            </w:r>
            <w:r w:rsidRPr="004D2043">
              <w:t>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rsidP="00426048">
            <w:pPr>
              <w:pStyle w:val="TableText"/>
            </w:pPr>
            <w:r w:rsidRPr="004D2043">
              <w:t xml:space="preserve">$200 monthly recurring income plus $1,000 irregular income received March 24, </w:t>
            </w:r>
            <w:r w:rsidR="004E1F46" w:rsidRPr="004D2043">
              <w:t>2013</w:t>
            </w:r>
            <w:r w:rsidRPr="004D2043">
              <w:t>.  .</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07-01-</w:t>
            </w:r>
            <w:r w:rsidR="004E1F46" w:rsidRPr="004D2043">
              <w:t>2013</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rsidP="00426048">
            <w:pPr>
              <w:pStyle w:val="TableText"/>
            </w:pPr>
            <w:r w:rsidRPr="004D2043">
              <w:t>4</w:t>
            </w:r>
            <w:r w:rsidR="00426048" w:rsidRPr="004D2043">
              <w:t>,9</w:t>
            </w:r>
            <w:r w:rsidRPr="004D2043">
              <w:t>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rsidP="0073494B">
            <w:pPr>
              <w:pStyle w:val="TableText"/>
            </w:pPr>
            <w:r w:rsidRPr="004D2043">
              <w:t xml:space="preserve">$1,500 short-term recurring income first received June 15, </w:t>
            </w:r>
            <w:r w:rsidR="004E1F46" w:rsidRPr="004D2043">
              <w:t>2013</w:t>
            </w:r>
            <w:r w:rsidRPr="004D2043">
              <w:t>.</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12-01-</w:t>
            </w:r>
            <w:r w:rsidR="004E1F46" w:rsidRPr="004D2043">
              <w:t>2013</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4</w:t>
            </w:r>
            <w:r w:rsidR="00426048" w:rsidRPr="004D2043">
              <w:t>,900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426048">
            <w:pPr>
              <w:pStyle w:val="TableText"/>
            </w:pPr>
            <w:r w:rsidRPr="004D2043">
              <w:t>COLA</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04-01-</w:t>
            </w:r>
            <w:r w:rsidR="004E1F46" w:rsidRPr="004D2043">
              <w:t>2014</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3900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rsidP="00426048">
            <w:pPr>
              <w:pStyle w:val="TableText"/>
            </w:pPr>
            <w:r w:rsidRPr="004D2043">
              <w:t xml:space="preserve">Irregular income removed.  </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07-01-</w:t>
            </w:r>
            <w:r w:rsidR="004E1F46" w:rsidRPr="004D2043">
              <w:t>2014</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2400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Short-term recurring income removed.</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01-01-</w:t>
            </w:r>
            <w:r w:rsidR="004E1F46" w:rsidRPr="004D2043">
              <w:t>2015</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2700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 xml:space="preserve">$300 nonrecurring income received December 5, </w:t>
            </w:r>
            <w:r w:rsidR="004E1F46" w:rsidRPr="004D2043">
              <w:t>2014</w:t>
            </w:r>
            <w:r w:rsidRPr="004D2043">
              <w:t>.</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4E1F46">
            <w:pPr>
              <w:pStyle w:val="TableText"/>
            </w:pPr>
            <w:r w:rsidRPr="004D2043">
              <w:t>01-01-</w:t>
            </w:r>
            <w:r w:rsidR="004E1F46" w:rsidRPr="004D2043">
              <w:t>2016</w:t>
            </w:r>
          </w:p>
        </w:tc>
        <w:tc>
          <w:tcPr>
            <w:tcW w:w="126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2400</w:t>
            </w:r>
          </w:p>
        </w:tc>
        <w:tc>
          <w:tcPr>
            <w:tcW w:w="5058"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Nonrecurring income removed.  (13-month rule does not apply.)</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rsidP="004E1F46">
            <w:pPr>
              <w:pStyle w:val="Heading5"/>
            </w:pPr>
            <w:proofErr w:type="gramStart"/>
            <w:r w:rsidRPr="004D2043">
              <w:t>g.  Example</w:t>
            </w:r>
            <w:proofErr w:type="gramEnd"/>
            <w:r w:rsidRPr="004D2043">
              <w:t xml:space="preserve"> </w:t>
            </w:r>
            <w:r w:rsidR="00421F28" w:rsidRPr="004D2043">
              <w:t>3</w:t>
            </w:r>
            <w:r w:rsidRPr="004D2043">
              <w:t xml:space="preserve">: </w:t>
            </w:r>
            <w:r w:rsidR="004E1F46" w:rsidRPr="004D2043">
              <w:t>Income Counting</w:t>
            </w:r>
            <w:r w:rsidRPr="004D2043">
              <w:t xml:space="preserve"> for the Initial Period – </w:t>
            </w:r>
            <w:r w:rsidR="004E1F46" w:rsidRPr="004D2043">
              <w:t xml:space="preserve">Survivors  </w:t>
            </w:r>
            <w:r w:rsidRPr="004D2043">
              <w:t>Pension</w:t>
            </w:r>
          </w:p>
        </w:tc>
        <w:tc>
          <w:tcPr>
            <w:tcW w:w="7740" w:type="dxa"/>
          </w:tcPr>
          <w:p w:rsidR="00FF096B" w:rsidRPr="004D2043" w:rsidRDefault="00A21229">
            <w:pPr>
              <w:pStyle w:val="BlockText"/>
            </w:pPr>
            <w:r w:rsidRPr="004D2043">
              <w:rPr>
                <w:b/>
                <w:i/>
              </w:rPr>
              <w:t>Example</w:t>
            </w:r>
            <w:r w:rsidR="00FF096B" w:rsidRPr="004D2043">
              <w:t>:  The Veteran was receiving disability compensation of $</w:t>
            </w:r>
            <w:r w:rsidR="004E1F46" w:rsidRPr="004D2043">
              <w:t>1</w:t>
            </w:r>
            <w:r w:rsidR="007002F1" w:rsidRPr="004D2043">
              <w:t>,</w:t>
            </w:r>
            <w:r w:rsidR="004E1F46" w:rsidRPr="004D2043">
              <w:t xml:space="preserve">037.01 </w:t>
            </w:r>
            <w:r w:rsidR="00FF096B" w:rsidRPr="004D2043">
              <w:t xml:space="preserve">per month prior to his death on April 7, </w:t>
            </w:r>
            <w:r w:rsidR="004E1F46" w:rsidRPr="004D2043">
              <w:t>2014</w:t>
            </w:r>
            <w:r w:rsidR="00FF096B" w:rsidRPr="004D2043">
              <w:t xml:space="preserve">.  The surviving spouse files an original claim on July 5, </w:t>
            </w:r>
            <w:r w:rsidR="004E1F46" w:rsidRPr="004D2043">
              <w:t>2014</w:t>
            </w:r>
            <w:r w:rsidR="00FF096B" w:rsidRPr="004D2043">
              <w:t xml:space="preserve">, and is found to be entitled to </w:t>
            </w:r>
            <w:r w:rsidR="004E1F46" w:rsidRPr="004D2043">
              <w:t xml:space="preserve">Survivors </w:t>
            </w:r>
            <w:r w:rsidR="00FF096B" w:rsidRPr="004D2043">
              <w:t xml:space="preserve">Pension </w:t>
            </w:r>
            <w:r w:rsidR="0040650A" w:rsidRPr="004D2043">
              <w:t>at the rate of $200 per month.</w:t>
            </w:r>
          </w:p>
          <w:p w:rsidR="00FF096B" w:rsidRPr="004D2043" w:rsidRDefault="00FF096B">
            <w:pPr>
              <w:pStyle w:val="BlockText"/>
            </w:pPr>
          </w:p>
          <w:p w:rsidR="00FF096B" w:rsidRPr="004D2043" w:rsidRDefault="00FF096B">
            <w:pPr>
              <w:pStyle w:val="BlockText"/>
            </w:pPr>
            <w:r w:rsidRPr="004D2043">
              <w:t>Pay $</w:t>
            </w:r>
            <w:r w:rsidR="004E1F46" w:rsidRPr="004D2043">
              <w:t>1</w:t>
            </w:r>
            <w:r w:rsidR="007002F1" w:rsidRPr="004D2043">
              <w:t>,</w:t>
            </w:r>
            <w:r w:rsidR="004E1F46" w:rsidRPr="004D2043">
              <w:t xml:space="preserve">037.01 </w:t>
            </w:r>
            <w:r w:rsidRPr="004D2043">
              <w:t xml:space="preserve">for the month of April 1, </w:t>
            </w:r>
            <w:r w:rsidR="004E1F46" w:rsidRPr="004D2043">
              <w:t>2014</w:t>
            </w:r>
            <w:r w:rsidRPr="004D2043">
              <w:t xml:space="preserve"> (the Veteran’s compensation rate for the month of death)</w:t>
            </w:r>
            <w:r w:rsidR="001569A5" w:rsidRPr="004D2043">
              <w:t>,</w:t>
            </w:r>
            <w:r w:rsidRPr="004D2043">
              <w:t xml:space="preserve"> and pay $200 per month, effective May 1, </w:t>
            </w:r>
            <w:r w:rsidR="004E1F46" w:rsidRPr="004D2043">
              <w:t>2014</w:t>
            </w:r>
            <w:r w:rsidRPr="004D2043">
              <w:t xml:space="preserve">.  In this case, the payment date is the same as the effective date, because </w:t>
            </w:r>
            <w:hyperlink r:id="rId53" w:anchor="se38.1.3_131" w:history="1">
              <w:r w:rsidR="006D50AE" w:rsidRPr="004D2043">
                <w:rPr>
                  <w:rStyle w:val="Hyperlink"/>
                </w:rPr>
                <w:t>38 CFR</w:t>
              </w:r>
              <w:r w:rsidRPr="004D2043">
                <w:rPr>
                  <w:rStyle w:val="Hyperlink"/>
                </w:rPr>
                <w:t xml:space="preserve"> 3.31</w:t>
              </w:r>
            </w:hyperlink>
            <w:r w:rsidRPr="004D2043">
              <w:t xml:space="preserve"> does not apply when the Veteran’s rate is payable for the month of death under </w:t>
            </w:r>
            <w:hyperlink r:id="rId54" w:anchor="se38.1.3_120" w:history="1">
              <w:r w:rsidR="006D50AE" w:rsidRPr="004D2043">
                <w:rPr>
                  <w:rStyle w:val="Hyperlink"/>
                </w:rPr>
                <w:t>38 CFR</w:t>
              </w:r>
              <w:r w:rsidRPr="004D2043">
                <w:rPr>
                  <w:rStyle w:val="Hyperlink"/>
                </w:rPr>
                <w:t xml:space="preserve"> 3.20</w:t>
              </w:r>
            </w:hyperlink>
            <w:r w:rsidR="0040650A"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h.  Income</w:t>
            </w:r>
            <w:proofErr w:type="gramEnd"/>
            <w:r w:rsidRPr="004D2043">
              <w:t xml:space="preserve"> Changes During Initial 12 Months of Award</w:t>
            </w:r>
          </w:p>
        </w:tc>
        <w:tc>
          <w:tcPr>
            <w:tcW w:w="7740" w:type="dxa"/>
          </w:tcPr>
          <w:p w:rsidR="00FF096B" w:rsidRPr="004D2043" w:rsidRDefault="00FF096B" w:rsidP="00DC3869">
            <w:pPr>
              <w:pStyle w:val="BlockText"/>
            </w:pPr>
            <w:r w:rsidRPr="004D2043">
              <w:t xml:space="preserve">If there is a change in income that occurs after the effective date of the award, apply the income-counting principles found here in this topic.  This means that an original or </w:t>
            </w:r>
            <w:r w:rsidR="00DC3869" w:rsidRPr="004D2043">
              <w:t xml:space="preserve">new </w:t>
            </w:r>
            <w:r w:rsidRPr="004D2043">
              <w:t>award might be discontinued after ha</w:t>
            </w:r>
            <w:r w:rsidR="0040650A" w:rsidRPr="004D2043">
              <w:t>ving run fewer than 12 months.</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spellStart"/>
            <w:proofErr w:type="gramStart"/>
            <w:r w:rsidRPr="004D2043">
              <w:lastRenderedPageBreak/>
              <w:t>i</w:t>
            </w:r>
            <w:proofErr w:type="spellEnd"/>
            <w:r w:rsidRPr="004D2043">
              <w:t>.  Example</w:t>
            </w:r>
            <w:proofErr w:type="gramEnd"/>
            <w:r w:rsidRPr="004D2043">
              <w:t xml:space="preserve"> 1:  Income Changes During Initial 12 Months of Award</w:t>
            </w:r>
          </w:p>
        </w:tc>
        <w:tc>
          <w:tcPr>
            <w:tcW w:w="7740" w:type="dxa"/>
          </w:tcPr>
          <w:p w:rsidR="00FF096B" w:rsidRPr="004D2043" w:rsidRDefault="00FF096B">
            <w:pPr>
              <w:pStyle w:val="BlockText"/>
            </w:pPr>
            <w:r w:rsidRPr="004D2043">
              <w:t xml:space="preserve">In Examples 1 and 2 below, it makes no difference whether or not the award is running at the time VA learns of the retroactive payment.  The income counting procedures found in this topic apply equally to original, </w:t>
            </w:r>
            <w:r w:rsidR="00DC3869" w:rsidRPr="004D2043">
              <w:t>new</w:t>
            </w:r>
            <w:r w:rsidRPr="004D2043">
              <w:t>, and running awards.</w:t>
            </w:r>
          </w:p>
          <w:p w:rsidR="00FF096B" w:rsidRPr="004D2043" w:rsidRDefault="00FF096B">
            <w:pPr>
              <w:pStyle w:val="BlockText"/>
              <w:rPr>
                <w:bCs/>
                <w:iCs/>
              </w:rPr>
            </w:pPr>
          </w:p>
          <w:p w:rsidR="00FF096B" w:rsidRPr="004D2043" w:rsidRDefault="00A21229">
            <w:pPr>
              <w:pStyle w:val="BlockText"/>
            </w:pPr>
            <w:r w:rsidRPr="004D2043">
              <w:rPr>
                <w:b/>
                <w:i/>
              </w:rPr>
              <w:t>Example</w:t>
            </w:r>
            <w:r w:rsidR="00FF096B" w:rsidRPr="004D2043">
              <w:t xml:space="preserve">:  A surviving spouse is entitled to </w:t>
            </w:r>
            <w:r w:rsidR="00DC3869" w:rsidRPr="004D2043">
              <w:t>Survivors Pension</w:t>
            </w:r>
            <w:r w:rsidR="00FF096B" w:rsidRPr="004D2043">
              <w:t xml:space="preserve"> with an effective date of March 15, </w:t>
            </w:r>
            <w:r w:rsidR="00DC3869" w:rsidRPr="004D2043">
              <w:t>2014</w:t>
            </w:r>
            <w:r w:rsidR="00FF096B" w:rsidRPr="004D2043">
              <w:t xml:space="preserve">.  The award is payable from April 1, </w:t>
            </w:r>
            <w:r w:rsidR="00DC3869" w:rsidRPr="004D2043">
              <w:t>2014</w:t>
            </w:r>
            <w:r w:rsidR="00FF096B" w:rsidRPr="004D2043">
              <w:t xml:space="preserve">.  The award is based on IVAP of $0.  The surviving spouse receives a retirement check for $800 on July 3, </w:t>
            </w:r>
            <w:r w:rsidR="00DC3869" w:rsidRPr="004D2043">
              <w:t>2014</w:t>
            </w:r>
            <w:r w:rsidR="00FF096B" w:rsidRPr="004D2043">
              <w:t xml:space="preserve">.  It represents a $600 retroactive check and the regular $200 check for July.  The surviving spouse expects to receive $200 each month in the future from this source.  </w:t>
            </w:r>
          </w:p>
          <w:p w:rsidR="00FF096B" w:rsidRPr="004D2043" w:rsidRDefault="00FF096B">
            <w:pPr>
              <w:pStyle w:val="BlockText"/>
            </w:pPr>
          </w:p>
          <w:p w:rsidR="00FF096B" w:rsidRPr="004D2043" w:rsidRDefault="00FF096B">
            <w:pPr>
              <w:pStyle w:val="BlockText"/>
            </w:pPr>
            <w:r w:rsidRPr="004D2043">
              <w:t xml:space="preserve">Pay based on IVAP of $0 from April 1, </w:t>
            </w:r>
            <w:r w:rsidR="00DC3869" w:rsidRPr="004D2043">
              <w:t>2014</w:t>
            </w:r>
            <w:r w:rsidRPr="004D2043">
              <w:t>.  Increase IVAP to $3,000 effective August 1,</w:t>
            </w:r>
            <w:r w:rsidR="00DC3869" w:rsidRPr="004D2043">
              <w:t xml:space="preserve"> 2014</w:t>
            </w:r>
            <w:r w:rsidRPr="004D2043">
              <w:t xml:space="preserve"> (12 x $200= $2,400 + $600 retroactive).  Reduce IVAP to $2,400, effective August 1, </w:t>
            </w:r>
            <w:r w:rsidR="00DC3869" w:rsidRPr="004D2043">
              <w:t>2015</w:t>
            </w:r>
            <w:r w:rsidRPr="004D2043">
              <w:t>, when the $600 retroactive comes off the award.</w:t>
            </w:r>
          </w:p>
          <w:p w:rsidR="00FF096B" w:rsidRPr="004D2043" w:rsidRDefault="00FF096B">
            <w:pPr>
              <w:pStyle w:val="BlockText"/>
            </w:pPr>
          </w:p>
          <w:p w:rsidR="00FF096B" w:rsidRPr="004D2043" w:rsidRDefault="00FF096B">
            <w:pPr>
              <w:pStyle w:val="BlockText"/>
            </w:pPr>
            <w:r w:rsidRPr="004D2043">
              <w:t>The table below shows the date and reason for</w:t>
            </w:r>
            <w:r w:rsidR="0040650A" w:rsidRPr="004D2043">
              <w:t xml:space="preserve"> the IVAP changes in Example 1.</w:t>
            </w:r>
          </w:p>
        </w:tc>
      </w:tr>
    </w:tbl>
    <w:p w:rsidR="00FF096B" w:rsidRPr="004D2043" w:rsidRDefault="00FF096B"/>
    <w:tbl>
      <w:tblPr>
        <w:tblW w:w="0" w:type="auto"/>
        <w:tblInd w:w="1829" w:type="dxa"/>
        <w:tblLayout w:type="fixed"/>
        <w:tblLook w:val="0000" w:firstRow="0" w:lastRow="0" w:firstColumn="0" w:lastColumn="0" w:noHBand="0" w:noVBand="0"/>
      </w:tblPr>
      <w:tblGrid>
        <w:gridCol w:w="1519"/>
        <w:gridCol w:w="1350"/>
        <w:gridCol w:w="4679"/>
      </w:tblGrid>
      <w:tr w:rsidR="00FF096B" w:rsidRPr="004D2043">
        <w:trPr>
          <w:cantSplit/>
          <w:trHeight w:val="290"/>
        </w:trPr>
        <w:tc>
          <w:tcPr>
            <w:tcW w:w="151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Date</w:t>
            </w:r>
          </w:p>
        </w:tc>
        <w:tc>
          <w:tcPr>
            <w:tcW w:w="135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467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w:t>
            </w:r>
          </w:p>
        </w:tc>
      </w:tr>
      <w:tr w:rsidR="00FF096B" w:rsidRPr="004D2043">
        <w:trPr>
          <w:cantSplit/>
          <w:trHeight w:val="290"/>
        </w:trPr>
        <w:tc>
          <w:tcPr>
            <w:tcW w:w="1519" w:type="dxa"/>
            <w:tcBorders>
              <w:top w:val="single" w:sz="6" w:space="0" w:color="auto"/>
              <w:left w:val="single" w:sz="6" w:space="0" w:color="auto"/>
              <w:bottom w:val="single" w:sz="6" w:space="0" w:color="auto"/>
              <w:right w:val="single" w:sz="6" w:space="0" w:color="auto"/>
            </w:tcBorders>
          </w:tcPr>
          <w:p w:rsidR="00FF096B" w:rsidRPr="004D2043" w:rsidRDefault="00FF096B" w:rsidP="00DC3869">
            <w:pPr>
              <w:pStyle w:val="TableText"/>
            </w:pPr>
            <w:r w:rsidRPr="004D2043">
              <w:t>04-01-</w:t>
            </w:r>
            <w:r w:rsidR="00DC3869" w:rsidRPr="004D2043">
              <w:t>2014</w:t>
            </w:r>
          </w:p>
        </w:tc>
        <w:tc>
          <w:tcPr>
            <w:tcW w:w="135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0</w:t>
            </w:r>
          </w:p>
        </w:tc>
        <w:tc>
          <w:tcPr>
            <w:tcW w:w="4679" w:type="dxa"/>
            <w:tcBorders>
              <w:top w:val="single" w:sz="6" w:space="0" w:color="auto"/>
              <w:left w:val="single" w:sz="6" w:space="0" w:color="auto"/>
              <w:bottom w:val="single" w:sz="6" w:space="0" w:color="auto"/>
              <w:right w:val="single" w:sz="6" w:space="0" w:color="auto"/>
            </w:tcBorders>
          </w:tcPr>
          <w:p w:rsidR="00FF096B" w:rsidRPr="004D2043" w:rsidRDefault="00FF096B" w:rsidP="00DC3869">
            <w:pPr>
              <w:pStyle w:val="TableText"/>
            </w:pPr>
            <w:r w:rsidRPr="004D2043">
              <w:t xml:space="preserve">Entitlement is effective from date of claim, March 15, </w:t>
            </w:r>
            <w:r w:rsidR="00DC3869" w:rsidRPr="004D2043">
              <w:t>2014</w:t>
            </w:r>
            <w:r w:rsidRPr="004D2043">
              <w:t>. (Claim received more than one year after Veteran’s death.)</w:t>
            </w:r>
          </w:p>
        </w:tc>
      </w:tr>
      <w:tr w:rsidR="00FF096B" w:rsidRPr="004D2043">
        <w:trPr>
          <w:cantSplit/>
          <w:trHeight w:val="290"/>
        </w:trPr>
        <w:tc>
          <w:tcPr>
            <w:tcW w:w="1519" w:type="dxa"/>
            <w:tcBorders>
              <w:top w:val="single" w:sz="6" w:space="0" w:color="auto"/>
              <w:left w:val="single" w:sz="6" w:space="0" w:color="auto"/>
              <w:bottom w:val="single" w:sz="6" w:space="0" w:color="auto"/>
              <w:right w:val="single" w:sz="6" w:space="0" w:color="auto"/>
            </w:tcBorders>
          </w:tcPr>
          <w:p w:rsidR="00FF096B" w:rsidRPr="004D2043" w:rsidRDefault="00FF096B" w:rsidP="00DC3869">
            <w:pPr>
              <w:pStyle w:val="TableText"/>
            </w:pPr>
            <w:r w:rsidRPr="004D2043">
              <w:t>08-01-</w:t>
            </w:r>
            <w:r w:rsidR="00DC3869" w:rsidRPr="004D2043">
              <w:t>2014</w:t>
            </w:r>
          </w:p>
        </w:tc>
        <w:tc>
          <w:tcPr>
            <w:tcW w:w="135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3000</w:t>
            </w:r>
          </w:p>
        </w:tc>
        <w:tc>
          <w:tcPr>
            <w:tcW w:w="4679" w:type="dxa"/>
            <w:tcBorders>
              <w:top w:val="single" w:sz="6" w:space="0" w:color="auto"/>
              <w:left w:val="single" w:sz="6" w:space="0" w:color="auto"/>
              <w:bottom w:val="single" w:sz="6" w:space="0" w:color="auto"/>
              <w:right w:val="single" w:sz="6" w:space="0" w:color="auto"/>
            </w:tcBorders>
          </w:tcPr>
          <w:p w:rsidR="00FF096B" w:rsidRPr="004D2043" w:rsidRDefault="00FF096B" w:rsidP="00DC3869">
            <w:pPr>
              <w:pStyle w:val="TableText"/>
            </w:pPr>
            <w:r w:rsidRPr="004D2043">
              <w:t xml:space="preserve">Retirement check received July 3, </w:t>
            </w:r>
            <w:r w:rsidR="00DC3869" w:rsidRPr="004D2043">
              <w:t>2014</w:t>
            </w:r>
            <w:r w:rsidRPr="004D2043">
              <w:t>.  Count $600 nonrecurring plus $200 per month recurring ($2,400).</w:t>
            </w:r>
          </w:p>
        </w:tc>
      </w:tr>
      <w:tr w:rsidR="00FF096B" w:rsidRPr="004D2043">
        <w:trPr>
          <w:cantSplit/>
          <w:trHeight w:val="290"/>
        </w:trPr>
        <w:tc>
          <w:tcPr>
            <w:tcW w:w="1519" w:type="dxa"/>
            <w:tcBorders>
              <w:top w:val="single" w:sz="6" w:space="0" w:color="auto"/>
              <w:left w:val="single" w:sz="6" w:space="0" w:color="auto"/>
              <w:bottom w:val="single" w:sz="6" w:space="0" w:color="auto"/>
              <w:right w:val="single" w:sz="6" w:space="0" w:color="auto"/>
            </w:tcBorders>
          </w:tcPr>
          <w:p w:rsidR="00FF096B" w:rsidRPr="004D2043" w:rsidRDefault="00FF096B" w:rsidP="00DC3869">
            <w:pPr>
              <w:pStyle w:val="TableText"/>
            </w:pPr>
            <w:r w:rsidRPr="004D2043">
              <w:t>08-01-</w:t>
            </w:r>
            <w:r w:rsidR="00DC3869" w:rsidRPr="004D2043">
              <w:t>2015</w:t>
            </w:r>
          </w:p>
        </w:tc>
        <w:tc>
          <w:tcPr>
            <w:tcW w:w="135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2400</w:t>
            </w:r>
          </w:p>
        </w:tc>
        <w:tc>
          <w:tcPr>
            <w:tcW w:w="467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Remove nonrecurring income.</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j.  Example</w:t>
            </w:r>
            <w:proofErr w:type="gramEnd"/>
            <w:r w:rsidRPr="004D2043">
              <w:t xml:space="preserve"> 2:  Income Changes During Initial 12 Months of Award  </w:t>
            </w:r>
          </w:p>
        </w:tc>
        <w:tc>
          <w:tcPr>
            <w:tcW w:w="7740" w:type="dxa"/>
          </w:tcPr>
          <w:p w:rsidR="00FF096B" w:rsidRPr="004D2043" w:rsidRDefault="00A21229">
            <w:pPr>
              <w:pStyle w:val="BlockText"/>
            </w:pPr>
            <w:r w:rsidRPr="004D2043">
              <w:rPr>
                <w:b/>
                <w:i/>
              </w:rPr>
              <w:t>Example</w:t>
            </w:r>
            <w:r w:rsidR="00FF096B" w:rsidRPr="004D2043">
              <w:t xml:space="preserve">:  A surviving spouse is entitled to </w:t>
            </w:r>
            <w:r w:rsidR="001569A5" w:rsidRPr="004D2043">
              <w:t>Survivors</w:t>
            </w:r>
            <w:r w:rsidR="00DC3869" w:rsidRPr="004D2043">
              <w:t xml:space="preserve"> Pension</w:t>
            </w:r>
            <w:r w:rsidR="00FF096B" w:rsidRPr="004D2043">
              <w:t xml:space="preserve"> with an effective date of March 15, </w:t>
            </w:r>
            <w:r w:rsidR="00DC3869" w:rsidRPr="004D2043">
              <w:t>2014</w:t>
            </w:r>
            <w:r w:rsidR="00FF096B" w:rsidRPr="004D2043">
              <w:t xml:space="preserve">.  The award is payable from April 1, </w:t>
            </w:r>
            <w:r w:rsidR="00DC3869" w:rsidRPr="004D2043">
              <w:t>2014</w:t>
            </w:r>
            <w:r w:rsidR="00FF096B" w:rsidRPr="004D2043">
              <w:t xml:space="preserve">.  The award is based on IVAP of $0.  The surviving spouse receives a retirement check for $3,000 on July 3, </w:t>
            </w:r>
            <w:r w:rsidR="00DC3869" w:rsidRPr="004D2043">
              <w:t>2014</w:t>
            </w:r>
            <w:r w:rsidR="00FF096B" w:rsidRPr="004D2043">
              <w:t>.  It represents a $2,500 retroactive check and the regular $500 check for July.  The surviving spouse expects to receive $500 each month i</w:t>
            </w:r>
            <w:r w:rsidR="0040650A" w:rsidRPr="004D2043">
              <w:t>n the future from this source.</w:t>
            </w:r>
          </w:p>
          <w:p w:rsidR="00FF096B" w:rsidRPr="004D2043" w:rsidRDefault="00FF096B">
            <w:pPr>
              <w:pStyle w:val="BlockText"/>
            </w:pPr>
          </w:p>
          <w:p w:rsidR="00FF096B" w:rsidRPr="004D2043" w:rsidRDefault="00FF096B" w:rsidP="00DC3869">
            <w:pPr>
              <w:pStyle w:val="BlockText"/>
            </w:pPr>
            <w:r w:rsidRPr="004D2043">
              <w:t xml:space="preserve">Stop the award effective August 1, </w:t>
            </w:r>
            <w:r w:rsidR="00DC3869" w:rsidRPr="004D2043">
              <w:t>2014</w:t>
            </w:r>
            <w:r w:rsidRPr="004D2043">
              <w:t xml:space="preserve">, because IVAP of $8,500 exceeds the applicable MAPR.  If there are no other changes in the surviving spouse’s income, entitlement exists effective August 1, </w:t>
            </w:r>
            <w:r w:rsidR="00DC3869" w:rsidRPr="004D2043">
              <w:t>2015</w:t>
            </w:r>
            <w:r w:rsidRPr="004D2043">
              <w:t>, when the $2,500 retroactive payment has been counted for 12 months.</w:t>
            </w:r>
          </w:p>
          <w:p w:rsidR="00A21229" w:rsidRPr="004D2043" w:rsidRDefault="00A21229" w:rsidP="00DC3869">
            <w:pPr>
              <w:pStyle w:val="BlockText"/>
            </w:pPr>
          </w:p>
          <w:p w:rsidR="00A21229" w:rsidRPr="004D2043" w:rsidRDefault="00A21229" w:rsidP="00DC3869">
            <w:pPr>
              <w:pStyle w:val="BlockText"/>
            </w:pPr>
            <w:r w:rsidRPr="004D2043">
              <w:rPr>
                <w:b/>
                <w:bCs/>
                <w:i/>
                <w:iCs/>
              </w:rPr>
              <w:t>Note</w:t>
            </w:r>
            <w:r w:rsidRPr="004D2043">
              <w:t xml:space="preserve">:  If the surviving spouse re-establishes entitlement effective August 1, 2015, the payment date would be September 1, 2015, per </w:t>
            </w:r>
            <w:hyperlink r:id="rId55" w:anchor="se38.1.3_131" w:history="1">
              <w:r w:rsidRPr="004D2043">
                <w:rPr>
                  <w:rStyle w:val="Hyperlink"/>
                </w:rPr>
                <w:t>38 CFR 3.31</w:t>
              </w:r>
            </w:hyperlink>
            <w:r w:rsidRPr="004D2043">
              <w:t xml:space="preserve"> and </w:t>
            </w:r>
            <w:hyperlink r:id="rId56" w:history="1">
              <w:r w:rsidRPr="004D2043">
                <w:rPr>
                  <w:rStyle w:val="Hyperlink"/>
                  <w:iCs/>
                </w:rPr>
                <w:t>VAOGCPREC 02-89</w:t>
              </w:r>
            </w:hyperlink>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k.  Counting</w:t>
            </w:r>
            <w:proofErr w:type="gramEnd"/>
            <w:r w:rsidRPr="004D2043">
              <w:t xml:space="preserve"> the Initial 12 Months of Income for Disallowed Claims</w:t>
            </w:r>
          </w:p>
        </w:tc>
        <w:tc>
          <w:tcPr>
            <w:tcW w:w="7740" w:type="dxa"/>
          </w:tcPr>
          <w:p w:rsidR="00FF096B" w:rsidRPr="004D2043" w:rsidRDefault="00FF096B">
            <w:pPr>
              <w:pStyle w:val="BlockText"/>
            </w:pPr>
            <w:r w:rsidRPr="004D2043">
              <w:t xml:space="preserve">A corollary of the rule that all income must be counted for 12 months on Pension awards is the principle that income that bars payment of Pension must be considered for a full 12 months from the first </w:t>
            </w:r>
            <w:r w:rsidR="001569A5" w:rsidRPr="004D2043">
              <w:t xml:space="preserve">day </w:t>
            </w:r>
            <w:r w:rsidRPr="004D2043">
              <w:t>of the month after the effective date.</w:t>
            </w:r>
          </w:p>
          <w:p w:rsidR="00FF096B" w:rsidRPr="004D2043" w:rsidRDefault="00FF096B">
            <w:pPr>
              <w:pStyle w:val="BlockText"/>
            </w:pPr>
          </w:p>
          <w:p w:rsidR="00FF096B" w:rsidRPr="004D2043" w:rsidRDefault="00A21229">
            <w:pPr>
              <w:pStyle w:val="BlockText"/>
            </w:pPr>
            <w:r w:rsidRPr="004D2043">
              <w:rPr>
                <w:b/>
                <w:i/>
              </w:rPr>
              <w:t>Example</w:t>
            </w:r>
            <w:r w:rsidRPr="004D2043">
              <w:rPr>
                <w:b/>
              </w:rPr>
              <w:t>:</w:t>
            </w:r>
            <w:r w:rsidR="00FF096B" w:rsidRPr="004D2043">
              <w:t xml:space="preserve">  </w:t>
            </w:r>
          </w:p>
          <w:p w:rsidR="00FF096B" w:rsidRPr="004D2043" w:rsidRDefault="00FF096B">
            <w:pPr>
              <w:pStyle w:val="BulletText1"/>
            </w:pPr>
            <w:r w:rsidRPr="004D2043">
              <w:t xml:space="preserve">May 10, </w:t>
            </w:r>
            <w:r w:rsidR="00D317DC" w:rsidRPr="004D2043">
              <w:t>2013</w:t>
            </w:r>
            <w:r w:rsidRPr="004D2043">
              <w:t>:  Veteran died.</w:t>
            </w:r>
          </w:p>
          <w:p w:rsidR="00FF096B" w:rsidRPr="004D2043" w:rsidRDefault="00FF096B">
            <w:pPr>
              <w:pStyle w:val="BulletText1"/>
            </w:pPr>
            <w:r w:rsidRPr="004D2043">
              <w:t xml:space="preserve">June 10, </w:t>
            </w:r>
            <w:r w:rsidR="00D317DC" w:rsidRPr="004D2043">
              <w:t>2014</w:t>
            </w:r>
            <w:r w:rsidRPr="004D2043">
              <w:t>:  Surviving spouse files original pension claim.  Pension denied because of monthly wages of $1,</w:t>
            </w:r>
            <w:r w:rsidR="00D317DC" w:rsidRPr="004D2043">
              <w:t>400</w:t>
            </w:r>
            <w:r w:rsidRPr="004D2043">
              <w:t>.</w:t>
            </w:r>
          </w:p>
          <w:p w:rsidR="00FF096B" w:rsidRPr="004D2043" w:rsidRDefault="00FF096B">
            <w:pPr>
              <w:pStyle w:val="BulletText1"/>
            </w:pPr>
            <w:r w:rsidRPr="004D2043">
              <w:t xml:space="preserve">May 1, </w:t>
            </w:r>
            <w:r w:rsidR="00D317DC" w:rsidRPr="004D2043">
              <w:t>2015</w:t>
            </w:r>
            <w:r w:rsidRPr="004D2043">
              <w:t xml:space="preserve">:  Surviving spouse re-applies for pension.  She states she has no income because she lost her job in November </w:t>
            </w:r>
            <w:r w:rsidR="00D317DC" w:rsidRPr="004D2043">
              <w:t>2014</w:t>
            </w:r>
            <w:r w:rsidRPr="004D2043">
              <w:t>.  She received $</w:t>
            </w:r>
            <w:r w:rsidR="00D317DC" w:rsidRPr="004D2043">
              <w:t>9,800</w:t>
            </w:r>
            <w:r w:rsidRPr="004D2043">
              <w:t xml:space="preserve"> between June 10, </w:t>
            </w:r>
            <w:r w:rsidR="00D317DC" w:rsidRPr="004D2043">
              <w:t>2014</w:t>
            </w:r>
            <w:r w:rsidRPr="004D2043">
              <w:t xml:space="preserve">, and November </w:t>
            </w:r>
            <w:r w:rsidR="00D317DC" w:rsidRPr="004D2043">
              <w:t>2014</w:t>
            </w:r>
            <w:r w:rsidRPr="004D2043">
              <w:t>.</w:t>
            </w:r>
          </w:p>
          <w:p w:rsidR="00FF096B" w:rsidRPr="004D2043" w:rsidRDefault="00FF096B">
            <w:pPr>
              <w:pStyle w:val="BlockText"/>
            </w:pPr>
          </w:p>
          <w:p w:rsidR="00FF096B" w:rsidRPr="004D2043" w:rsidRDefault="00FF096B">
            <w:pPr>
              <w:pStyle w:val="BlockText"/>
            </w:pPr>
            <w:r w:rsidRPr="004D2043">
              <w:t>The $</w:t>
            </w:r>
            <w:r w:rsidR="00D317DC" w:rsidRPr="004D2043">
              <w:t>9,800</w:t>
            </w:r>
            <w:r w:rsidR="0073494B" w:rsidRPr="004D2043">
              <w:t xml:space="preserve"> </w:t>
            </w:r>
            <w:r w:rsidRPr="004D2043">
              <w:t xml:space="preserve">short-term recurring income must be counted for a full 12 months from July 1, </w:t>
            </w:r>
            <w:r w:rsidR="00D317DC" w:rsidRPr="004D2043">
              <w:t>2014</w:t>
            </w:r>
            <w:r w:rsidRPr="004D2043">
              <w:t xml:space="preserve">, through June 30, </w:t>
            </w:r>
            <w:r w:rsidR="00D317DC" w:rsidRPr="004D2043">
              <w:t>2015</w:t>
            </w:r>
            <w:r w:rsidRPr="004D2043">
              <w:t xml:space="preserve">.  An award can be made based on IVAP of $0 with a payment date of July 1, </w:t>
            </w:r>
            <w:r w:rsidR="00D317DC" w:rsidRPr="004D2043">
              <w:t>2015</w:t>
            </w:r>
            <w:r w:rsidRPr="004D2043">
              <w:t xml:space="preserve">.  The period July 1, </w:t>
            </w:r>
            <w:r w:rsidR="00D317DC" w:rsidRPr="004D2043">
              <w:t>2015</w:t>
            </w:r>
            <w:r w:rsidRPr="004D2043">
              <w:t xml:space="preserve">, through June 30, </w:t>
            </w:r>
            <w:r w:rsidR="00D317DC" w:rsidRPr="004D2043">
              <w:t>2016</w:t>
            </w:r>
            <w:r w:rsidRPr="004D2043">
              <w:t>, then becomes the surviving spouse’s initial period for the purpose</w:t>
            </w:r>
            <w:r w:rsidR="00FA5837" w:rsidRPr="004D2043">
              <w:t>s of claiming medical expenses.</w:t>
            </w:r>
            <w:r w:rsidR="008631AF" w:rsidRPr="004D2043">
              <w:t xml:space="preserve"> </w:t>
            </w:r>
          </w:p>
          <w:p w:rsidR="00FF096B" w:rsidRPr="004D2043" w:rsidRDefault="00FF096B">
            <w:pPr>
              <w:pStyle w:val="BlockText"/>
            </w:pPr>
          </w:p>
          <w:p w:rsidR="00FF096B" w:rsidRPr="004D2043" w:rsidRDefault="00FF096B" w:rsidP="008631AF">
            <w:pPr>
              <w:pStyle w:val="BlockText"/>
            </w:pPr>
            <w:r w:rsidRPr="004D2043">
              <w:rPr>
                <w:b/>
                <w:bCs/>
                <w:i/>
                <w:iCs/>
              </w:rPr>
              <w:t>Note</w:t>
            </w:r>
            <w:r w:rsidRPr="004D2043">
              <w:t xml:space="preserve">:  In the initial denial letter, inform the surviving spouse that she has until January 1, </w:t>
            </w:r>
            <w:r w:rsidR="00D317DC" w:rsidRPr="004D2043">
              <w:t>2017</w:t>
            </w:r>
            <w:r w:rsidRPr="004D2043">
              <w:t>, to claim unreimbursed medical expenses to establish en</w:t>
            </w:r>
            <w:r w:rsidR="00FA5837" w:rsidRPr="004D2043">
              <w:t xml:space="preserve">titlement from June 10, </w:t>
            </w:r>
            <w:r w:rsidR="00D317DC" w:rsidRPr="004D2043">
              <w:t>2014</w:t>
            </w:r>
            <w:r w:rsidR="00FA5837" w:rsidRPr="004D2043">
              <w:t>.</w:t>
            </w:r>
            <w:r w:rsidR="00DF5242" w:rsidRPr="004D2043">
              <w:t xml:space="preserve"> </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l.  Counting</w:t>
            </w:r>
            <w:proofErr w:type="gramEnd"/>
            <w:r w:rsidRPr="004D2043">
              <w:t xml:space="preserve"> the Second 12 Months of Income for Disallowed Claims</w:t>
            </w:r>
          </w:p>
        </w:tc>
        <w:tc>
          <w:tcPr>
            <w:tcW w:w="7740" w:type="dxa"/>
          </w:tcPr>
          <w:p w:rsidR="00FF096B" w:rsidRPr="004D2043" w:rsidRDefault="00FF096B">
            <w:pPr>
              <w:pStyle w:val="BlockText"/>
            </w:pPr>
            <w:r w:rsidRPr="004D2043">
              <w:t xml:space="preserve">Under </w:t>
            </w:r>
            <w:hyperlink r:id="rId57" w:history="1">
              <w:r w:rsidR="006D50AE" w:rsidRPr="004D2043">
                <w:rPr>
                  <w:rStyle w:val="Hyperlink"/>
                </w:rPr>
                <w:t>38 CFR</w:t>
              </w:r>
              <w:r w:rsidRPr="004D2043">
                <w:rPr>
                  <w:rStyle w:val="Hyperlink"/>
                </w:rPr>
                <w:t xml:space="preserve"> 3.660(b)(2)</w:t>
              </w:r>
            </w:hyperlink>
            <w:r w:rsidRPr="004D2043">
              <w:t>, a claimant has two 12-month periods to submit evidence establishing entitlement to benefits for the second 12-month period after denial of a claim because income exceeds the limit during the initial period.</w:t>
            </w:r>
          </w:p>
          <w:p w:rsidR="00FF096B" w:rsidRPr="004D2043" w:rsidRDefault="00FF096B">
            <w:pPr>
              <w:pStyle w:val="BlockText"/>
            </w:pPr>
          </w:p>
          <w:p w:rsidR="00FF096B" w:rsidRPr="004D2043" w:rsidRDefault="00FF096B">
            <w:pPr>
              <w:pStyle w:val="BlockText"/>
            </w:pPr>
            <w:r w:rsidRPr="004D2043">
              <w:rPr>
                <w:b/>
                <w:bCs/>
                <w:i/>
                <w:iCs/>
              </w:rPr>
              <w:t>Note</w:t>
            </w:r>
            <w:r w:rsidRPr="004D2043">
              <w:t>:  This time limit is actually shorter than the time limit to establish entit</w:t>
            </w:r>
            <w:r w:rsidR="00FA5837" w:rsidRPr="004D2043">
              <w:t>lement for the initial period.</w:t>
            </w:r>
          </w:p>
          <w:p w:rsidR="00FF096B" w:rsidRPr="004D2043" w:rsidRDefault="00FF096B">
            <w:pPr>
              <w:pStyle w:val="BlockText"/>
            </w:pPr>
          </w:p>
          <w:p w:rsidR="00FF096B" w:rsidRPr="004D2043" w:rsidRDefault="00FF096B">
            <w:pPr>
              <w:pStyle w:val="BlockText"/>
            </w:pPr>
            <w:r w:rsidRPr="004D2043">
              <w:t>Therefore, if a claim has been denied because income for the initial period exceeded the MAPR, evaluate income for the second 12-month period to determine if entitlement exists.  If income is below the MAPR for the second 12-month period, pay from the beginning of that period.</w:t>
            </w:r>
          </w:p>
          <w:p w:rsidR="00FF096B" w:rsidRPr="004D2043" w:rsidRDefault="00FF096B">
            <w:pPr>
              <w:pStyle w:val="BlockText"/>
            </w:pPr>
          </w:p>
          <w:p w:rsidR="00FF096B" w:rsidRPr="004D2043" w:rsidRDefault="00FF096B">
            <w:pPr>
              <w:pStyle w:val="BlockText"/>
            </w:pPr>
            <w:r w:rsidRPr="004D2043">
              <w:rPr>
                <w:b/>
                <w:i/>
              </w:rPr>
              <w:t>Example</w:t>
            </w:r>
            <w:r w:rsidRPr="004D2043">
              <w:t xml:space="preserve">:  A 65 year-old Veteran files an original claim on March 14, </w:t>
            </w:r>
            <w:r w:rsidR="008631AF" w:rsidRPr="004D2043">
              <w:t>2013</w:t>
            </w:r>
            <w:r w:rsidRPr="004D2043">
              <w:t>.  The claim is denied because the Veteran receives disability</w:t>
            </w:r>
            <w:r w:rsidR="00FA5837" w:rsidRPr="004D2043">
              <w:t xml:space="preserve"> retirement of $</w:t>
            </w:r>
            <w:r w:rsidR="00900F24" w:rsidRPr="004D2043">
              <w:t xml:space="preserve">1,200 </w:t>
            </w:r>
            <w:r w:rsidR="00FA5837" w:rsidRPr="004D2043">
              <w:t>per month.</w:t>
            </w:r>
          </w:p>
          <w:p w:rsidR="00FF096B" w:rsidRPr="004D2043" w:rsidRDefault="00FF096B">
            <w:pPr>
              <w:pStyle w:val="BlockText"/>
            </w:pPr>
          </w:p>
          <w:p w:rsidR="00FF096B" w:rsidRPr="004D2043" w:rsidRDefault="00FF096B">
            <w:pPr>
              <w:pStyle w:val="BlockText"/>
            </w:pPr>
            <w:r w:rsidRPr="004D2043">
              <w:t xml:space="preserve">On September 29, </w:t>
            </w:r>
            <w:r w:rsidR="00900F24" w:rsidRPr="004D2043">
              <w:t>2014</w:t>
            </w:r>
            <w:r w:rsidRPr="004D2043">
              <w:t xml:space="preserve">, the Veteran reports that the last disability check was received on September 3, </w:t>
            </w:r>
            <w:r w:rsidR="00900F24" w:rsidRPr="004D2043">
              <w:t>2014</w:t>
            </w:r>
            <w:r w:rsidRPr="004D2043">
              <w:t xml:space="preserve">.  The Veteran also reports winning $500 in a lottery on June 16, </w:t>
            </w:r>
            <w:r w:rsidR="00900F24" w:rsidRPr="004D2043">
              <w:t>2014</w:t>
            </w:r>
            <w:r w:rsidRPr="004D2043">
              <w:t>.  The Veteran asks to be paid based on IV</w:t>
            </w:r>
            <w:r w:rsidR="00FA5837" w:rsidRPr="004D2043">
              <w:t xml:space="preserve">AP of $0 from October 1, </w:t>
            </w:r>
            <w:r w:rsidR="00900F24" w:rsidRPr="004D2043">
              <w:t>2014</w:t>
            </w:r>
            <w:r w:rsidR="00FA5837" w:rsidRPr="004D2043">
              <w:t>.</w:t>
            </w:r>
          </w:p>
          <w:p w:rsidR="00FF096B" w:rsidRPr="004D2043" w:rsidRDefault="00FF096B">
            <w:pPr>
              <w:pStyle w:val="BlockText"/>
            </w:pPr>
          </w:p>
          <w:p w:rsidR="00FF096B" w:rsidRPr="004D2043" w:rsidRDefault="00FF096B">
            <w:pPr>
              <w:pStyle w:val="BlockText"/>
            </w:pPr>
            <w:r w:rsidRPr="004D2043">
              <w:t xml:space="preserve">In this case, income was excessive for the initial period of March 14, </w:t>
            </w:r>
            <w:r w:rsidR="00900F24" w:rsidRPr="004D2043">
              <w:t>2013</w:t>
            </w:r>
            <w:r w:rsidRPr="004D2043">
              <w:t xml:space="preserve">, through March 31, </w:t>
            </w:r>
            <w:r w:rsidR="00900F24" w:rsidRPr="004D2043">
              <w:t>2014</w:t>
            </w:r>
            <w:r w:rsidRPr="004D2043">
              <w:t xml:space="preserve">.  Therefore, the Veteran’s entitlement for the second 12-month period must be based on income </w:t>
            </w:r>
            <w:r w:rsidRPr="004D2043">
              <w:br w:type="page"/>
              <w:t xml:space="preserve">received from April 1, </w:t>
            </w:r>
            <w:r w:rsidR="00900F24" w:rsidRPr="004D2043">
              <w:t>2014</w:t>
            </w:r>
            <w:r w:rsidRPr="004D2043">
              <w:t xml:space="preserve">, through March </w:t>
            </w:r>
            <w:r w:rsidR="003D4F55" w:rsidRPr="004D2043">
              <w:t>31</w:t>
            </w:r>
            <w:r w:rsidRPr="004D2043">
              <w:t xml:space="preserve">, </w:t>
            </w:r>
            <w:r w:rsidR="00900F24" w:rsidRPr="004D2043">
              <w:t>2015</w:t>
            </w:r>
            <w:r w:rsidRPr="004D2043">
              <w:t>.  During this period, the Veteran received disability retirement of $</w:t>
            </w:r>
            <w:r w:rsidR="00900F24" w:rsidRPr="004D2043">
              <w:t>7,200</w:t>
            </w:r>
            <w:r w:rsidRPr="004D2043">
              <w:t xml:space="preserve"> and lottery winnings of $500.</w:t>
            </w:r>
          </w:p>
          <w:p w:rsidR="00FF096B" w:rsidRPr="004D2043" w:rsidRDefault="00FF096B">
            <w:pPr>
              <w:pStyle w:val="BlockText"/>
            </w:pPr>
          </w:p>
          <w:p w:rsidR="00FF096B" w:rsidRPr="004D2043" w:rsidRDefault="00FF096B">
            <w:pPr>
              <w:pStyle w:val="BlockText"/>
            </w:pPr>
            <w:r w:rsidRPr="004D2043">
              <w:rPr>
                <w:b/>
                <w:bCs/>
                <w:i/>
                <w:iCs/>
              </w:rPr>
              <w:t>Result</w:t>
            </w:r>
            <w:r w:rsidRPr="004D2043">
              <w:t>:  The table below shows the effective dates and re</w:t>
            </w:r>
            <w:r w:rsidR="00FA5837" w:rsidRPr="004D2043">
              <w:t>asons for the changes in IVAP.</w:t>
            </w:r>
          </w:p>
        </w:tc>
      </w:tr>
    </w:tbl>
    <w:p w:rsidR="00FF096B" w:rsidRPr="004D2043" w:rsidRDefault="00FF096B"/>
    <w:tbl>
      <w:tblPr>
        <w:tblW w:w="0" w:type="auto"/>
        <w:tblInd w:w="1829" w:type="dxa"/>
        <w:tblLayout w:type="fixed"/>
        <w:tblLook w:val="0000" w:firstRow="0" w:lastRow="0" w:firstColumn="0" w:lastColumn="0" w:noHBand="0" w:noVBand="0"/>
      </w:tblPr>
      <w:tblGrid>
        <w:gridCol w:w="1339"/>
        <w:gridCol w:w="1080"/>
        <w:gridCol w:w="5129"/>
      </w:tblGrid>
      <w:tr w:rsidR="00FF096B" w:rsidRPr="004D2043">
        <w:trPr>
          <w:cantSplit/>
          <w:trHeight w:val="290"/>
        </w:trPr>
        <w:tc>
          <w:tcPr>
            <w:tcW w:w="133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Date</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512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w:t>
            </w:r>
          </w:p>
        </w:tc>
      </w:tr>
      <w:tr w:rsidR="00FF096B" w:rsidRPr="004D2043">
        <w:trPr>
          <w:cantSplit/>
          <w:trHeight w:val="290"/>
        </w:trPr>
        <w:tc>
          <w:tcPr>
            <w:tcW w:w="133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04-01-</w:t>
            </w:r>
            <w:r w:rsidR="00900F24" w:rsidRPr="004D2043">
              <w:t>2014</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900F24">
            <w:pPr>
              <w:pStyle w:val="TableText"/>
            </w:pPr>
            <w:r w:rsidRPr="004D2043">
              <w:t>7200</w:t>
            </w:r>
          </w:p>
        </w:tc>
        <w:tc>
          <w:tcPr>
            <w:tcW w:w="5129" w:type="dxa"/>
            <w:tcBorders>
              <w:top w:val="single" w:sz="6" w:space="0" w:color="auto"/>
              <w:left w:val="single" w:sz="6" w:space="0" w:color="auto"/>
              <w:bottom w:val="single" w:sz="6" w:space="0" w:color="auto"/>
              <w:right w:val="single" w:sz="6" w:space="0" w:color="auto"/>
            </w:tcBorders>
          </w:tcPr>
          <w:p w:rsidR="00FF096B" w:rsidRPr="004D2043" w:rsidRDefault="00FF096B" w:rsidP="0073494B">
            <w:pPr>
              <w:pStyle w:val="TableText"/>
            </w:pPr>
            <w:r w:rsidRPr="004D2043">
              <w:t xml:space="preserve">Entitlement from beginning of second 12-month period.  </w:t>
            </w:r>
            <w:r w:rsidR="0073494B" w:rsidRPr="004D2043">
              <w:t>Nonrecurring</w:t>
            </w:r>
            <w:r w:rsidRPr="004D2043">
              <w:t xml:space="preserve"> income of $</w:t>
            </w:r>
            <w:r w:rsidR="00900F24" w:rsidRPr="004D2043">
              <w:t>1,200</w:t>
            </w:r>
            <w:r w:rsidRPr="004D2043">
              <w:t>/month retirement income times 6 months.</w:t>
            </w:r>
          </w:p>
        </w:tc>
      </w:tr>
      <w:tr w:rsidR="00FF096B" w:rsidRPr="004D2043">
        <w:trPr>
          <w:cantSplit/>
          <w:trHeight w:val="290"/>
        </w:trPr>
        <w:tc>
          <w:tcPr>
            <w:tcW w:w="133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07-01-</w:t>
            </w:r>
            <w:r w:rsidR="00900F24" w:rsidRPr="004D2043">
              <w:t>2014</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900F24">
            <w:pPr>
              <w:pStyle w:val="TableText"/>
            </w:pPr>
            <w:r w:rsidRPr="004D2043">
              <w:t>7700</w:t>
            </w:r>
          </w:p>
        </w:tc>
        <w:tc>
          <w:tcPr>
            <w:tcW w:w="512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 xml:space="preserve">Add $500 lottery winnings received June </w:t>
            </w:r>
            <w:r w:rsidR="00900F24" w:rsidRPr="004D2043">
              <w:t>2014</w:t>
            </w:r>
            <w:r w:rsidRPr="004D2043">
              <w:t>.</w:t>
            </w:r>
          </w:p>
        </w:tc>
      </w:tr>
      <w:tr w:rsidR="00FF096B" w:rsidRPr="004D2043">
        <w:trPr>
          <w:cantSplit/>
          <w:trHeight w:val="290"/>
        </w:trPr>
        <w:tc>
          <w:tcPr>
            <w:tcW w:w="133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04-01-</w:t>
            </w:r>
            <w:r w:rsidR="00900F24" w:rsidRPr="004D2043">
              <w:t>201</w:t>
            </w:r>
            <w:r w:rsidR="0050207B" w:rsidRPr="004D2043">
              <w:t>5</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500</w:t>
            </w:r>
          </w:p>
        </w:tc>
        <w:tc>
          <w:tcPr>
            <w:tcW w:w="5129" w:type="dxa"/>
            <w:tcBorders>
              <w:top w:val="single" w:sz="6" w:space="0" w:color="auto"/>
              <w:left w:val="single" w:sz="6" w:space="0" w:color="auto"/>
              <w:bottom w:val="single" w:sz="6" w:space="0" w:color="auto"/>
              <w:right w:val="single" w:sz="6" w:space="0" w:color="auto"/>
            </w:tcBorders>
          </w:tcPr>
          <w:p w:rsidR="00FF096B" w:rsidRPr="004D2043" w:rsidRDefault="00FF096B" w:rsidP="0073494B">
            <w:pPr>
              <w:pStyle w:val="TableText"/>
            </w:pPr>
            <w:r w:rsidRPr="004D2043">
              <w:t>Remove $</w:t>
            </w:r>
            <w:r w:rsidR="00900F24" w:rsidRPr="004D2043">
              <w:t>7,200</w:t>
            </w:r>
            <w:r w:rsidRPr="004D2043">
              <w:t xml:space="preserve"> </w:t>
            </w:r>
            <w:r w:rsidR="0073494B" w:rsidRPr="004D2043">
              <w:t>nonrecurring</w:t>
            </w:r>
            <w:r w:rsidRPr="004D2043">
              <w:t xml:space="preserve"> income.</w:t>
            </w:r>
          </w:p>
        </w:tc>
      </w:tr>
      <w:tr w:rsidR="00FF096B" w:rsidRPr="004D2043">
        <w:trPr>
          <w:cantSplit/>
          <w:trHeight w:val="290"/>
        </w:trPr>
        <w:tc>
          <w:tcPr>
            <w:tcW w:w="133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07-01-</w:t>
            </w:r>
            <w:r w:rsidR="00900F24" w:rsidRPr="004D2043">
              <w:t>201</w:t>
            </w:r>
            <w:r w:rsidR="0050207B" w:rsidRPr="004D2043">
              <w:t>5</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0</w:t>
            </w:r>
          </w:p>
        </w:tc>
        <w:tc>
          <w:tcPr>
            <w:tcW w:w="512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Remove $500 lottery winnings.</w:t>
            </w:r>
          </w:p>
        </w:tc>
      </w:tr>
    </w:tbl>
    <w:p w:rsidR="00FF096B" w:rsidRPr="004D2043" w:rsidRDefault="00FF096B"/>
    <w:tbl>
      <w:tblPr>
        <w:tblW w:w="0" w:type="auto"/>
        <w:tblInd w:w="1728" w:type="dxa"/>
        <w:tblLayout w:type="fixed"/>
        <w:tblLook w:val="0000" w:firstRow="0" w:lastRow="0" w:firstColumn="0" w:lastColumn="0" w:noHBand="0" w:noVBand="0"/>
      </w:tblPr>
      <w:tblGrid>
        <w:gridCol w:w="7740"/>
      </w:tblGrid>
      <w:tr w:rsidR="00FF096B" w:rsidRPr="004D2043">
        <w:trPr>
          <w:cantSplit/>
        </w:trPr>
        <w:tc>
          <w:tcPr>
            <w:tcW w:w="7740" w:type="dxa"/>
          </w:tcPr>
          <w:p w:rsidR="00FF096B" w:rsidRPr="004D2043" w:rsidRDefault="00FF096B">
            <w:pPr>
              <w:pStyle w:val="NoteText"/>
            </w:pPr>
            <w:r w:rsidRPr="004D2043">
              <w:rPr>
                <w:b/>
                <w:bCs/>
                <w:i/>
                <w:iCs/>
              </w:rPr>
              <w:t>Reference</w:t>
            </w:r>
            <w:r w:rsidRPr="004D2043">
              <w:t xml:space="preserve">:  For more information on the time limit to establish entitlement under </w:t>
            </w:r>
            <w:hyperlink r:id="rId58" w:history="1">
              <w:r w:rsidR="006D50AE" w:rsidRPr="004D2043">
                <w:rPr>
                  <w:rStyle w:val="Hyperlink"/>
                </w:rPr>
                <w:t>38 CFR</w:t>
              </w:r>
              <w:r w:rsidRPr="004D2043">
                <w:rPr>
                  <w:rStyle w:val="Hyperlink"/>
                </w:rPr>
                <w:t xml:space="preserve"> 3.600(b</w:t>
              </w:r>
              <w:proofErr w:type="gramStart"/>
              <w:r w:rsidRPr="004D2043">
                <w:rPr>
                  <w:rStyle w:val="Hyperlink"/>
                </w:rPr>
                <w:t>)(</w:t>
              </w:r>
              <w:proofErr w:type="gramEnd"/>
              <w:r w:rsidRPr="004D2043">
                <w:rPr>
                  <w:rStyle w:val="Hyperlink"/>
                </w:rPr>
                <w:t>2)</w:t>
              </w:r>
            </w:hyperlink>
            <w:r w:rsidRPr="004D2043">
              <w:t xml:space="preserve">, see </w:t>
            </w:r>
            <w:hyperlink r:id="rId59" w:history="1">
              <w:r w:rsidRPr="004D2043">
                <w:rPr>
                  <w:rStyle w:val="Hyperlink"/>
                </w:rPr>
                <w:t>M21-1, Part V, Subpart iii, 1.A.5</w:t>
              </w:r>
            </w:hyperlink>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lastRenderedPageBreak/>
              <w:t>m.  Example</w:t>
            </w:r>
            <w:proofErr w:type="gramEnd"/>
            <w:r w:rsidRPr="004D2043">
              <w:t xml:space="preserve"> 1:  Counting Income During the Initial Period</w:t>
            </w:r>
          </w:p>
        </w:tc>
        <w:tc>
          <w:tcPr>
            <w:tcW w:w="7740" w:type="dxa"/>
          </w:tcPr>
          <w:p w:rsidR="00FF096B" w:rsidRPr="004D2043" w:rsidRDefault="00A21229">
            <w:pPr>
              <w:pStyle w:val="BlockText"/>
            </w:pPr>
            <w:r w:rsidRPr="004D2043">
              <w:rPr>
                <w:b/>
                <w:i/>
              </w:rPr>
              <w:t>Example</w:t>
            </w:r>
            <w:r w:rsidR="00FF096B" w:rsidRPr="004D2043">
              <w:t xml:space="preserve">:  </w:t>
            </w:r>
            <w:r w:rsidR="003D4F55" w:rsidRPr="004D2043">
              <w:t>A</w:t>
            </w:r>
            <w:r w:rsidR="00FF096B" w:rsidRPr="004D2043">
              <w:t xml:space="preserve"> Veteran’s date of entitlement to pension is March 14, </w:t>
            </w:r>
            <w:r w:rsidR="00900F24" w:rsidRPr="004D2043">
              <w:t>2015</w:t>
            </w:r>
            <w:r w:rsidR="00FF096B" w:rsidRPr="004D2043">
              <w:t xml:space="preserve">.  Before the award is authorized, the Veteran reports receipt of SS on February 13, </w:t>
            </w:r>
            <w:r w:rsidR="00900F24" w:rsidRPr="004D2043">
              <w:t>2015</w:t>
            </w:r>
            <w:r w:rsidR="00FF096B" w:rsidRPr="004D2043">
              <w:t>.  The Veteran is entitled to SS from December 2004.  The first check includes a monthly payment of $200 and retroactive payment of $</w:t>
            </w:r>
            <w:r w:rsidR="0004562A" w:rsidRPr="004D2043">
              <w:t>400.</w:t>
            </w:r>
          </w:p>
          <w:p w:rsidR="00FF096B" w:rsidRPr="004D2043" w:rsidRDefault="00FF096B">
            <w:pPr>
              <w:pStyle w:val="BlockText"/>
            </w:pPr>
          </w:p>
          <w:p w:rsidR="00FF096B" w:rsidRPr="004D2043" w:rsidRDefault="00FF096B" w:rsidP="00900F24">
            <w:pPr>
              <w:pStyle w:val="BlockText"/>
            </w:pPr>
            <w:r w:rsidRPr="004D2043">
              <w:t xml:space="preserve">Count the $200 monthly SS payment (recurring income) on an open-ended basis from the effective date of the award.  Disregard the $400 retroactive payment (nonrecurring income) because it was received before date of entitlement to VA pension, March 14, </w:t>
            </w:r>
            <w:r w:rsidR="00900F24" w:rsidRPr="004D2043">
              <w:t>2015</w:t>
            </w:r>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n.  Example</w:t>
            </w:r>
            <w:proofErr w:type="gramEnd"/>
            <w:r w:rsidRPr="004D2043">
              <w:t xml:space="preserve"> 2: Counting Income During the Initial Period</w:t>
            </w:r>
          </w:p>
        </w:tc>
        <w:tc>
          <w:tcPr>
            <w:tcW w:w="7740" w:type="dxa"/>
          </w:tcPr>
          <w:p w:rsidR="00FF096B" w:rsidRPr="004D2043" w:rsidRDefault="00A21229">
            <w:pPr>
              <w:pStyle w:val="BlockText"/>
            </w:pPr>
            <w:r w:rsidRPr="004D2043">
              <w:rPr>
                <w:b/>
                <w:i/>
              </w:rPr>
              <w:t>Example</w:t>
            </w:r>
            <w:r w:rsidRPr="004D2043">
              <w:rPr>
                <w:b/>
              </w:rPr>
              <w:t>:</w:t>
            </w:r>
            <w:r w:rsidR="00FF096B" w:rsidRPr="004D2043">
              <w:t xml:space="preserve">  A surviving spouse is entitled to pension from March 14, </w:t>
            </w:r>
            <w:r w:rsidR="00900F24" w:rsidRPr="004D2043">
              <w:t>2014</w:t>
            </w:r>
            <w:r w:rsidR="00FF096B" w:rsidRPr="004D2043">
              <w:t xml:space="preserve">.  Before the award is authorized, the surviving spouse reports receipt of SS on July 19, </w:t>
            </w:r>
            <w:r w:rsidR="00900F24" w:rsidRPr="004D2043">
              <w:t>2014</w:t>
            </w:r>
            <w:r w:rsidR="00FF096B" w:rsidRPr="004D2043">
              <w:t xml:space="preserve">.  The surviving spouse is entitled to SS from February </w:t>
            </w:r>
            <w:r w:rsidR="00900F24" w:rsidRPr="004D2043">
              <w:t>2014</w:t>
            </w:r>
            <w:r w:rsidR="00FF096B" w:rsidRPr="004D2043">
              <w:t>.  The surviving spouse receives a monthly SS check of $200 and a retroactive pa</w:t>
            </w:r>
            <w:r w:rsidR="00E05FDE" w:rsidRPr="004D2043">
              <w:t>yment in the amount of $1,200.</w:t>
            </w:r>
          </w:p>
          <w:p w:rsidR="00FF096B" w:rsidRPr="004D2043" w:rsidRDefault="00FF096B">
            <w:pPr>
              <w:pStyle w:val="BlockText"/>
            </w:pPr>
          </w:p>
          <w:p w:rsidR="00FF096B" w:rsidRPr="004D2043" w:rsidRDefault="00FF096B">
            <w:pPr>
              <w:pStyle w:val="BlockText"/>
            </w:pPr>
            <w:r w:rsidRPr="004D2043">
              <w:t>The table below shows the effective dates and reason</w:t>
            </w:r>
            <w:r w:rsidR="00E05FDE" w:rsidRPr="004D2043">
              <w:t>s for the changes in IVAP.</w:t>
            </w:r>
          </w:p>
        </w:tc>
      </w:tr>
    </w:tbl>
    <w:p w:rsidR="00FF096B" w:rsidRPr="004D2043" w:rsidRDefault="00FF096B"/>
    <w:tbl>
      <w:tblPr>
        <w:tblW w:w="0" w:type="auto"/>
        <w:tblInd w:w="1829" w:type="dxa"/>
        <w:tblLayout w:type="fixed"/>
        <w:tblLook w:val="0000" w:firstRow="0" w:lastRow="0" w:firstColumn="0" w:lastColumn="0" w:noHBand="0" w:noVBand="0"/>
      </w:tblPr>
      <w:tblGrid>
        <w:gridCol w:w="1429"/>
        <w:gridCol w:w="1080"/>
        <w:gridCol w:w="5039"/>
      </w:tblGrid>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Date</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IVAP</w:t>
            </w:r>
          </w:p>
        </w:tc>
        <w:tc>
          <w:tcPr>
            <w:tcW w:w="503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HeaderText"/>
            </w:pPr>
            <w:r w:rsidRPr="004D2043">
              <w:t>Reason</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04-01-</w:t>
            </w:r>
            <w:r w:rsidR="00900F24" w:rsidRPr="004D2043">
              <w:t>2014</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0</w:t>
            </w:r>
          </w:p>
        </w:tc>
        <w:tc>
          <w:tcPr>
            <w:tcW w:w="5039" w:type="dxa"/>
            <w:tcBorders>
              <w:top w:val="single" w:sz="6" w:space="0" w:color="auto"/>
              <w:left w:val="single" w:sz="6" w:space="0" w:color="auto"/>
              <w:bottom w:val="single" w:sz="6" w:space="0" w:color="auto"/>
              <w:right w:val="single" w:sz="6" w:space="0" w:color="auto"/>
            </w:tcBorders>
          </w:tcPr>
          <w:p w:rsidR="00FF096B" w:rsidRPr="004D2043" w:rsidRDefault="00FF096B" w:rsidP="003D4F55">
            <w:pPr>
              <w:pStyle w:val="TableText"/>
            </w:pPr>
            <w:r w:rsidRPr="004D2043">
              <w:t xml:space="preserve">Entitlement effective </w:t>
            </w:r>
            <w:r w:rsidR="003D4F55" w:rsidRPr="004D2043">
              <w:t>March 14, 2014</w:t>
            </w:r>
            <w:r w:rsidRPr="004D2043">
              <w:t>.</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08-01-</w:t>
            </w:r>
            <w:r w:rsidR="00900F24" w:rsidRPr="004D2043">
              <w:t>2014</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3600</w:t>
            </w:r>
          </w:p>
        </w:tc>
        <w:tc>
          <w:tcPr>
            <w:tcW w:w="503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$200 monthly recurring income plus retroactive SS payment of $1,200.</w:t>
            </w:r>
          </w:p>
        </w:tc>
      </w:tr>
      <w:tr w:rsidR="00FF096B" w:rsidRPr="004D2043">
        <w:trPr>
          <w:cantSplit/>
          <w:trHeight w:val="290"/>
        </w:trPr>
        <w:tc>
          <w:tcPr>
            <w:tcW w:w="1429" w:type="dxa"/>
            <w:tcBorders>
              <w:top w:val="single" w:sz="6" w:space="0" w:color="auto"/>
              <w:left w:val="single" w:sz="6" w:space="0" w:color="auto"/>
              <w:bottom w:val="single" w:sz="6" w:space="0" w:color="auto"/>
              <w:right w:val="single" w:sz="6" w:space="0" w:color="auto"/>
            </w:tcBorders>
          </w:tcPr>
          <w:p w:rsidR="00FF096B" w:rsidRPr="004D2043" w:rsidRDefault="00FF096B" w:rsidP="00900F24">
            <w:pPr>
              <w:pStyle w:val="TableText"/>
            </w:pPr>
            <w:r w:rsidRPr="004D2043">
              <w:t>08-01-</w:t>
            </w:r>
            <w:r w:rsidR="00900F24" w:rsidRPr="004D2043">
              <w:t>2015</w:t>
            </w:r>
          </w:p>
        </w:tc>
        <w:tc>
          <w:tcPr>
            <w:tcW w:w="1080"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2400</w:t>
            </w:r>
          </w:p>
        </w:tc>
        <w:tc>
          <w:tcPr>
            <w:tcW w:w="5039" w:type="dxa"/>
            <w:tcBorders>
              <w:top w:val="single" w:sz="6" w:space="0" w:color="auto"/>
              <w:left w:val="single" w:sz="6" w:space="0" w:color="auto"/>
              <w:bottom w:val="single" w:sz="6" w:space="0" w:color="auto"/>
              <w:right w:val="single" w:sz="6" w:space="0" w:color="auto"/>
            </w:tcBorders>
          </w:tcPr>
          <w:p w:rsidR="00FF096B" w:rsidRPr="004D2043" w:rsidRDefault="00FF096B">
            <w:pPr>
              <w:pStyle w:val="TableText"/>
            </w:pPr>
            <w:r w:rsidRPr="004D2043">
              <w:t>Remove nonrecurring income.</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4D2043">
        <w:trPr>
          <w:cantSplit/>
        </w:trPr>
        <w:tc>
          <w:tcPr>
            <w:tcW w:w="1728" w:type="dxa"/>
          </w:tcPr>
          <w:p w:rsidR="00FF096B" w:rsidRPr="004D2043" w:rsidRDefault="00FF096B">
            <w:pPr>
              <w:pStyle w:val="Heading5"/>
            </w:pPr>
            <w:proofErr w:type="gramStart"/>
            <w:r w:rsidRPr="004D2043">
              <w:t>o.  Example</w:t>
            </w:r>
            <w:proofErr w:type="gramEnd"/>
            <w:r w:rsidRPr="004D2043">
              <w:t xml:space="preserve"> 3: Counting Income During the Initial Period</w:t>
            </w:r>
          </w:p>
        </w:tc>
        <w:tc>
          <w:tcPr>
            <w:tcW w:w="7740" w:type="dxa"/>
          </w:tcPr>
          <w:p w:rsidR="00FF096B" w:rsidRPr="004D2043" w:rsidRDefault="00A21229">
            <w:pPr>
              <w:pStyle w:val="BlockText"/>
            </w:pPr>
            <w:r w:rsidRPr="004D2043">
              <w:rPr>
                <w:b/>
                <w:i/>
              </w:rPr>
              <w:t>Example</w:t>
            </w:r>
            <w:r w:rsidR="00FF096B" w:rsidRPr="004D2043">
              <w:t xml:space="preserve">:  </w:t>
            </w:r>
            <w:r w:rsidR="003D4F55" w:rsidRPr="004D2043">
              <w:t>A</w:t>
            </w:r>
            <w:r w:rsidR="00FF096B" w:rsidRPr="004D2043">
              <w:t xml:space="preserve"> Veteran is entitled to pension from March 14, </w:t>
            </w:r>
            <w:r w:rsidR="00900F24" w:rsidRPr="004D2043">
              <w:t>2014</w:t>
            </w:r>
            <w:r w:rsidR="00FF096B" w:rsidRPr="004D2043">
              <w:t xml:space="preserve">.  After the award is running, the Veteran reports anticipated receipt of SS in the amount of $200 per month starting August 7, </w:t>
            </w:r>
            <w:r w:rsidR="00900F24" w:rsidRPr="004D2043">
              <w:t>2014</w:t>
            </w:r>
            <w:r w:rsidR="00FF096B" w:rsidRPr="004D2043">
              <w:t xml:space="preserve">.  </w:t>
            </w:r>
          </w:p>
          <w:p w:rsidR="00FF096B" w:rsidRPr="004D2043" w:rsidRDefault="00FF096B">
            <w:pPr>
              <w:pStyle w:val="BlockText"/>
            </w:pPr>
          </w:p>
          <w:p w:rsidR="00FF096B" w:rsidRPr="004D2043" w:rsidRDefault="00FF096B" w:rsidP="00900F24">
            <w:pPr>
              <w:pStyle w:val="BlockText"/>
            </w:pPr>
            <w:r w:rsidRPr="004D2043">
              <w:t xml:space="preserve">Count $200 monthly SS ($2,400) from September 1, </w:t>
            </w:r>
            <w:r w:rsidR="00900F24" w:rsidRPr="004D2043">
              <w:t>2014</w:t>
            </w:r>
            <w:r w:rsidRPr="004D2043">
              <w:t>.</w:t>
            </w:r>
          </w:p>
        </w:tc>
      </w:tr>
    </w:tbl>
    <w:p w:rsidR="00FF096B" w:rsidRPr="004D2043" w:rsidRDefault="00FF096B">
      <w:pPr>
        <w:pStyle w:val="BlockLine"/>
      </w:pPr>
    </w:p>
    <w:tbl>
      <w:tblPr>
        <w:tblW w:w="0" w:type="auto"/>
        <w:tblLayout w:type="fixed"/>
        <w:tblLook w:val="0000" w:firstRow="0" w:lastRow="0" w:firstColumn="0" w:lastColumn="0" w:noHBand="0" w:noVBand="0"/>
      </w:tblPr>
      <w:tblGrid>
        <w:gridCol w:w="1728"/>
        <w:gridCol w:w="7740"/>
      </w:tblGrid>
      <w:tr w:rsidR="00FF096B" w:rsidRPr="00AF03C9">
        <w:trPr>
          <w:cantSplit/>
        </w:trPr>
        <w:tc>
          <w:tcPr>
            <w:tcW w:w="1728" w:type="dxa"/>
          </w:tcPr>
          <w:p w:rsidR="00FF096B" w:rsidRPr="004D2043" w:rsidRDefault="00FF096B">
            <w:pPr>
              <w:pStyle w:val="Heading5"/>
            </w:pPr>
            <w:proofErr w:type="gramStart"/>
            <w:r w:rsidRPr="004D2043">
              <w:t>p.  Example</w:t>
            </w:r>
            <w:proofErr w:type="gramEnd"/>
            <w:r w:rsidRPr="004D2043">
              <w:t xml:space="preserve"> 4: Counting Income During the Initial Period</w:t>
            </w:r>
          </w:p>
        </w:tc>
        <w:tc>
          <w:tcPr>
            <w:tcW w:w="7740" w:type="dxa"/>
          </w:tcPr>
          <w:p w:rsidR="00FF096B" w:rsidRPr="004D2043" w:rsidRDefault="00A21229">
            <w:pPr>
              <w:pStyle w:val="BlockText"/>
            </w:pPr>
            <w:r w:rsidRPr="004D2043">
              <w:rPr>
                <w:b/>
                <w:i/>
              </w:rPr>
              <w:t>Example</w:t>
            </w:r>
            <w:r w:rsidR="00FF096B" w:rsidRPr="004D2043">
              <w:t xml:space="preserve">:  The Veteran died on July 19, </w:t>
            </w:r>
            <w:r w:rsidR="00900F24" w:rsidRPr="004D2043">
              <w:t>2014</w:t>
            </w:r>
            <w:r w:rsidR="00FF096B" w:rsidRPr="004D2043">
              <w:t xml:space="preserve">.  The surviving spouse files a pension claim on August 2, </w:t>
            </w:r>
            <w:r w:rsidR="00900F24" w:rsidRPr="004D2043">
              <w:t>2014</w:t>
            </w:r>
            <w:r w:rsidR="00FF096B" w:rsidRPr="004D2043">
              <w:t xml:space="preserve">.  The surviving spouse reports the following one-time income: </w:t>
            </w:r>
          </w:p>
          <w:p w:rsidR="00FF096B" w:rsidRPr="004D2043" w:rsidRDefault="00FF096B">
            <w:pPr>
              <w:pStyle w:val="BulletText1"/>
            </w:pPr>
            <w:r w:rsidRPr="004D2043">
              <w:t xml:space="preserve">$500 received on June 30, </w:t>
            </w:r>
            <w:r w:rsidR="00900F24" w:rsidRPr="004D2043">
              <w:t>2014</w:t>
            </w:r>
          </w:p>
          <w:p w:rsidR="00FF096B" w:rsidRPr="004D2043" w:rsidRDefault="00FF096B">
            <w:pPr>
              <w:pStyle w:val="BulletText1"/>
            </w:pPr>
            <w:r w:rsidRPr="004D2043">
              <w:t xml:space="preserve">$500 received on July 17, </w:t>
            </w:r>
            <w:r w:rsidR="00900F24" w:rsidRPr="004D2043">
              <w:t>2014</w:t>
            </w:r>
            <w:r w:rsidR="003D4F55" w:rsidRPr="004D2043">
              <w:t>, and</w:t>
            </w:r>
          </w:p>
          <w:p w:rsidR="00FF096B" w:rsidRPr="004D2043" w:rsidRDefault="00FF096B">
            <w:pPr>
              <w:pStyle w:val="BulletText1"/>
            </w:pPr>
            <w:r w:rsidRPr="004D2043">
              <w:t>$</w:t>
            </w:r>
            <w:r w:rsidR="00E05FDE" w:rsidRPr="004D2043">
              <w:t xml:space="preserve">500 received on July 29, </w:t>
            </w:r>
            <w:r w:rsidR="00900F24" w:rsidRPr="004D2043">
              <w:t>2014</w:t>
            </w:r>
            <w:r w:rsidR="00E05FDE" w:rsidRPr="004D2043">
              <w:t>.</w:t>
            </w:r>
          </w:p>
          <w:p w:rsidR="00FF096B" w:rsidRPr="004D2043" w:rsidRDefault="00FF096B">
            <w:pPr>
              <w:pStyle w:val="BlockText"/>
            </w:pPr>
          </w:p>
          <w:p w:rsidR="00900F24" w:rsidRPr="00AF03C9" w:rsidRDefault="00FF096B" w:rsidP="00AF1BE0">
            <w:pPr>
              <w:pStyle w:val="BlockText"/>
            </w:pPr>
            <w:r w:rsidRPr="004D2043">
              <w:t xml:space="preserve">Disregard the $500 received on June 30, </w:t>
            </w:r>
            <w:r w:rsidR="00AF1BE0" w:rsidRPr="004D2043">
              <w:t>2014</w:t>
            </w:r>
            <w:r w:rsidRPr="004D2043">
              <w:t xml:space="preserve"> since it was received before the effective date (July 1, </w:t>
            </w:r>
            <w:r w:rsidR="00AF1BE0" w:rsidRPr="004D2043">
              <w:t>2014</w:t>
            </w:r>
            <w:r w:rsidRPr="004D2043">
              <w:t xml:space="preserve">).  Disregard the $500 received on July 17, </w:t>
            </w:r>
            <w:r w:rsidR="00AF1BE0" w:rsidRPr="004D2043">
              <w:t>2014</w:t>
            </w:r>
            <w:r w:rsidRPr="004D2043">
              <w:t xml:space="preserve">, because it was received before the Veteran’s death (although after the effective date).  Pay based on IVAP of $500 from August 1, </w:t>
            </w:r>
            <w:r w:rsidR="00AF1BE0" w:rsidRPr="004D2043">
              <w:t>2014</w:t>
            </w:r>
            <w:r w:rsidRPr="004D2043">
              <w:t xml:space="preserve">.  Reduce IVAP to $0 effective August 1, </w:t>
            </w:r>
            <w:r w:rsidR="00AF1BE0" w:rsidRPr="004D2043">
              <w:t>2015</w:t>
            </w:r>
            <w:r w:rsidRPr="004D2043">
              <w:t>.</w:t>
            </w:r>
          </w:p>
        </w:tc>
      </w:tr>
    </w:tbl>
    <w:p w:rsidR="00FF096B" w:rsidRDefault="00FF096B" w:rsidP="004D2043">
      <w:pPr>
        <w:pStyle w:val="Heading4"/>
      </w:pPr>
    </w:p>
    <w:sectPr w:rsidR="00FF096B">
      <w:headerReference w:type="even" r:id="rId60"/>
      <w:headerReference w:type="default" r:id="rId61"/>
      <w:footerReference w:type="even" r:id="rId62"/>
      <w:footerReference w:type="default" r:id="rId63"/>
      <w:endnotePr>
        <w:numFmt w:val="decimal"/>
      </w:endnotePr>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36" w:rsidRDefault="005B3536">
      <w:r>
        <w:separator/>
      </w:r>
    </w:p>
  </w:endnote>
  <w:endnote w:type="continuationSeparator" w:id="0">
    <w:p w:rsidR="005B3536" w:rsidRDefault="005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6" w:rsidRDefault="005B3536" w:rsidP="004D2043">
    <w:pPr>
      <w:pStyle w:val="Footer"/>
      <w:tabs>
        <w:tab w:val="right" w:pos="9274"/>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6" w:rsidRDefault="005B3536" w:rsidP="004D2043">
    <w:pPr>
      <w:pStyle w:val="Footer"/>
      <w:tabs>
        <w:tab w:val="right" w:pos="9274"/>
      </w:tabs>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36" w:rsidRDefault="005B3536">
      <w:r>
        <w:separator/>
      </w:r>
    </w:p>
  </w:footnote>
  <w:footnote w:type="continuationSeparator" w:id="0">
    <w:p w:rsidR="005B3536" w:rsidRDefault="005B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6" w:rsidRDefault="005B3536">
    <w:pPr>
      <w:pStyle w:val="Header"/>
      <w:tabs>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6" w:rsidRDefault="005B3536" w:rsidP="00E559D8">
    <w:pPr>
      <w:pStyle w:val="Header"/>
      <w:tabs>
        <w:tab w:val="clear" w:pos="4680"/>
        <w:tab w:val="left" w:pos="0"/>
      </w:tabs>
      <w:rPr>
        <w:i/>
      </w:rP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fspro_2columns"/>
      </v:shape>
    </w:pict>
  </w:numPicBullet>
  <w:numPicBullet w:numPicBulletId="1">
    <w:pict>
      <v:shape id="_x0000_i1027" type="#_x0000_t75" style="width:11.9pt;height:11.9pt" o:bullet="t">
        <v:imagedata r:id="rId2" o:title="advanced"/>
      </v:shape>
    </w:pict>
  </w:numPicBullet>
  <w:numPicBullet w:numPicBulletId="2">
    <w:pict>
      <v:shape id="_x0000_i1028" type="#_x0000_t75" style="width:11.9pt;height:11.9pt" o:bullet="t">
        <v:imagedata r:id="rId3" o:title="continue"/>
      </v:shape>
    </w:pict>
  </w:numPicBullet>
  <w:numPicBullet w:numPicBulletId="3">
    <w:pict>
      <v:shape id="_x0000_i1029" type="#_x0000_t75" style="width:11.9pt;height:11.9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B8C"/>
    <w:multiLevelType w:val="hybridMultilevel"/>
    <w:tmpl w:val="2DF69EE2"/>
    <w:lvl w:ilvl="0" w:tplc="CF2C4C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4B2E60CD"/>
    <w:multiLevelType w:val="hybridMultilevel"/>
    <w:tmpl w:val="C9A693F6"/>
    <w:lvl w:ilvl="0" w:tplc="CF2C4C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53BE8"/>
    <w:multiLevelType w:val="hybridMultilevel"/>
    <w:tmpl w:val="096830CC"/>
    <w:lvl w:ilvl="0" w:tplc="CF2C4C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E17704"/>
    <w:multiLevelType w:val="hybridMultilevel"/>
    <w:tmpl w:val="4372C0F8"/>
    <w:lvl w:ilvl="0" w:tplc="CF2C4C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B02AF"/>
    <w:multiLevelType w:val="singleLevel"/>
    <w:tmpl w:val="90CED37A"/>
    <w:lvl w:ilvl="0">
      <w:start w:val="1"/>
      <w:numFmt w:val="bullet"/>
      <w:lvlText w:val=""/>
      <w:lvlJc w:val="left"/>
      <w:pPr>
        <w:tabs>
          <w:tab w:val="num" w:pos="630"/>
        </w:tabs>
        <w:ind w:left="630" w:hanging="360"/>
      </w:pPr>
      <w:rPr>
        <w:rFonts w:ascii="Symbol" w:hAnsi="Symbol" w:hint="default"/>
        <w:color w:val="auto"/>
      </w:rPr>
    </w:lvl>
  </w:abstractNum>
  <w:abstractNum w:abstractNumId="1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3">
    <w:nsid w:val="78407290"/>
    <w:multiLevelType w:val="singleLevel"/>
    <w:tmpl w:val="72F0DD94"/>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0"/>
  </w:num>
  <w:num w:numId="5">
    <w:abstractNumId w:val="11"/>
  </w:num>
  <w:num w:numId="6">
    <w:abstractNumId w:val="7"/>
  </w:num>
  <w:num w:numId="7">
    <w:abstractNumId w:val="6"/>
  </w:num>
  <w:num w:numId="8">
    <w:abstractNumId w:val="12"/>
  </w:num>
  <w:num w:numId="9">
    <w:abstractNumId w:val="3"/>
  </w:num>
  <w:num w:numId="10">
    <w:abstractNumId w:val="2"/>
  </w:num>
  <w:num w:numId="11">
    <w:abstractNumId w:val="9"/>
  </w:num>
  <w:num w:numId="12">
    <w:abstractNumId w:val="1"/>
  </w:num>
  <w:num w:numId="13">
    <w:abstractNumId w:val="5"/>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imistyles.xml"/>
    <w:docVar w:name="XSLPath" w:val="C:\Program Files\Information Mapping\FS Pro 4.1\StyleSheets\"/>
    <w:docVar w:name="XSLstylesheet" w:val="Basic.xsl"/>
  </w:docVars>
  <w:rsids>
    <w:rsidRoot w:val="00FF096B"/>
    <w:rsid w:val="0000330A"/>
    <w:rsid w:val="00011256"/>
    <w:rsid w:val="00011CAB"/>
    <w:rsid w:val="00023D8F"/>
    <w:rsid w:val="00030A8D"/>
    <w:rsid w:val="00041819"/>
    <w:rsid w:val="0004562A"/>
    <w:rsid w:val="00046EBF"/>
    <w:rsid w:val="0005366E"/>
    <w:rsid w:val="0008323F"/>
    <w:rsid w:val="00085771"/>
    <w:rsid w:val="0009093A"/>
    <w:rsid w:val="000A04AF"/>
    <w:rsid w:val="000E009F"/>
    <w:rsid w:val="000E03B8"/>
    <w:rsid w:val="000E37C8"/>
    <w:rsid w:val="000F55D5"/>
    <w:rsid w:val="000F6C4D"/>
    <w:rsid w:val="001062D6"/>
    <w:rsid w:val="00134A8D"/>
    <w:rsid w:val="001569A5"/>
    <w:rsid w:val="00161B44"/>
    <w:rsid w:val="00174EB4"/>
    <w:rsid w:val="00176E67"/>
    <w:rsid w:val="001832B7"/>
    <w:rsid w:val="00184107"/>
    <w:rsid w:val="001877A3"/>
    <w:rsid w:val="001A3DC6"/>
    <w:rsid w:val="001A6CC6"/>
    <w:rsid w:val="001C1B3E"/>
    <w:rsid w:val="001E31D5"/>
    <w:rsid w:val="001F741D"/>
    <w:rsid w:val="00204E92"/>
    <w:rsid w:val="002135A5"/>
    <w:rsid w:val="00225B99"/>
    <w:rsid w:val="002336F7"/>
    <w:rsid w:val="00235E32"/>
    <w:rsid w:val="00263CD1"/>
    <w:rsid w:val="00263DBE"/>
    <w:rsid w:val="00274582"/>
    <w:rsid w:val="002769DB"/>
    <w:rsid w:val="002D4EBF"/>
    <w:rsid w:val="002F35D8"/>
    <w:rsid w:val="002F48CC"/>
    <w:rsid w:val="00324A38"/>
    <w:rsid w:val="00350AC6"/>
    <w:rsid w:val="00377197"/>
    <w:rsid w:val="00395C7E"/>
    <w:rsid w:val="003B7BB2"/>
    <w:rsid w:val="003B7FB9"/>
    <w:rsid w:val="003D4F55"/>
    <w:rsid w:val="00400AF3"/>
    <w:rsid w:val="0040650A"/>
    <w:rsid w:val="00407A2B"/>
    <w:rsid w:val="00421F28"/>
    <w:rsid w:val="00426048"/>
    <w:rsid w:val="0044326F"/>
    <w:rsid w:val="00470A94"/>
    <w:rsid w:val="004735F9"/>
    <w:rsid w:val="0048257E"/>
    <w:rsid w:val="004A2944"/>
    <w:rsid w:val="004B5E1E"/>
    <w:rsid w:val="004B7CEB"/>
    <w:rsid w:val="004C0FF8"/>
    <w:rsid w:val="004D2043"/>
    <w:rsid w:val="004E1F46"/>
    <w:rsid w:val="004E4469"/>
    <w:rsid w:val="004E7E4A"/>
    <w:rsid w:val="00500333"/>
    <w:rsid w:val="0050207B"/>
    <w:rsid w:val="00505934"/>
    <w:rsid w:val="00515216"/>
    <w:rsid w:val="00527F6D"/>
    <w:rsid w:val="005404C4"/>
    <w:rsid w:val="00541501"/>
    <w:rsid w:val="00543772"/>
    <w:rsid w:val="00561B82"/>
    <w:rsid w:val="005622A9"/>
    <w:rsid w:val="00584783"/>
    <w:rsid w:val="00585941"/>
    <w:rsid w:val="005A09AA"/>
    <w:rsid w:val="005A46D4"/>
    <w:rsid w:val="005B1CA9"/>
    <w:rsid w:val="005B3536"/>
    <w:rsid w:val="005C4EE6"/>
    <w:rsid w:val="005C60DC"/>
    <w:rsid w:val="005E78CD"/>
    <w:rsid w:val="005E7C14"/>
    <w:rsid w:val="0061136A"/>
    <w:rsid w:val="00623E32"/>
    <w:rsid w:val="00624FD3"/>
    <w:rsid w:val="0063239D"/>
    <w:rsid w:val="006326D8"/>
    <w:rsid w:val="006475C9"/>
    <w:rsid w:val="00655439"/>
    <w:rsid w:val="006567AC"/>
    <w:rsid w:val="00661B76"/>
    <w:rsid w:val="0067390A"/>
    <w:rsid w:val="00686E8D"/>
    <w:rsid w:val="00696B06"/>
    <w:rsid w:val="00697674"/>
    <w:rsid w:val="006C72DA"/>
    <w:rsid w:val="006D4191"/>
    <w:rsid w:val="006D50AE"/>
    <w:rsid w:val="006D7559"/>
    <w:rsid w:val="006E4FA1"/>
    <w:rsid w:val="006E6587"/>
    <w:rsid w:val="006E785C"/>
    <w:rsid w:val="006E7DAB"/>
    <w:rsid w:val="006F72A5"/>
    <w:rsid w:val="007002F1"/>
    <w:rsid w:val="00705B94"/>
    <w:rsid w:val="00721830"/>
    <w:rsid w:val="00722799"/>
    <w:rsid w:val="00732052"/>
    <w:rsid w:val="0073494B"/>
    <w:rsid w:val="00734EDD"/>
    <w:rsid w:val="00736AEE"/>
    <w:rsid w:val="007718BF"/>
    <w:rsid w:val="00783A6D"/>
    <w:rsid w:val="007911BB"/>
    <w:rsid w:val="0079385E"/>
    <w:rsid w:val="007A291A"/>
    <w:rsid w:val="007C2F6F"/>
    <w:rsid w:val="007C3A78"/>
    <w:rsid w:val="007E0FE0"/>
    <w:rsid w:val="007F0263"/>
    <w:rsid w:val="007F405E"/>
    <w:rsid w:val="007F671E"/>
    <w:rsid w:val="00802C22"/>
    <w:rsid w:val="008111EB"/>
    <w:rsid w:val="00817316"/>
    <w:rsid w:val="00817512"/>
    <w:rsid w:val="00820182"/>
    <w:rsid w:val="00831B8F"/>
    <w:rsid w:val="008631AF"/>
    <w:rsid w:val="008A13C4"/>
    <w:rsid w:val="008A5C5C"/>
    <w:rsid w:val="008D5CA1"/>
    <w:rsid w:val="008F6FD2"/>
    <w:rsid w:val="00900F24"/>
    <w:rsid w:val="00906634"/>
    <w:rsid w:val="00911FA0"/>
    <w:rsid w:val="00914135"/>
    <w:rsid w:val="0093221F"/>
    <w:rsid w:val="00936F7E"/>
    <w:rsid w:val="00940CD9"/>
    <w:rsid w:val="009419A2"/>
    <w:rsid w:val="0095150B"/>
    <w:rsid w:val="009661CF"/>
    <w:rsid w:val="00980A9E"/>
    <w:rsid w:val="009A1E9A"/>
    <w:rsid w:val="009A3799"/>
    <w:rsid w:val="009B1A33"/>
    <w:rsid w:val="009B411B"/>
    <w:rsid w:val="009B5131"/>
    <w:rsid w:val="009B5384"/>
    <w:rsid w:val="009D727A"/>
    <w:rsid w:val="009D7E80"/>
    <w:rsid w:val="009E0DE1"/>
    <w:rsid w:val="009F73F3"/>
    <w:rsid w:val="00A02B1C"/>
    <w:rsid w:val="00A1272C"/>
    <w:rsid w:val="00A17AF6"/>
    <w:rsid w:val="00A202EC"/>
    <w:rsid w:val="00A21229"/>
    <w:rsid w:val="00A23ED6"/>
    <w:rsid w:val="00A47872"/>
    <w:rsid w:val="00A50CDF"/>
    <w:rsid w:val="00A61DF5"/>
    <w:rsid w:val="00A66AB2"/>
    <w:rsid w:val="00A90883"/>
    <w:rsid w:val="00A967C4"/>
    <w:rsid w:val="00AB37C1"/>
    <w:rsid w:val="00AC3094"/>
    <w:rsid w:val="00AD3566"/>
    <w:rsid w:val="00AD662A"/>
    <w:rsid w:val="00AE71BF"/>
    <w:rsid w:val="00AF03C9"/>
    <w:rsid w:val="00AF0F4B"/>
    <w:rsid w:val="00AF1BE0"/>
    <w:rsid w:val="00AF3D7E"/>
    <w:rsid w:val="00AF5302"/>
    <w:rsid w:val="00B03A2A"/>
    <w:rsid w:val="00B1579D"/>
    <w:rsid w:val="00B16BA4"/>
    <w:rsid w:val="00B200C6"/>
    <w:rsid w:val="00B2018D"/>
    <w:rsid w:val="00B20FF4"/>
    <w:rsid w:val="00B61A7D"/>
    <w:rsid w:val="00B67263"/>
    <w:rsid w:val="00B91945"/>
    <w:rsid w:val="00B951B9"/>
    <w:rsid w:val="00B95E53"/>
    <w:rsid w:val="00BA1B0C"/>
    <w:rsid w:val="00BC19B6"/>
    <w:rsid w:val="00BD3F62"/>
    <w:rsid w:val="00BD41DE"/>
    <w:rsid w:val="00BF1A27"/>
    <w:rsid w:val="00C01164"/>
    <w:rsid w:val="00C06F15"/>
    <w:rsid w:val="00C274B7"/>
    <w:rsid w:val="00C32629"/>
    <w:rsid w:val="00C52D7F"/>
    <w:rsid w:val="00C606BB"/>
    <w:rsid w:val="00C61AA5"/>
    <w:rsid w:val="00C637F5"/>
    <w:rsid w:val="00C805DD"/>
    <w:rsid w:val="00C83758"/>
    <w:rsid w:val="00CC646A"/>
    <w:rsid w:val="00CC6638"/>
    <w:rsid w:val="00CD4C2A"/>
    <w:rsid w:val="00D07399"/>
    <w:rsid w:val="00D077A3"/>
    <w:rsid w:val="00D30986"/>
    <w:rsid w:val="00D317DC"/>
    <w:rsid w:val="00D34D60"/>
    <w:rsid w:val="00D631E2"/>
    <w:rsid w:val="00D65AF7"/>
    <w:rsid w:val="00D742E7"/>
    <w:rsid w:val="00D87613"/>
    <w:rsid w:val="00DC3869"/>
    <w:rsid w:val="00DF5242"/>
    <w:rsid w:val="00E05FDE"/>
    <w:rsid w:val="00E17B32"/>
    <w:rsid w:val="00E35B0B"/>
    <w:rsid w:val="00E37738"/>
    <w:rsid w:val="00E559D8"/>
    <w:rsid w:val="00E56DE9"/>
    <w:rsid w:val="00E66B31"/>
    <w:rsid w:val="00E72136"/>
    <w:rsid w:val="00E72E74"/>
    <w:rsid w:val="00E76E3B"/>
    <w:rsid w:val="00EA30F0"/>
    <w:rsid w:val="00EA34EC"/>
    <w:rsid w:val="00EC0313"/>
    <w:rsid w:val="00ED227E"/>
    <w:rsid w:val="00F36484"/>
    <w:rsid w:val="00F6117A"/>
    <w:rsid w:val="00F65D1B"/>
    <w:rsid w:val="00F7042F"/>
    <w:rsid w:val="00F70F50"/>
    <w:rsid w:val="00F7266A"/>
    <w:rsid w:val="00F76BA8"/>
    <w:rsid w:val="00F8269E"/>
    <w:rsid w:val="00F95778"/>
    <w:rsid w:val="00F967F5"/>
    <w:rsid w:val="00FA5837"/>
    <w:rsid w:val="00FB3287"/>
    <w:rsid w:val="00FB75BA"/>
    <w:rsid w:val="00FD729E"/>
    <w:rsid w:val="00FE087A"/>
    <w:rsid w:val="00FE35A0"/>
    <w:rsid w:val="00FE4C44"/>
    <w:rsid w:val="00FF096B"/>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9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CD1"/>
    <w:rPr>
      <w:color w:val="000000"/>
      <w:sz w:val="24"/>
      <w:szCs w:val="24"/>
    </w:rPr>
  </w:style>
  <w:style w:type="paragraph" w:styleId="Heading1">
    <w:name w:val="heading 1"/>
    <w:aliases w:val="Part Title"/>
    <w:basedOn w:val="Normal"/>
    <w:next w:val="Heading4"/>
    <w:qFormat/>
    <w:rsid w:val="00263CD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63CD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63CD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63CD1"/>
    <w:pPr>
      <w:spacing w:after="240"/>
      <w:outlineLvl w:val="3"/>
    </w:pPr>
    <w:rPr>
      <w:rFonts w:ascii="Arial" w:hAnsi="Arial" w:cs="Arial"/>
      <w:b/>
      <w:sz w:val="32"/>
      <w:szCs w:val="20"/>
    </w:rPr>
  </w:style>
  <w:style w:type="paragraph" w:styleId="Heading5">
    <w:name w:val="heading 5"/>
    <w:aliases w:val="Block Label"/>
    <w:basedOn w:val="Normal"/>
    <w:qFormat/>
    <w:rsid w:val="00263CD1"/>
    <w:pPr>
      <w:outlineLvl w:val="4"/>
    </w:pPr>
    <w:rPr>
      <w:b/>
      <w:sz w:val="22"/>
      <w:szCs w:val="20"/>
    </w:rPr>
  </w:style>
  <w:style w:type="paragraph" w:styleId="Heading6">
    <w:name w:val="heading 6"/>
    <w:aliases w:val="Sub Label"/>
    <w:basedOn w:val="Heading5"/>
    <w:next w:val="BlockText"/>
    <w:qFormat/>
    <w:rsid w:val="00263CD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CD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63CD1"/>
    <w:pPr>
      <w:pBdr>
        <w:top w:val="single" w:sz="6" w:space="1" w:color="000000"/>
        <w:between w:val="single" w:sz="6" w:space="1" w:color="auto"/>
      </w:pBdr>
      <w:spacing w:before="240"/>
      <w:ind w:left="1720"/>
    </w:pPr>
    <w:rPr>
      <w:szCs w:val="20"/>
    </w:rPr>
  </w:style>
  <w:style w:type="paragraph" w:styleId="BlockText">
    <w:name w:val="Block Text"/>
    <w:basedOn w:val="Normal"/>
    <w:rsid w:val="00263CD1"/>
  </w:style>
  <w:style w:type="paragraph" w:customStyle="1" w:styleId="BulletText1">
    <w:name w:val="Bullet Text 1"/>
    <w:basedOn w:val="Normal"/>
    <w:rsid w:val="00263CD1"/>
    <w:pPr>
      <w:numPr>
        <w:numId w:val="3"/>
      </w:numPr>
    </w:pPr>
    <w:rPr>
      <w:szCs w:val="20"/>
    </w:rPr>
  </w:style>
  <w:style w:type="paragraph" w:customStyle="1" w:styleId="BulletText2">
    <w:name w:val="Bullet Text 2"/>
    <w:basedOn w:val="Normal"/>
    <w:rsid w:val="00263CD1"/>
    <w:pPr>
      <w:numPr>
        <w:numId w:val="4"/>
      </w:numPr>
    </w:pPr>
    <w:rPr>
      <w:szCs w:val="20"/>
    </w:rPr>
  </w:style>
  <w:style w:type="paragraph" w:customStyle="1" w:styleId="ContinuedOnNextPa">
    <w:name w:val="Continued On Next Pa"/>
    <w:basedOn w:val="Normal"/>
    <w:next w:val="Normal"/>
    <w:rsid w:val="00263CD1"/>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263CD1"/>
    <w:pPr>
      <w:spacing w:after="240"/>
    </w:pPr>
    <w:rPr>
      <w:b/>
      <w:sz w:val="22"/>
      <w:szCs w:val="20"/>
    </w:rPr>
  </w:style>
  <w:style w:type="paragraph" w:customStyle="1" w:styleId="MapTitleContinued">
    <w:name w:val="Map Title. Continued"/>
    <w:basedOn w:val="Normal"/>
    <w:next w:val="Normal"/>
    <w:rsid w:val="00263CD1"/>
    <w:pPr>
      <w:spacing w:after="240"/>
    </w:pPr>
    <w:rPr>
      <w:rFonts w:ascii="Arial" w:hAnsi="Arial" w:cs="Arial"/>
      <w:b/>
      <w:sz w:val="32"/>
      <w:szCs w:val="20"/>
    </w:rPr>
  </w:style>
  <w:style w:type="paragraph" w:customStyle="1" w:styleId="MemoLine">
    <w:name w:val="Memo Line"/>
    <w:basedOn w:val="BlockLine"/>
    <w:next w:val="Normal"/>
    <w:rsid w:val="00263CD1"/>
  </w:style>
  <w:style w:type="paragraph" w:styleId="Footer">
    <w:name w:val="footer"/>
    <w:basedOn w:val="Normal"/>
    <w:link w:val="FooterChar"/>
    <w:rsid w:val="00263CD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263CD1"/>
    <w:rPr>
      <w:szCs w:val="20"/>
    </w:rPr>
  </w:style>
  <w:style w:type="paragraph" w:customStyle="1" w:styleId="NoteText">
    <w:name w:val="Note Text"/>
    <w:basedOn w:val="Normal"/>
    <w:rsid w:val="00263CD1"/>
    <w:rPr>
      <w:szCs w:val="20"/>
    </w:rPr>
  </w:style>
  <w:style w:type="paragraph" w:customStyle="1" w:styleId="TableHeaderText">
    <w:name w:val="Table Header Text"/>
    <w:basedOn w:val="Normal"/>
    <w:rsid w:val="00263CD1"/>
    <w:pPr>
      <w:jc w:val="center"/>
    </w:pPr>
    <w:rPr>
      <w:b/>
      <w:szCs w:val="20"/>
    </w:rPr>
  </w:style>
  <w:style w:type="paragraph" w:customStyle="1" w:styleId="EmbeddedText">
    <w:name w:val="Embedded Text"/>
    <w:basedOn w:val="Normal"/>
    <w:rsid w:val="00263CD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263CD1"/>
    <w:pPr>
      <w:ind w:left="480"/>
    </w:pPr>
  </w:style>
  <w:style w:type="paragraph" w:styleId="TOC4">
    <w:name w:val="toc 4"/>
    <w:basedOn w:val="Normal"/>
    <w:next w:val="Normal"/>
    <w:autoRedefine/>
    <w:uiPriority w:val="39"/>
    <w:rsid w:val="00263CD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Maptitle">
    <w:name w:val="Map title"/>
    <w:basedOn w:val="BlockLine"/>
  </w:style>
  <w:style w:type="paragraph" w:customStyle="1" w:styleId="TOC10">
    <w:name w:val="TOC1"/>
    <w:basedOn w:val="TOC1"/>
    <w:next w:val="TOC2"/>
    <w:rPr>
      <w:b/>
    </w:rPr>
  </w:style>
  <w:style w:type="paragraph" w:customStyle="1" w:styleId="Script">
    <w:name w:val="Script"/>
    <w:basedOn w:val="TableText"/>
    <w:pPr>
      <w:spacing w:before="120" w:after="120"/>
      <w:ind w:left="432" w:right="432"/>
    </w:pPr>
    <w:rPr>
      <w:sz w:val="26"/>
    </w:rPr>
  </w:style>
  <w:style w:type="character" w:styleId="Emphasis">
    <w:name w:val="Emphasis"/>
    <w:qFormat/>
    <w:rPr>
      <w:i/>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263CD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263CD1"/>
    <w:pPr>
      <w:spacing w:after="240"/>
      <w:jc w:val="center"/>
    </w:pPr>
    <w:rPr>
      <w:rFonts w:ascii="Arial" w:hAnsi="Arial" w:cs="Arial"/>
      <w:b/>
      <w:sz w:val="32"/>
      <w:szCs w:val="20"/>
    </w:rPr>
  </w:style>
  <w:style w:type="paragraph" w:customStyle="1" w:styleId="TOCTitle">
    <w:name w:val="TOC Title"/>
    <w:basedOn w:val="Normal"/>
    <w:rsid w:val="00263CD1"/>
    <w:pPr>
      <w:widowControl w:val="0"/>
    </w:pPr>
    <w:rPr>
      <w:rFonts w:ascii="Arial" w:hAnsi="Arial" w:cs="Arial"/>
      <w:b/>
      <w:sz w:val="32"/>
      <w:szCs w:val="20"/>
    </w:rPr>
  </w:style>
  <w:style w:type="paragraph" w:customStyle="1" w:styleId="TOCItem">
    <w:name w:val="TOCItem"/>
    <w:basedOn w:val="Normal"/>
    <w:rsid w:val="00263CD1"/>
    <w:pPr>
      <w:tabs>
        <w:tab w:val="left" w:leader="dot" w:pos="7061"/>
        <w:tab w:val="right" w:pos="7524"/>
      </w:tabs>
      <w:spacing w:before="60" w:after="60"/>
      <w:ind w:right="465"/>
    </w:pPr>
    <w:rPr>
      <w:szCs w:val="20"/>
    </w:rPr>
  </w:style>
  <w:style w:type="paragraph" w:customStyle="1" w:styleId="TOCStem">
    <w:name w:val="TOCStem"/>
    <w:basedOn w:val="Normal"/>
    <w:rsid w:val="00263CD1"/>
    <w:rPr>
      <w:szCs w:val="20"/>
    </w:rPr>
  </w:style>
  <w:style w:type="character" w:styleId="Hyperlink">
    <w:name w:val="Hyperlink"/>
    <w:uiPriority w:val="99"/>
    <w:rsid w:val="00263CD1"/>
    <w:rPr>
      <w:color w:val="0000FF"/>
      <w:u w:val="single"/>
    </w:rPr>
  </w:style>
  <w:style w:type="character" w:styleId="FollowedHyperlink">
    <w:name w:val="FollowedHyperlink"/>
    <w:rsid w:val="00263CD1"/>
    <w:rPr>
      <w:color w:val="800080"/>
      <w:u w:val="single"/>
    </w:rPr>
  </w:style>
  <w:style w:type="character" w:customStyle="1" w:styleId="term1">
    <w:name w:val="term1"/>
    <w:rPr>
      <w:b/>
      <w:bCs/>
    </w:rPr>
  </w:style>
  <w:style w:type="paragraph" w:styleId="BalloonText">
    <w:name w:val="Balloon Text"/>
    <w:basedOn w:val="Normal"/>
    <w:semiHidden/>
    <w:rsid w:val="00263CD1"/>
    <w:rPr>
      <w:rFonts w:ascii="Tahoma" w:hAnsi="Tahoma" w:cs="Tahoma"/>
      <w:sz w:val="16"/>
      <w:szCs w:val="16"/>
    </w:rPr>
  </w:style>
  <w:style w:type="paragraph" w:customStyle="1" w:styleId="BulletText3">
    <w:name w:val="Bullet Text 3"/>
    <w:basedOn w:val="Normal"/>
    <w:rsid w:val="00263CD1"/>
    <w:pPr>
      <w:numPr>
        <w:numId w:val="5"/>
      </w:numPr>
      <w:tabs>
        <w:tab w:val="clear" w:pos="173"/>
      </w:tabs>
      <w:ind w:left="533" w:hanging="173"/>
    </w:pPr>
    <w:rPr>
      <w:szCs w:val="20"/>
    </w:rPr>
  </w:style>
  <w:style w:type="character" w:styleId="HTMLAcronym">
    <w:name w:val="HTML Acronym"/>
    <w:basedOn w:val="DefaultParagraphFont"/>
    <w:rsid w:val="00263CD1"/>
  </w:style>
  <w:style w:type="paragraph" w:customStyle="1" w:styleId="IMTOC">
    <w:name w:val="IMTOC"/>
    <w:rsid w:val="00263CD1"/>
    <w:rPr>
      <w:sz w:val="24"/>
    </w:rPr>
  </w:style>
  <w:style w:type="table" w:styleId="TableGrid">
    <w:name w:val="Table Grid"/>
    <w:basedOn w:val="TableNormal"/>
    <w:rsid w:val="00263C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63CD1"/>
    <w:rPr>
      <w:sz w:val="24"/>
      <w:szCs w:val="24"/>
      <w:lang w:val="x-none" w:eastAsia="x-none"/>
    </w:rPr>
  </w:style>
  <w:style w:type="character" w:customStyle="1" w:styleId="FooterChar">
    <w:name w:val="Footer Char"/>
    <w:link w:val="Footer"/>
    <w:rsid w:val="00263CD1"/>
    <w:rPr>
      <w:sz w:val="24"/>
      <w:szCs w:val="24"/>
      <w:lang w:val="x-none" w:eastAsia="x-none"/>
    </w:rPr>
  </w:style>
  <w:style w:type="character" w:styleId="CommentReference">
    <w:name w:val="annotation reference"/>
    <w:rsid w:val="00C61AA5"/>
    <w:rPr>
      <w:sz w:val="16"/>
      <w:szCs w:val="16"/>
    </w:rPr>
  </w:style>
  <w:style w:type="paragraph" w:styleId="CommentText">
    <w:name w:val="annotation text"/>
    <w:basedOn w:val="Normal"/>
    <w:link w:val="CommentTextChar"/>
    <w:rsid w:val="00C61AA5"/>
    <w:rPr>
      <w:sz w:val="20"/>
      <w:szCs w:val="20"/>
    </w:rPr>
  </w:style>
  <w:style w:type="character" w:customStyle="1" w:styleId="CommentTextChar">
    <w:name w:val="Comment Text Char"/>
    <w:link w:val="CommentText"/>
    <w:rsid w:val="00C61AA5"/>
    <w:rPr>
      <w:color w:val="000000"/>
    </w:rPr>
  </w:style>
  <w:style w:type="paragraph" w:styleId="CommentSubject">
    <w:name w:val="annotation subject"/>
    <w:basedOn w:val="CommentText"/>
    <w:next w:val="CommentText"/>
    <w:link w:val="CommentSubjectChar"/>
    <w:rsid w:val="00C61AA5"/>
    <w:rPr>
      <w:b/>
      <w:bCs/>
    </w:rPr>
  </w:style>
  <w:style w:type="character" w:customStyle="1" w:styleId="CommentSubjectChar">
    <w:name w:val="Comment Subject Char"/>
    <w:link w:val="CommentSubject"/>
    <w:rsid w:val="00C61AA5"/>
    <w:rPr>
      <w:b/>
      <w:bCs/>
      <w:color w:val="000000"/>
    </w:rPr>
  </w:style>
  <w:style w:type="paragraph" w:styleId="ListParagraph">
    <w:name w:val="List Paragraph"/>
    <w:basedOn w:val="Normal"/>
    <w:uiPriority w:val="34"/>
    <w:qFormat/>
    <w:rsid w:val="005A46D4"/>
    <w:pPr>
      <w:ind w:left="720"/>
      <w:contextualSpacing/>
    </w:pPr>
  </w:style>
  <w:style w:type="paragraph" w:styleId="Revision">
    <w:name w:val="Revision"/>
    <w:hidden/>
    <w:uiPriority w:val="99"/>
    <w:semiHidden/>
    <w:rsid w:val="008A5C5C"/>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CD1"/>
    <w:rPr>
      <w:color w:val="000000"/>
      <w:sz w:val="24"/>
      <w:szCs w:val="24"/>
    </w:rPr>
  </w:style>
  <w:style w:type="paragraph" w:styleId="Heading1">
    <w:name w:val="heading 1"/>
    <w:aliases w:val="Part Title"/>
    <w:basedOn w:val="Normal"/>
    <w:next w:val="Heading4"/>
    <w:qFormat/>
    <w:rsid w:val="00263CD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63CD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63CD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63CD1"/>
    <w:pPr>
      <w:spacing w:after="240"/>
      <w:outlineLvl w:val="3"/>
    </w:pPr>
    <w:rPr>
      <w:rFonts w:ascii="Arial" w:hAnsi="Arial" w:cs="Arial"/>
      <w:b/>
      <w:sz w:val="32"/>
      <w:szCs w:val="20"/>
    </w:rPr>
  </w:style>
  <w:style w:type="paragraph" w:styleId="Heading5">
    <w:name w:val="heading 5"/>
    <w:aliases w:val="Block Label"/>
    <w:basedOn w:val="Normal"/>
    <w:qFormat/>
    <w:rsid w:val="00263CD1"/>
    <w:pPr>
      <w:outlineLvl w:val="4"/>
    </w:pPr>
    <w:rPr>
      <w:b/>
      <w:sz w:val="22"/>
      <w:szCs w:val="20"/>
    </w:rPr>
  </w:style>
  <w:style w:type="paragraph" w:styleId="Heading6">
    <w:name w:val="heading 6"/>
    <w:aliases w:val="Sub Label"/>
    <w:basedOn w:val="Heading5"/>
    <w:next w:val="BlockText"/>
    <w:qFormat/>
    <w:rsid w:val="00263CD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CD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63CD1"/>
    <w:pPr>
      <w:pBdr>
        <w:top w:val="single" w:sz="6" w:space="1" w:color="000000"/>
        <w:between w:val="single" w:sz="6" w:space="1" w:color="auto"/>
      </w:pBdr>
      <w:spacing w:before="240"/>
      <w:ind w:left="1720"/>
    </w:pPr>
    <w:rPr>
      <w:szCs w:val="20"/>
    </w:rPr>
  </w:style>
  <w:style w:type="paragraph" w:styleId="BlockText">
    <w:name w:val="Block Text"/>
    <w:basedOn w:val="Normal"/>
    <w:rsid w:val="00263CD1"/>
  </w:style>
  <w:style w:type="paragraph" w:customStyle="1" w:styleId="BulletText1">
    <w:name w:val="Bullet Text 1"/>
    <w:basedOn w:val="Normal"/>
    <w:rsid w:val="00263CD1"/>
    <w:pPr>
      <w:numPr>
        <w:numId w:val="3"/>
      </w:numPr>
    </w:pPr>
    <w:rPr>
      <w:szCs w:val="20"/>
    </w:rPr>
  </w:style>
  <w:style w:type="paragraph" w:customStyle="1" w:styleId="BulletText2">
    <w:name w:val="Bullet Text 2"/>
    <w:basedOn w:val="Normal"/>
    <w:rsid w:val="00263CD1"/>
    <w:pPr>
      <w:numPr>
        <w:numId w:val="4"/>
      </w:numPr>
    </w:pPr>
    <w:rPr>
      <w:szCs w:val="20"/>
    </w:rPr>
  </w:style>
  <w:style w:type="paragraph" w:customStyle="1" w:styleId="ContinuedOnNextPa">
    <w:name w:val="Continued On Next Pa"/>
    <w:basedOn w:val="Normal"/>
    <w:next w:val="Normal"/>
    <w:rsid w:val="00263CD1"/>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263CD1"/>
    <w:pPr>
      <w:spacing w:after="240"/>
    </w:pPr>
    <w:rPr>
      <w:b/>
      <w:sz w:val="22"/>
      <w:szCs w:val="20"/>
    </w:rPr>
  </w:style>
  <w:style w:type="paragraph" w:customStyle="1" w:styleId="MapTitleContinued">
    <w:name w:val="Map Title. Continued"/>
    <w:basedOn w:val="Normal"/>
    <w:next w:val="Normal"/>
    <w:rsid w:val="00263CD1"/>
    <w:pPr>
      <w:spacing w:after="240"/>
    </w:pPr>
    <w:rPr>
      <w:rFonts w:ascii="Arial" w:hAnsi="Arial" w:cs="Arial"/>
      <w:b/>
      <w:sz w:val="32"/>
      <w:szCs w:val="20"/>
    </w:rPr>
  </w:style>
  <w:style w:type="paragraph" w:customStyle="1" w:styleId="MemoLine">
    <w:name w:val="Memo Line"/>
    <w:basedOn w:val="BlockLine"/>
    <w:next w:val="Normal"/>
    <w:rsid w:val="00263CD1"/>
  </w:style>
  <w:style w:type="paragraph" w:styleId="Footer">
    <w:name w:val="footer"/>
    <w:basedOn w:val="Normal"/>
    <w:link w:val="FooterChar"/>
    <w:rsid w:val="00263CD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263CD1"/>
    <w:rPr>
      <w:szCs w:val="20"/>
    </w:rPr>
  </w:style>
  <w:style w:type="paragraph" w:customStyle="1" w:styleId="NoteText">
    <w:name w:val="Note Text"/>
    <w:basedOn w:val="Normal"/>
    <w:rsid w:val="00263CD1"/>
    <w:rPr>
      <w:szCs w:val="20"/>
    </w:rPr>
  </w:style>
  <w:style w:type="paragraph" w:customStyle="1" w:styleId="TableHeaderText">
    <w:name w:val="Table Header Text"/>
    <w:basedOn w:val="Normal"/>
    <w:rsid w:val="00263CD1"/>
    <w:pPr>
      <w:jc w:val="center"/>
    </w:pPr>
    <w:rPr>
      <w:b/>
      <w:szCs w:val="20"/>
    </w:rPr>
  </w:style>
  <w:style w:type="paragraph" w:customStyle="1" w:styleId="EmbeddedText">
    <w:name w:val="Embedded Text"/>
    <w:basedOn w:val="Normal"/>
    <w:rsid w:val="00263CD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263CD1"/>
    <w:pPr>
      <w:ind w:left="480"/>
    </w:pPr>
  </w:style>
  <w:style w:type="paragraph" w:styleId="TOC4">
    <w:name w:val="toc 4"/>
    <w:basedOn w:val="Normal"/>
    <w:next w:val="Normal"/>
    <w:autoRedefine/>
    <w:uiPriority w:val="39"/>
    <w:rsid w:val="00263CD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Maptitle">
    <w:name w:val="Map title"/>
    <w:basedOn w:val="BlockLine"/>
  </w:style>
  <w:style w:type="paragraph" w:customStyle="1" w:styleId="TOC10">
    <w:name w:val="TOC1"/>
    <w:basedOn w:val="TOC1"/>
    <w:next w:val="TOC2"/>
    <w:rPr>
      <w:b/>
    </w:rPr>
  </w:style>
  <w:style w:type="paragraph" w:customStyle="1" w:styleId="Script">
    <w:name w:val="Script"/>
    <w:basedOn w:val="TableText"/>
    <w:pPr>
      <w:spacing w:before="120" w:after="120"/>
      <w:ind w:left="432" w:right="432"/>
    </w:pPr>
    <w:rPr>
      <w:sz w:val="26"/>
    </w:rPr>
  </w:style>
  <w:style w:type="character" w:styleId="Emphasis">
    <w:name w:val="Emphasis"/>
    <w:qFormat/>
    <w:rPr>
      <w:i/>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263CD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263CD1"/>
    <w:pPr>
      <w:spacing w:after="240"/>
      <w:jc w:val="center"/>
    </w:pPr>
    <w:rPr>
      <w:rFonts w:ascii="Arial" w:hAnsi="Arial" w:cs="Arial"/>
      <w:b/>
      <w:sz w:val="32"/>
      <w:szCs w:val="20"/>
    </w:rPr>
  </w:style>
  <w:style w:type="paragraph" w:customStyle="1" w:styleId="TOCTitle">
    <w:name w:val="TOC Title"/>
    <w:basedOn w:val="Normal"/>
    <w:rsid w:val="00263CD1"/>
    <w:pPr>
      <w:widowControl w:val="0"/>
    </w:pPr>
    <w:rPr>
      <w:rFonts w:ascii="Arial" w:hAnsi="Arial" w:cs="Arial"/>
      <w:b/>
      <w:sz w:val="32"/>
      <w:szCs w:val="20"/>
    </w:rPr>
  </w:style>
  <w:style w:type="paragraph" w:customStyle="1" w:styleId="TOCItem">
    <w:name w:val="TOCItem"/>
    <w:basedOn w:val="Normal"/>
    <w:rsid w:val="00263CD1"/>
    <w:pPr>
      <w:tabs>
        <w:tab w:val="left" w:leader="dot" w:pos="7061"/>
        <w:tab w:val="right" w:pos="7524"/>
      </w:tabs>
      <w:spacing w:before="60" w:after="60"/>
      <w:ind w:right="465"/>
    </w:pPr>
    <w:rPr>
      <w:szCs w:val="20"/>
    </w:rPr>
  </w:style>
  <w:style w:type="paragraph" w:customStyle="1" w:styleId="TOCStem">
    <w:name w:val="TOCStem"/>
    <w:basedOn w:val="Normal"/>
    <w:rsid w:val="00263CD1"/>
    <w:rPr>
      <w:szCs w:val="20"/>
    </w:rPr>
  </w:style>
  <w:style w:type="character" w:styleId="Hyperlink">
    <w:name w:val="Hyperlink"/>
    <w:uiPriority w:val="99"/>
    <w:rsid w:val="00263CD1"/>
    <w:rPr>
      <w:color w:val="0000FF"/>
      <w:u w:val="single"/>
    </w:rPr>
  </w:style>
  <w:style w:type="character" w:styleId="FollowedHyperlink">
    <w:name w:val="FollowedHyperlink"/>
    <w:rsid w:val="00263CD1"/>
    <w:rPr>
      <w:color w:val="800080"/>
      <w:u w:val="single"/>
    </w:rPr>
  </w:style>
  <w:style w:type="character" w:customStyle="1" w:styleId="term1">
    <w:name w:val="term1"/>
    <w:rPr>
      <w:b/>
      <w:bCs/>
    </w:rPr>
  </w:style>
  <w:style w:type="paragraph" w:styleId="BalloonText">
    <w:name w:val="Balloon Text"/>
    <w:basedOn w:val="Normal"/>
    <w:semiHidden/>
    <w:rsid w:val="00263CD1"/>
    <w:rPr>
      <w:rFonts w:ascii="Tahoma" w:hAnsi="Tahoma" w:cs="Tahoma"/>
      <w:sz w:val="16"/>
      <w:szCs w:val="16"/>
    </w:rPr>
  </w:style>
  <w:style w:type="paragraph" w:customStyle="1" w:styleId="BulletText3">
    <w:name w:val="Bullet Text 3"/>
    <w:basedOn w:val="Normal"/>
    <w:rsid w:val="00263CD1"/>
    <w:pPr>
      <w:numPr>
        <w:numId w:val="5"/>
      </w:numPr>
      <w:tabs>
        <w:tab w:val="clear" w:pos="173"/>
      </w:tabs>
      <w:ind w:left="533" w:hanging="173"/>
    </w:pPr>
    <w:rPr>
      <w:szCs w:val="20"/>
    </w:rPr>
  </w:style>
  <w:style w:type="character" w:styleId="HTMLAcronym">
    <w:name w:val="HTML Acronym"/>
    <w:basedOn w:val="DefaultParagraphFont"/>
    <w:rsid w:val="00263CD1"/>
  </w:style>
  <w:style w:type="paragraph" w:customStyle="1" w:styleId="IMTOC">
    <w:name w:val="IMTOC"/>
    <w:rsid w:val="00263CD1"/>
    <w:rPr>
      <w:sz w:val="24"/>
    </w:rPr>
  </w:style>
  <w:style w:type="table" w:styleId="TableGrid">
    <w:name w:val="Table Grid"/>
    <w:basedOn w:val="TableNormal"/>
    <w:rsid w:val="00263C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63CD1"/>
    <w:rPr>
      <w:sz w:val="24"/>
      <w:szCs w:val="24"/>
      <w:lang w:val="x-none" w:eastAsia="x-none"/>
    </w:rPr>
  </w:style>
  <w:style w:type="character" w:customStyle="1" w:styleId="FooterChar">
    <w:name w:val="Footer Char"/>
    <w:link w:val="Footer"/>
    <w:rsid w:val="00263CD1"/>
    <w:rPr>
      <w:sz w:val="24"/>
      <w:szCs w:val="24"/>
      <w:lang w:val="x-none" w:eastAsia="x-none"/>
    </w:rPr>
  </w:style>
  <w:style w:type="character" w:styleId="CommentReference">
    <w:name w:val="annotation reference"/>
    <w:rsid w:val="00C61AA5"/>
    <w:rPr>
      <w:sz w:val="16"/>
      <w:szCs w:val="16"/>
    </w:rPr>
  </w:style>
  <w:style w:type="paragraph" w:styleId="CommentText">
    <w:name w:val="annotation text"/>
    <w:basedOn w:val="Normal"/>
    <w:link w:val="CommentTextChar"/>
    <w:rsid w:val="00C61AA5"/>
    <w:rPr>
      <w:sz w:val="20"/>
      <w:szCs w:val="20"/>
    </w:rPr>
  </w:style>
  <w:style w:type="character" w:customStyle="1" w:styleId="CommentTextChar">
    <w:name w:val="Comment Text Char"/>
    <w:link w:val="CommentText"/>
    <w:rsid w:val="00C61AA5"/>
    <w:rPr>
      <w:color w:val="000000"/>
    </w:rPr>
  </w:style>
  <w:style w:type="paragraph" w:styleId="CommentSubject">
    <w:name w:val="annotation subject"/>
    <w:basedOn w:val="CommentText"/>
    <w:next w:val="CommentText"/>
    <w:link w:val="CommentSubjectChar"/>
    <w:rsid w:val="00C61AA5"/>
    <w:rPr>
      <w:b/>
      <w:bCs/>
    </w:rPr>
  </w:style>
  <w:style w:type="character" w:customStyle="1" w:styleId="CommentSubjectChar">
    <w:name w:val="Comment Subject Char"/>
    <w:link w:val="CommentSubject"/>
    <w:rsid w:val="00C61AA5"/>
    <w:rPr>
      <w:b/>
      <w:bCs/>
      <w:color w:val="000000"/>
    </w:rPr>
  </w:style>
  <w:style w:type="paragraph" w:styleId="ListParagraph">
    <w:name w:val="List Paragraph"/>
    <w:basedOn w:val="Normal"/>
    <w:uiPriority w:val="34"/>
    <w:qFormat/>
    <w:rsid w:val="005A46D4"/>
    <w:pPr>
      <w:ind w:left="720"/>
      <w:contextualSpacing/>
    </w:pPr>
  </w:style>
  <w:style w:type="paragraph" w:styleId="Revision">
    <w:name w:val="Revision"/>
    <w:hidden/>
    <w:uiPriority w:val="99"/>
    <w:semiHidden/>
    <w:rsid w:val="008A5C5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7048">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benefits.va.gov/warms/M21_1.asp" TargetMode="External"/><Relationship Id="rId26" Type="http://schemas.openxmlformats.org/officeDocument/2006/relationships/hyperlink" Target="http://www.ecfr.gov/cgi-bin/text-idx?SID=9e36aeeb585e15d596d1d968e46579cd&amp;node=se38.1.3_157&amp;rgn=div8" TargetMode="External"/><Relationship Id="rId39" Type="http://schemas.openxmlformats.org/officeDocument/2006/relationships/hyperlink" Target="imi-internal:M21-1MRV.iii.1.A.7" TargetMode="External"/><Relationship Id="rId21" Type="http://schemas.openxmlformats.org/officeDocument/2006/relationships/hyperlink" Target="http://www.ecfr.gov/cgi-bin/text-idx?SID=9e36aeeb585e15d596d1d968e46579cd&amp;node=se38.1.3_131&amp;rgn=div8" TargetMode="External"/><Relationship Id="rId34" Type="http://schemas.openxmlformats.org/officeDocument/2006/relationships/hyperlink" Target="http://www.law.cornell.edu/uscode/html/uscode38/usc_sec_38_00001542----000-.html" TargetMode="External"/><Relationship Id="rId42" Type="http://schemas.openxmlformats.org/officeDocument/2006/relationships/hyperlink" Target="http://www.ecfr.gov/cgi-bin/text-idx?SID=9e36aeeb585e15d596d1d968e46579cd&amp;node=se38.1.3_131&amp;rgn=div8" TargetMode="External"/><Relationship Id="rId47" Type="http://schemas.openxmlformats.org/officeDocument/2006/relationships/hyperlink" Target="http://www.ecfr.gov/cgi-bin/text-idx?SID=9e36aeeb585e15d596d1d968e46579cd&amp;node=se38.1.3_1271&amp;rgn=div8" TargetMode="External"/><Relationship Id="rId50" Type="http://schemas.openxmlformats.org/officeDocument/2006/relationships/hyperlink" Target="http://www.ecfr.gov/cgi-bin/text-idx?SID=9e36aeeb585e15d596d1d968e46579cd&amp;node=se38.1.3_1106&amp;rgn=div8" TargetMode="External"/><Relationship Id="rId55" Type="http://schemas.openxmlformats.org/officeDocument/2006/relationships/hyperlink" Target="http://www.ecfr.gov/cgi-bin/text-idx?SID=9608af361e54e8b20073f42918f4a4cd&amp;node=pt38.1.3&amp;rgn=div5" TargetMode="External"/><Relationship Id="rId63"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www.ecfr.gov/cgi-bin/text-idx?SID=9e36aeeb585e15d596d1d968e46579cd&amp;node=se38.1.3_123&amp;rgn=div8" TargetMode="External"/><Relationship Id="rId20" Type="http://schemas.openxmlformats.org/officeDocument/2006/relationships/hyperlink" Target="http://www.benefits.va.gov/warms/M21_1.asp" TargetMode="External"/><Relationship Id="rId29" Type="http://schemas.openxmlformats.org/officeDocument/2006/relationships/hyperlink" Target="http://www.ecfr.gov/cgi-bin/text-idx?SID=9e36aeeb585e15d596d1d968e46579cd&amp;node=se38.1.3_157&amp;rgn=div8" TargetMode="External"/><Relationship Id="rId41" Type="http://schemas.openxmlformats.org/officeDocument/2006/relationships/hyperlink" Target="http://www.ecfr.gov/cgi-bin/text-idx?SID=9608af361e54e8b20073f42918f4a4cd&amp;node=pt38.1.3&amp;rgn=div5" TargetMode="External"/><Relationship Id="rId54" Type="http://schemas.openxmlformats.org/officeDocument/2006/relationships/hyperlink" Target="http://www.ecfr.gov/cgi-bin/text-idx?SID=9608af361e54e8b20073f42918f4a4cd&amp;node=pt38.1.3&amp;rgn=div5" TargetMode="External"/><Relationship Id="rId62"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www.ecfr.gov/cgi-bin/text-idx?SID=9e36aeeb585e15d596d1d968e46579cd&amp;node=se38.1.3_157&amp;rgn=div8" TargetMode="External"/><Relationship Id="rId32" Type="http://schemas.openxmlformats.org/officeDocument/2006/relationships/hyperlink" Target="http://www.ecfr.gov/cgi-bin/text-idx?SID=9e36aeeb585e15d596d1d968e46579cd&amp;node=se38.1.3_157&amp;rgn=div8" TargetMode="External"/><Relationship Id="rId37" Type="http://schemas.openxmlformats.org/officeDocument/2006/relationships/hyperlink" Target="http://www.warms.vba.va.gov/regs/38CFR/BOOKB/PART3/S3_271.DOC" TargetMode="External"/><Relationship Id="rId40" Type="http://schemas.openxmlformats.org/officeDocument/2006/relationships/hyperlink" Target="http://www.ecfr.gov/cgi-bin/text-idx?SID=9608af361e54e8b20073f42918f4a4cd&amp;node=pt38.1.3&amp;rgn=div5" TargetMode="External"/><Relationship Id="rId45" Type="http://schemas.openxmlformats.org/officeDocument/2006/relationships/hyperlink" Target="http://www.ecfr.gov/cgi-bin/text-idx?SID=9e36aeeb585e15d596d1d968e46579cd&amp;node=se38.1.3_131&amp;rgn=div8" TargetMode="External"/><Relationship Id="rId53" Type="http://schemas.openxmlformats.org/officeDocument/2006/relationships/hyperlink" Target="http://www.ecfr.gov/cgi-bin/text-idx?SID=9608af361e54e8b20073f42918f4a4cd&amp;node=pt38.1.3&amp;rgn=div5" TargetMode="External"/><Relationship Id="rId58" Type="http://schemas.openxmlformats.org/officeDocument/2006/relationships/hyperlink" Target="http://www.ecfr.gov/cgi-bin/text-idx?SID=c9a1194b7c24a11e12ad84accb509171&amp;node=se38.1.3_1660&amp;rgn=div8" TargetMode="External"/><Relationship Id="rId5" Type="http://schemas.openxmlformats.org/officeDocument/2006/relationships/customXml" Target="../customXml/item4.xml"/><Relationship Id="rId15" Type="http://schemas.openxmlformats.org/officeDocument/2006/relationships/hyperlink" Target="http://www.ecfr.gov/cgi-bin/text-idx?SID=9e36aeeb585e15d596d1d968e46579cd&amp;node=se38.1.3_130&amp;rgn=div8" TargetMode="External"/><Relationship Id="rId23" Type="http://schemas.openxmlformats.org/officeDocument/2006/relationships/hyperlink" Target="http://www.ecfr.gov/cgi-bin/text-idx?SID=9e36aeeb585e15d596d1d968e46579cd&amp;node=se38.1.3_124&amp;rgn=div8" TargetMode="External"/><Relationship Id="rId28" Type="http://schemas.openxmlformats.org/officeDocument/2006/relationships/hyperlink" Target="imi-internal:M21-1MRIII.iii.5.J" TargetMode="External"/><Relationship Id="rId36" Type="http://schemas.openxmlformats.org/officeDocument/2006/relationships/hyperlink" Target="hhttp://www.ecfr.gov/cgi-bin/text-idx?SID=9608af361e54e8b20073f42918f4a4cd&amp;node=pt38.1.3&amp;rgn=div5" TargetMode="External"/><Relationship Id="rId49" Type="http://schemas.openxmlformats.org/officeDocument/2006/relationships/hyperlink" Target="http://www.ecfr.gov/cgi-bin/text-idx?SID=9e36aeeb585e15d596d1d968e46579cd&amp;node=se38.1.3_1400&amp;rgn=div8" TargetMode="External"/><Relationship Id="rId57" Type="http://schemas.openxmlformats.org/officeDocument/2006/relationships/hyperlink" Target="http://www.ecfr.gov/cgi-bin/text-idx?SID=c9a1194b7c24a11e12ad84accb509171&amp;node=se38.1.3_1660&amp;rgn=div8" TargetMode="External"/><Relationship Id="rId61"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va.gov/ogc/opinions/1990precedentopinions.asp" TargetMode="External"/><Relationship Id="rId31" Type="http://schemas.openxmlformats.org/officeDocument/2006/relationships/hyperlink" Target="http://www.ecfr.gov/cgi-bin/text-idx?SID=9e36aeeb585e15d596d1d968e46579cd&amp;node=se38.1.3_124&amp;rgn=div8" TargetMode="External"/><Relationship Id="rId44" Type="http://schemas.openxmlformats.org/officeDocument/2006/relationships/hyperlink" Target="http://www.ecfr.gov/cgi-bin/text-idx?SID=9e36aeeb585e15d596d1d968e46579cd&amp;node=se38.1.3_131&amp;rgn=div8" TargetMode="External"/><Relationship Id="rId52" Type="http://schemas.openxmlformats.org/officeDocument/2006/relationships/hyperlink" Target="imi-internal:M21-1MRV.iii.1.E.32.e"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benefits.va.gov/warms/M21_1.asp" TargetMode="External"/><Relationship Id="rId22" Type="http://schemas.openxmlformats.org/officeDocument/2006/relationships/hyperlink" Target="http://www.ecfr.gov/cgi-bin/text-idx?SID=9e36aeeb585e15d596d1d968e46579cd&amp;node=se38.1.3_157&amp;rgn=div8" TargetMode="External"/><Relationship Id="rId27" Type="http://schemas.openxmlformats.org/officeDocument/2006/relationships/hyperlink" Target="http://www.ecfr.gov/cgi-bin/text-idx?SID=9e36aeeb585e15d596d1d968e46579cd&amp;node=se38.1.3_157&amp;rgn=div8" TargetMode="External"/><Relationship Id="rId30" Type="http://schemas.openxmlformats.org/officeDocument/2006/relationships/hyperlink" Target="http://warms.vba.va.gov/M21_1.html" TargetMode="External"/><Relationship Id="rId35" Type="http://schemas.openxmlformats.org/officeDocument/2006/relationships/hyperlink" Target="http://www.ecfr.gov/cgi-bin/text-idx?SID=9e36aeeb585e15d596d1d968e46579cd&amp;node=se38.1.3_124&amp;rgn=div8" TargetMode="External"/><Relationship Id="rId43" Type="http://schemas.openxmlformats.org/officeDocument/2006/relationships/hyperlink" Target="http://www.ecfr.gov/cgi-bin/text-idx?SID=9e36aeeb585e15d596d1d968e46579cd&amp;node=se38.1.3_1271&amp;rgn=div8" TargetMode="External"/><Relationship Id="rId48" Type="http://schemas.openxmlformats.org/officeDocument/2006/relationships/hyperlink" Target="http://www.ecfr.gov/cgi-bin/text-idx?SID=9e36aeeb585e15d596d1d968e46579cd&amp;node=se38.1.3_1271&amp;rgn=div8" TargetMode="External"/><Relationship Id="rId56" Type="http://schemas.openxmlformats.org/officeDocument/2006/relationships/hyperlink" Target="http://www.va.gov/ogc/docs/1989/PREC_2-89.doc"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ecfr.gov/cgi-bin/text-idx?SID=9608af361e54e8b20073f42918f4a4cd&amp;node=pt38.1.3&amp;rgn=div5" TargetMode="Externa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ecfr.gov/cgi-bin/text-idx?SID=9e36aeeb585e15d596d1d968e46579cd&amp;node=se38.1.3_124&amp;rgn=div8" TargetMode="External"/><Relationship Id="rId25" Type="http://schemas.openxmlformats.org/officeDocument/2006/relationships/hyperlink" Target="http://www.ecfr.gov/cgi-bin/text-idx?SID=9e36aeeb585e15d596d1d968e46579cd&amp;node=se38.1.3_157&amp;rgn=div8" TargetMode="External"/><Relationship Id="rId33" Type="http://schemas.openxmlformats.org/officeDocument/2006/relationships/hyperlink" Target="http://vbaw.vba.va.gov/bl/21/Systems/awards.htm" TargetMode="External"/><Relationship Id="rId38" Type="http://schemas.openxmlformats.org/officeDocument/2006/relationships/hyperlink" Target="http://www.ecfr.gov/cgi-bin/text-idx?SID=9608af361e54e8b20073f42918f4a4cd&amp;node=pt38.1.3&amp;rgn=div5" TargetMode="External"/><Relationship Id="rId46" Type="http://schemas.openxmlformats.org/officeDocument/2006/relationships/hyperlink" Target="http://www.ecfr.gov/cgi-bin/text-idx?SID=9e36aeeb585e15d596d1d968e46579cd&amp;node=se38.1.3_1660&amp;rgn=div8" TargetMode="External"/><Relationship Id="rId59" Type="http://schemas.openxmlformats.org/officeDocument/2006/relationships/hyperlink" Target="imi-internal:M21-1MRV.iii.1.A.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2D25-EDC6-4B60-94EE-36FBD9CC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A138F-3CC5-46B9-9499-237E6EDA3947}">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b438dcf7-3998-4283-b7fc-0ec6fa8e430f"/>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13DA88-8E3B-452A-BAE0-81E0A8587A67}">
  <ds:schemaRefs>
    <ds:schemaRef ds:uri="http://schemas.microsoft.com/sharepoint/v3/contenttype/forms"/>
  </ds:schemaRefs>
</ds:datastoreItem>
</file>

<file path=customXml/itemProps4.xml><?xml version="1.0" encoding="utf-8"?>
<ds:datastoreItem xmlns:ds="http://schemas.openxmlformats.org/officeDocument/2006/customXml" ds:itemID="{145A5286-E8EC-4427-862E-8199003E9BF8}">
  <ds:schemaRefs>
    <ds:schemaRef ds:uri="http://schemas.microsoft.com/office/2006/metadata/longProperties"/>
  </ds:schemaRefs>
</ds:datastoreItem>
</file>

<file path=customXml/itemProps5.xml><?xml version="1.0" encoding="utf-8"?>
<ds:datastoreItem xmlns:ds="http://schemas.openxmlformats.org/officeDocument/2006/customXml" ds:itemID="{01CCDDDA-BFFD-450D-84D0-7413B5C4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685</TotalTime>
  <Pages>29</Pages>
  <Words>7909</Words>
  <Characters>46615</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54416</CharactersWithSpaces>
  <SharedDoc>false</SharedDoc>
  <HLinks>
    <vt:vector size="342" baseType="variant">
      <vt:variant>
        <vt:i4>7143545</vt:i4>
      </vt:variant>
      <vt:variant>
        <vt:i4>183</vt:i4>
      </vt:variant>
      <vt:variant>
        <vt:i4>0</vt:i4>
      </vt:variant>
      <vt:variant>
        <vt:i4>5</vt:i4>
      </vt:variant>
      <vt:variant>
        <vt:lpwstr>imi-internal:M21-1MRV.iii.1.E.36.d</vt:lpwstr>
      </vt:variant>
      <vt:variant>
        <vt:lpwstr/>
      </vt:variant>
      <vt:variant>
        <vt:i4>7995443</vt:i4>
      </vt:variant>
      <vt:variant>
        <vt:i4>174</vt:i4>
      </vt:variant>
      <vt:variant>
        <vt:i4>0</vt:i4>
      </vt:variant>
      <vt:variant>
        <vt:i4>5</vt:i4>
      </vt:variant>
      <vt:variant>
        <vt:lpwstr>http://vbaw.vba.va.gov/bl/21/Systems/awards.htm</vt:lpwstr>
      </vt:variant>
      <vt:variant>
        <vt:lpwstr/>
      </vt:variant>
      <vt:variant>
        <vt:i4>6488133</vt:i4>
      </vt:variant>
      <vt:variant>
        <vt:i4>171</vt:i4>
      </vt:variant>
      <vt:variant>
        <vt:i4>0</vt:i4>
      </vt:variant>
      <vt:variant>
        <vt:i4>5</vt:i4>
      </vt:variant>
      <vt:variant>
        <vt:lpwstr>http://www.warms.vba.va.gov/regs/38CFR/BOOKB/PART3/S3_660.DOC</vt:lpwstr>
      </vt:variant>
      <vt:variant>
        <vt:lpwstr/>
      </vt:variant>
      <vt:variant>
        <vt:i4>4128864</vt:i4>
      </vt:variant>
      <vt:variant>
        <vt:i4>168</vt:i4>
      </vt:variant>
      <vt:variant>
        <vt:i4>0</vt:i4>
      </vt:variant>
      <vt:variant>
        <vt:i4>5</vt:i4>
      </vt:variant>
      <vt:variant>
        <vt:lpwstr>imi-internal:M21-1MRV.iii.1.A.5</vt:lpwstr>
      </vt:variant>
      <vt:variant>
        <vt:lpwstr/>
      </vt:variant>
      <vt:variant>
        <vt:i4>6619137</vt:i4>
      </vt:variant>
      <vt:variant>
        <vt:i4>165</vt:i4>
      </vt:variant>
      <vt:variant>
        <vt:i4>0</vt:i4>
      </vt:variant>
      <vt:variant>
        <vt:i4>5</vt:i4>
      </vt:variant>
      <vt:variant>
        <vt:lpwstr>http://www.ecfr.gov/cgi-bin/text-idx?SID=c9a1194b7c24a11e12ad84accb509171&amp;node=se38.1.3_1660&amp;rgn=div8</vt:lpwstr>
      </vt:variant>
      <vt:variant>
        <vt:lpwstr/>
      </vt:variant>
      <vt:variant>
        <vt:i4>6619137</vt:i4>
      </vt:variant>
      <vt:variant>
        <vt:i4>162</vt:i4>
      </vt:variant>
      <vt:variant>
        <vt:i4>0</vt:i4>
      </vt:variant>
      <vt:variant>
        <vt:i4>5</vt:i4>
      </vt:variant>
      <vt:variant>
        <vt:lpwstr>http://www.ecfr.gov/cgi-bin/text-idx?SID=c9a1194b7c24a11e12ad84accb509171&amp;node=se38.1.3_1660&amp;rgn=div8</vt:lpwstr>
      </vt:variant>
      <vt:variant>
        <vt:lpwstr/>
      </vt:variant>
      <vt:variant>
        <vt:i4>1769534</vt:i4>
      </vt:variant>
      <vt:variant>
        <vt:i4>159</vt:i4>
      </vt:variant>
      <vt:variant>
        <vt:i4>0</vt:i4>
      </vt:variant>
      <vt:variant>
        <vt:i4>5</vt:i4>
      </vt:variant>
      <vt:variant>
        <vt:lpwstr>http://www.va.gov/ogc/docs/1989/PREC_2-89.doc</vt:lpwstr>
      </vt:variant>
      <vt:variant>
        <vt:lpwstr/>
      </vt:variant>
      <vt:variant>
        <vt:i4>1245300</vt:i4>
      </vt:variant>
      <vt:variant>
        <vt:i4>156</vt:i4>
      </vt:variant>
      <vt:variant>
        <vt:i4>0</vt:i4>
      </vt:variant>
      <vt:variant>
        <vt:i4>5</vt:i4>
      </vt:variant>
      <vt:variant>
        <vt:lpwstr>http://www.ecfr.gov/cgi-bin/text-idx?SID=9608af361e54e8b20073f42918f4a4cd&amp;node=pt38.1.3&amp;rgn=div5</vt:lpwstr>
      </vt:variant>
      <vt:variant>
        <vt:lpwstr>se38.1.3_131</vt:lpwstr>
      </vt:variant>
      <vt:variant>
        <vt:i4>1179765</vt:i4>
      </vt:variant>
      <vt:variant>
        <vt:i4>153</vt:i4>
      </vt:variant>
      <vt:variant>
        <vt:i4>0</vt:i4>
      </vt:variant>
      <vt:variant>
        <vt:i4>5</vt:i4>
      </vt:variant>
      <vt:variant>
        <vt:lpwstr>http://www.ecfr.gov/cgi-bin/text-idx?SID=9608af361e54e8b20073f42918f4a4cd&amp;node=pt38.1.3&amp;rgn=div5</vt:lpwstr>
      </vt:variant>
      <vt:variant>
        <vt:lpwstr>se38.1.3_120</vt:lpwstr>
      </vt:variant>
      <vt:variant>
        <vt:i4>1245300</vt:i4>
      </vt:variant>
      <vt:variant>
        <vt:i4>150</vt:i4>
      </vt:variant>
      <vt:variant>
        <vt:i4>0</vt:i4>
      </vt:variant>
      <vt:variant>
        <vt:i4>5</vt:i4>
      </vt:variant>
      <vt:variant>
        <vt:lpwstr>http://www.ecfr.gov/cgi-bin/text-idx?SID=9608af361e54e8b20073f42918f4a4cd&amp;node=pt38.1.3&amp;rgn=div5</vt:lpwstr>
      </vt:variant>
      <vt:variant>
        <vt:lpwstr>se38.1.3_131</vt:lpwstr>
      </vt:variant>
      <vt:variant>
        <vt:i4>6815865</vt:i4>
      </vt:variant>
      <vt:variant>
        <vt:i4>147</vt:i4>
      </vt:variant>
      <vt:variant>
        <vt:i4>0</vt:i4>
      </vt:variant>
      <vt:variant>
        <vt:i4>5</vt:i4>
      </vt:variant>
      <vt:variant>
        <vt:lpwstr>imi-internal:M21-1MRV.iii.1.E.32.e</vt:lpwstr>
      </vt:variant>
      <vt:variant>
        <vt:lpwstr/>
      </vt:variant>
      <vt:variant>
        <vt:i4>1179765</vt:i4>
      </vt:variant>
      <vt:variant>
        <vt:i4>144</vt:i4>
      </vt:variant>
      <vt:variant>
        <vt:i4>0</vt:i4>
      </vt:variant>
      <vt:variant>
        <vt:i4>5</vt:i4>
      </vt:variant>
      <vt:variant>
        <vt:lpwstr>http://www.ecfr.gov/cgi-bin/text-idx?SID=9608af361e54e8b20073f42918f4a4cd&amp;node=pt38.1.3&amp;rgn=div5</vt:lpwstr>
      </vt:variant>
      <vt:variant>
        <vt:lpwstr>se38.1.3_120</vt:lpwstr>
      </vt:variant>
      <vt:variant>
        <vt:i4>3407959</vt:i4>
      </vt:variant>
      <vt:variant>
        <vt:i4>141</vt:i4>
      </vt:variant>
      <vt:variant>
        <vt:i4>0</vt:i4>
      </vt:variant>
      <vt:variant>
        <vt:i4>5</vt:i4>
      </vt:variant>
      <vt:variant>
        <vt:lpwstr>http://www.ecfr.gov/cgi-bin/text-idx?SID=9e36aeeb585e15d596d1d968e46579cd&amp;node=se38.1.3_1106&amp;rgn=div8</vt:lpwstr>
      </vt:variant>
      <vt:variant>
        <vt:lpwstr/>
      </vt:variant>
      <vt:variant>
        <vt:i4>3604567</vt:i4>
      </vt:variant>
      <vt:variant>
        <vt:i4>138</vt:i4>
      </vt:variant>
      <vt:variant>
        <vt:i4>0</vt:i4>
      </vt:variant>
      <vt:variant>
        <vt:i4>5</vt:i4>
      </vt:variant>
      <vt:variant>
        <vt:lpwstr>http://www.ecfr.gov/cgi-bin/text-idx?SID=9e36aeeb585e15d596d1d968e46579cd&amp;node=se38.1.3_1400&amp;rgn=div8</vt:lpwstr>
      </vt:variant>
      <vt:variant>
        <vt:lpwstr/>
      </vt:variant>
      <vt:variant>
        <vt:i4>3145808</vt:i4>
      </vt:variant>
      <vt:variant>
        <vt:i4>135</vt:i4>
      </vt:variant>
      <vt:variant>
        <vt:i4>0</vt:i4>
      </vt:variant>
      <vt:variant>
        <vt:i4>5</vt:i4>
      </vt:variant>
      <vt:variant>
        <vt:lpwstr>http://www.ecfr.gov/cgi-bin/text-idx?SID=9e36aeeb585e15d596d1d968e46579cd&amp;node=se38.1.3_1271&amp;rgn=div8</vt:lpwstr>
      </vt:variant>
      <vt:variant>
        <vt:lpwstr/>
      </vt:variant>
      <vt:variant>
        <vt:i4>3145808</vt:i4>
      </vt:variant>
      <vt:variant>
        <vt:i4>132</vt:i4>
      </vt:variant>
      <vt:variant>
        <vt:i4>0</vt:i4>
      </vt:variant>
      <vt:variant>
        <vt:i4>5</vt:i4>
      </vt:variant>
      <vt:variant>
        <vt:lpwstr>http://www.ecfr.gov/cgi-bin/text-idx?SID=9e36aeeb585e15d596d1d968e46579cd&amp;node=se38.1.3_1271&amp;rgn=div8</vt:lpwstr>
      </vt:variant>
      <vt:variant>
        <vt:lpwstr/>
      </vt:variant>
      <vt:variant>
        <vt:i4>3473489</vt:i4>
      </vt:variant>
      <vt:variant>
        <vt:i4>129</vt:i4>
      </vt:variant>
      <vt:variant>
        <vt:i4>0</vt:i4>
      </vt:variant>
      <vt:variant>
        <vt:i4>5</vt:i4>
      </vt:variant>
      <vt:variant>
        <vt:lpwstr>http://www.ecfr.gov/cgi-bin/text-idx?SID=9e36aeeb585e15d596d1d968e46579cd&amp;node=se38.1.3_1660&amp;rgn=div8</vt:lpwstr>
      </vt:variant>
      <vt:variant>
        <vt:lpwstr/>
      </vt:variant>
      <vt:variant>
        <vt:i4>2293837</vt:i4>
      </vt:variant>
      <vt:variant>
        <vt:i4>126</vt:i4>
      </vt:variant>
      <vt:variant>
        <vt:i4>0</vt:i4>
      </vt:variant>
      <vt:variant>
        <vt:i4>5</vt:i4>
      </vt:variant>
      <vt:variant>
        <vt:lpwstr>http://www.ecfr.gov/cgi-bin/text-idx?SID=9e36aeeb585e15d596d1d968e46579cd&amp;node=se38.1.3_131&amp;rgn=div8</vt:lpwstr>
      </vt:variant>
      <vt:variant>
        <vt:lpwstr/>
      </vt:variant>
      <vt:variant>
        <vt:i4>2293837</vt:i4>
      </vt:variant>
      <vt:variant>
        <vt:i4>123</vt:i4>
      </vt:variant>
      <vt:variant>
        <vt:i4>0</vt:i4>
      </vt:variant>
      <vt:variant>
        <vt:i4>5</vt:i4>
      </vt:variant>
      <vt:variant>
        <vt:lpwstr>http://www.ecfr.gov/cgi-bin/text-idx?SID=9e36aeeb585e15d596d1d968e46579cd&amp;node=se38.1.3_131&amp;rgn=div8</vt:lpwstr>
      </vt:variant>
      <vt:variant>
        <vt:lpwstr/>
      </vt:variant>
      <vt:variant>
        <vt:i4>3145808</vt:i4>
      </vt:variant>
      <vt:variant>
        <vt:i4>120</vt:i4>
      </vt:variant>
      <vt:variant>
        <vt:i4>0</vt:i4>
      </vt:variant>
      <vt:variant>
        <vt:i4>5</vt:i4>
      </vt:variant>
      <vt:variant>
        <vt:lpwstr>http://www.ecfr.gov/cgi-bin/text-idx?SID=9e36aeeb585e15d596d1d968e46579cd&amp;node=se38.1.3_1271&amp;rgn=div8</vt:lpwstr>
      </vt:variant>
      <vt:variant>
        <vt:lpwstr/>
      </vt:variant>
      <vt:variant>
        <vt:i4>2293837</vt:i4>
      </vt:variant>
      <vt:variant>
        <vt:i4>117</vt:i4>
      </vt:variant>
      <vt:variant>
        <vt:i4>0</vt:i4>
      </vt:variant>
      <vt:variant>
        <vt:i4>5</vt:i4>
      </vt:variant>
      <vt:variant>
        <vt:lpwstr>http://www.ecfr.gov/cgi-bin/text-idx?SID=9e36aeeb585e15d596d1d968e46579cd&amp;node=se38.1.3_131&amp;rgn=div8</vt:lpwstr>
      </vt:variant>
      <vt:variant>
        <vt:lpwstr/>
      </vt:variant>
      <vt:variant>
        <vt:i4>1245300</vt:i4>
      </vt:variant>
      <vt:variant>
        <vt:i4>114</vt:i4>
      </vt:variant>
      <vt:variant>
        <vt:i4>0</vt:i4>
      </vt:variant>
      <vt:variant>
        <vt:i4>5</vt:i4>
      </vt:variant>
      <vt:variant>
        <vt:lpwstr>http://www.ecfr.gov/cgi-bin/text-idx?SID=9608af361e54e8b20073f42918f4a4cd&amp;node=pt38.1.3&amp;rgn=div5</vt:lpwstr>
      </vt:variant>
      <vt:variant>
        <vt:lpwstr>se38.1.3_131</vt:lpwstr>
      </vt:variant>
      <vt:variant>
        <vt:i4>1245300</vt:i4>
      </vt:variant>
      <vt:variant>
        <vt:i4>111</vt:i4>
      </vt:variant>
      <vt:variant>
        <vt:i4>0</vt:i4>
      </vt:variant>
      <vt:variant>
        <vt:i4>5</vt:i4>
      </vt:variant>
      <vt:variant>
        <vt:lpwstr>http://www.ecfr.gov/cgi-bin/text-idx?SID=9608af361e54e8b20073f42918f4a4cd&amp;node=pt38.1.3&amp;rgn=div5</vt:lpwstr>
      </vt:variant>
      <vt:variant>
        <vt:lpwstr>se38.1.3_131</vt:lpwstr>
      </vt:variant>
      <vt:variant>
        <vt:i4>4128864</vt:i4>
      </vt:variant>
      <vt:variant>
        <vt:i4>108</vt:i4>
      </vt:variant>
      <vt:variant>
        <vt:i4>0</vt:i4>
      </vt:variant>
      <vt:variant>
        <vt:i4>5</vt:i4>
      </vt:variant>
      <vt:variant>
        <vt:lpwstr>imi-internal:M21-1MRV.iii.1.A.7</vt:lpwstr>
      </vt:variant>
      <vt:variant>
        <vt:lpwstr/>
      </vt:variant>
      <vt:variant>
        <vt:i4>1245300</vt:i4>
      </vt:variant>
      <vt:variant>
        <vt:i4>105</vt:i4>
      </vt:variant>
      <vt:variant>
        <vt:i4>0</vt:i4>
      </vt:variant>
      <vt:variant>
        <vt:i4>5</vt:i4>
      </vt:variant>
      <vt:variant>
        <vt:lpwstr>http://www.ecfr.gov/cgi-bin/text-idx?SID=9608af361e54e8b20073f42918f4a4cd&amp;node=pt38.1.3&amp;rgn=div5</vt:lpwstr>
      </vt:variant>
      <vt:variant>
        <vt:lpwstr>se38.1.3_131</vt:lpwstr>
      </vt:variant>
      <vt:variant>
        <vt:i4>6553721</vt:i4>
      </vt:variant>
      <vt:variant>
        <vt:i4>102</vt:i4>
      </vt:variant>
      <vt:variant>
        <vt:i4>0</vt:i4>
      </vt:variant>
      <vt:variant>
        <vt:i4>5</vt:i4>
      </vt:variant>
      <vt:variant>
        <vt:lpwstr>imi-internal:M21-1MRV.iii.1.E.33.h</vt:lpwstr>
      </vt:variant>
      <vt:variant>
        <vt:lpwstr/>
      </vt:variant>
      <vt:variant>
        <vt:i4>7012473</vt:i4>
      </vt:variant>
      <vt:variant>
        <vt:i4>99</vt:i4>
      </vt:variant>
      <vt:variant>
        <vt:i4>0</vt:i4>
      </vt:variant>
      <vt:variant>
        <vt:i4>5</vt:i4>
      </vt:variant>
      <vt:variant>
        <vt:lpwstr>imi-internal:M21-1MRV.iii.1.E.33.g</vt:lpwstr>
      </vt:variant>
      <vt:variant>
        <vt:lpwstr/>
      </vt:variant>
      <vt:variant>
        <vt:i4>6946937</vt:i4>
      </vt:variant>
      <vt:variant>
        <vt:i4>96</vt:i4>
      </vt:variant>
      <vt:variant>
        <vt:i4>0</vt:i4>
      </vt:variant>
      <vt:variant>
        <vt:i4>5</vt:i4>
      </vt:variant>
      <vt:variant>
        <vt:lpwstr>imi-internal:M21-1MRV.iii.1.E.33.f</vt:lpwstr>
      </vt:variant>
      <vt:variant>
        <vt:lpwstr/>
      </vt:variant>
      <vt:variant>
        <vt:i4>1376373</vt:i4>
      </vt:variant>
      <vt:variant>
        <vt:i4>93</vt:i4>
      </vt:variant>
      <vt:variant>
        <vt:i4>0</vt:i4>
      </vt:variant>
      <vt:variant>
        <vt:i4>5</vt:i4>
      </vt:variant>
      <vt:variant>
        <vt:lpwstr>http://www.ecfr.gov/cgi-bin/text-idx?SID=9608af361e54e8b20073f42918f4a4cd&amp;node=pt38.1.3&amp;rgn=div5</vt:lpwstr>
      </vt:variant>
      <vt:variant>
        <vt:lpwstr>se38.1.3_1271</vt:lpwstr>
      </vt:variant>
      <vt:variant>
        <vt:i4>65595</vt:i4>
      </vt:variant>
      <vt:variant>
        <vt:i4>90</vt:i4>
      </vt:variant>
      <vt:variant>
        <vt:i4>0</vt:i4>
      </vt:variant>
      <vt:variant>
        <vt:i4>5</vt:i4>
      </vt:variant>
      <vt:variant>
        <vt:lpwstr>hhttp://www.ecfr.gov/cgi-bin/text-idx?SID=9608af361e54e8b20073f42918f4a4cd&amp;node=pt38.1.3&amp;rgn=div5</vt:lpwstr>
      </vt:variant>
      <vt:variant>
        <vt:lpwstr>se38.1.3_157</vt:lpwstr>
      </vt:variant>
      <vt:variant>
        <vt:i4>2228296</vt:i4>
      </vt:variant>
      <vt:variant>
        <vt:i4>87</vt:i4>
      </vt:variant>
      <vt:variant>
        <vt:i4>0</vt:i4>
      </vt:variant>
      <vt:variant>
        <vt:i4>5</vt:i4>
      </vt:variant>
      <vt:variant>
        <vt:lpwstr>http://www.ecfr.gov/cgi-bin/text-idx?SID=9e36aeeb585e15d596d1d968e46579cd&amp;node=se38.1.3_124&amp;rgn=div8</vt:lpwstr>
      </vt:variant>
      <vt:variant>
        <vt:lpwstr/>
      </vt:variant>
      <vt:variant>
        <vt:i4>917616</vt:i4>
      </vt:variant>
      <vt:variant>
        <vt:i4>84</vt:i4>
      </vt:variant>
      <vt:variant>
        <vt:i4>0</vt:i4>
      </vt:variant>
      <vt:variant>
        <vt:i4>5</vt:i4>
      </vt:variant>
      <vt:variant>
        <vt:lpwstr>http://www.law.cornell.edu/uscode/html/uscode38/usc_sec_38_00001542----000-.html</vt:lpwstr>
      </vt:variant>
      <vt:variant>
        <vt:lpwstr/>
      </vt:variant>
      <vt:variant>
        <vt:i4>7995443</vt:i4>
      </vt:variant>
      <vt:variant>
        <vt:i4>81</vt:i4>
      </vt:variant>
      <vt:variant>
        <vt:i4>0</vt:i4>
      </vt:variant>
      <vt:variant>
        <vt:i4>5</vt:i4>
      </vt:variant>
      <vt:variant>
        <vt:lpwstr>http://vbaw.vba.va.gov/bl/21/Systems/awards.htm</vt:lpwstr>
      </vt:variant>
      <vt:variant>
        <vt:lpwstr/>
      </vt:variant>
      <vt:variant>
        <vt:i4>2424907</vt:i4>
      </vt:variant>
      <vt:variant>
        <vt:i4>78</vt:i4>
      </vt:variant>
      <vt:variant>
        <vt:i4>0</vt:i4>
      </vt:variant>
      <vt:variant>
        <vt:i4>5</vt:i4>
      </vt:variant>
      <vt:variant>
        <vt:lpwstr>http://www.ecfr.gov/cgi-bin/text-idx?SID=9e36aeeb585e15d596d1d968e46579cd&amp;node=se38.1.3_157&amp;rgn=div8</vt:lpwstr>
      </vt:variant>
      <vt:variant>
        <vt:lpwstr/>
      </vt:variant>
      <vt:variant>
        <vt:i4>2228296</vt:i4>
      </vt:variant>
      <vt:variant>
        <vt:i4>75</vt:i4>
      </vt:variant>
      <vt:variant>
        <vt:i4>0</vt:i4>
      </vt:variant>
      <vt:variant>
        <vt:i4>5</vt:i4>
      </vt:variant>
      <vt:variant>
        <vt:lpwstr>http://www.ecfr.gov/cgi-bin/text-idx?SID=9e36aeeb585e15d596d1d968e46579cd&amp;node=se38.1.3_124&amp;rgn=div8</vt:lpwstr>
      </vt:variant>
      <vt:variant>
        <vt:lpwstr/>
      </vt:variant>
      <vt:variant>
        <vt:i4>589951</vt:i4>
      </vt:variant>
      <vt:variant>
        <vt:i4>72</vt:i4>
      </vt:variant>
      <vt:variant>
        <vt:i4>0</vt:i4>
      </vt:variant>
      <vt:variant>
        <vt:i4>5</vt:i4>
      </vt:variant>
      <vt:variant>
        <vt:lpwstr>http://warms.vba.va.gov/M21_1.html</vt:lpwstr>
      </vt:variant>
      <vt:variant>
        <vt:lpwstr/>
      </vt:variant>
      <vt:variant>
        <vt:i4>2424907</vt:i4>
      </vt:variant>
      <vt:variant>
        <vt:i4>69</vt:i4>
      </vt:variant>
      <vt:variant>
        <vt:i4>0</vt:i4>
      </vt:variant>
      <vt:variant>
        <vt:i4>5</vt:i4>
      </vt:variant>
      <vt:variant>
        <vt:lpwstr>http://www.ecfr.gov/cgi-bin/text-idx?SID=9e36aeeb585e15d596d1d968e46579cd&amp;node=se38.1.3_157&amp;rgn=div8</vt:lpwstr>
      </vt:variant>
      <vt:variant>
        <vt:lpwstr/>
      </vt:variant>
      <vt:variant>
        <vt:i4>7864435</vt:i4>
      </vt:variant>
      <vt:variant>
        <vt:i4>66</vt:i4>
      </vt:variant>
      <vt:variant>
        <vt:i4>0</vt:i4>
      </vt:variant>
      <vt:variant>
        <vt:i4>5</vt:i4>
      </vt:variant>
      <vt:variant>
        <vt:lpwstr>imi-internal:M21-1MRIII.iii.5.J</vt:lpwstr>
      </vt:variant>
      <vt:variant>
        <vt:lpwstr/>
      </vt:variant>
      <vt:variant>
        <vt:i4>2424907</vt:i4>
      </vt:variant>
      <vt:variant>
        <vt:i4>63</vt:i4>
      </vt:variant>
      <vt:variant>
        <vt:i4>0</vt:i4>
      </vt:variant>
      <vt:variant>
        <vt:i4>5</vt:i4>
      </vt:variant>
      <vt:variant>
        <vt:lpwstr>http://www.ecfr.gov/cgi-bin/text-idx?SID=9e36aeeb585e15d596d1d968e46579cd&amp;node=se38.1.3_157&amp;rgn=div8</vt:lpwstr>
      </vt:variant>
      <vt:variant>
        <vt:lpwstr/>
      </vt:variant>
      <vt:variant>
        <vt:i4>2424907</vt:i4>
      </vt:variant>
      <vt:variant>
        <vt:i4>60</vt:i4>
      </vt:variant>
      <vt:variant>
        <vt:i4>0</vt:i4>
      </vt:variant>
      <vt:variant>
        <vt:i4>5</vt:i4>
      </vt:variant>
      <vt:variant>
        <vt:lpwstr>http://www.ecfr.gov/cgi-bin/text-idx?SID=9e36aeeb585e15d596d1d968e46579cd&amp;node=se38.1.3_157&amp;rgn=div8</vt:lpwstr>
      </vt:variant>
      <vt:variant>
        <vt:lpwstr/>
      </vt:variant>
      <vt:variant>
        <vt:i4>2424907</vt:i4>
      </vt:variant>
      <vt:variant>
        <vt:i4>57</vt:i4>
      </vt:variant>
      <vt:variant>
        <vt:i4>0</vt:i4>
      </vt:variant>
      <vt:variant>
        <vt:i4>5</vt:i4>
      </vt:variant>
      <vt:variant>
        <vt:lpwstr>http://www.ecfr.gov/cgi-bin/text-idx?SID=9e36aeeb585e15d596d1d968e46579cd&amp;node=se38.1.3_157&amp;rgn=div8</vt:lpwstr>
      </vt:variant>
      <vt:variant>
        <vt:lpwstr/>
      </vt:variant>
      <vt:variant>
        <vt:i4>2424907</vt:i4>
      </vt:variant>
      <vt:variant>
        <vt:i4>54</vt:i4>
      </vt:variant>
      <vt:variant>
        <vt:i4>0</vt:i4>
      </vt:variant>
      <vt:variant>
        <vt:i4>5</vt:i4>
      </vt:variant>
      <vt:variant>
        <vt:lpwstr>http://www.ecfr.gov/cgi-bin/text-idx?SID=9e36aeeb585e15d596d1d968e46579cd&amp;node=se38.1.3_157&amp;rgn=div8</vt:lpwstr>
      </vt:variant>
      <vt:variant>
        <vt:lpwstr/>
      </vt:variant>
      <vt:variant>
        <vt:i4>2228296</vt:i4>
      </vt:variant>
      <vt:variant>
        <vt:i4>51</vt:i4>
      </vt:variant>
      <vt:variant>
        <vt:i4>0</vt:i4>
      </vt:variant>
      <vt:variant>
        <vt:i4>5</vt:i4>
      </vt:variant>
      <vt:variant>
        <vt:lpwstr>http://www.ecfr.gov/cgi-bin/text-idx?SID=9e36aeeb585e15d596d1d968e46579cd&amp;node=se38.1.3_124&amp;rgn=div8</vt:lpwstr>
      </vt:variant>
      <vt:variant>
        <vt:lpwstr/>
      </vt:variant>
      <vt:variant>
        <vt:i4>2424907</vt:i4>
      </vt:variant>
      <vt:variant>
        <vt:i4>48</vt:i4>
      </vt:variant>
      <vt:variant>
        <vt:i4>0</vt:i4>
      </vt:variant>
      <vt:variant>
        <vt:i4>5</vt:i4>
      </vt:variant>
      <vt:variant>
        <vt:lpwstr>http://www.ecfr.gov/cgi-bin/text-idx?SID=9e36aeeb585e15d596d1d968e46579cd&amp;node=se38.1.3_157&amp;rgn=div8</vt:lpwstr>
      </vt:variant>
      <vt:variant>
        <vt:lpwstr/>
      </vt:variant>
      <vt:variant>
        <vt:i4>2293837</vt:i4>
      </vt:variant>
      <vt:variant>
        <vt:i4>45</vt:i4>
      </vt:variant>
      <vt:variant>
        <vt:i4>0</vt:i4>
      </vt:variant>
      <vt:variant>
        <vt:i4>5</vt:i4>
      </vt:variant>
      <vt:variant>
        <vt:lpwstr>http://www.ecfr.gov/cgi-bin/text-idx?SID=9e36aeeb585e15d596d1d968e46579cd&amp;node=se38.1.3_131&amp;rgn=div8</vt:lpwstr>
      </vt:variant>
      <vt:variant>
        <vt:lpwstr/>
      </vt:variant>
      <vt:variant>
        <vt:i4>6357057</vt:i4>
      </vt:variant>
      <vt:variant>
        <vt:i4>42</vt:i4>
      </vt:variant>
      <vt:variant>
        <vt:i4>0</vt:i4>
      </vt:variant>
      <vt:variant>
        <vt:i4>5</vt:i4>
      </vt:variant>
      <vt:variant>
        <vt:lpwstr>http://www.benefits.va.gov/warms/M21_1.asp</vt:lpwstr>
      </vt:variant>
      <vt:variant>
        <vt:lpwstr/>
      </vt:variant>
      <vt:variant>
        <vt:i4>6357057</vt:i4>
      </vt:variant>
      <vt:variant>
        <vt:i4>39</vt:i4>
      </vt:variant>
      <vt:variant>
        <vt:i4>0</vt:i4>
      </vt:variant>
      <vt:variant>
        <vt:i4>5</vt:i4>
      </vt:variant>
      <vt:variant>
        <vt:lpwstr>http://www.benefits.va.gov/warms/M21_1.asp</vt:lpwstr>
      </vt:variant>
      <vt:variant>
        <vt:lpwstr/>
      </vt:variant>
      <vt:variant>
        <vt:i4>2228303</vt:i4>
      </vt:variant>
      <vt:variant>
        <vt:i4>36</vt:i4>
      </vt:variant>
      <vt:variant>
        <vt:i4>0</vt:i4>
      </vt:variant>
      <vt:variant>
        <vt:i4>5</vt:i4>
      </vt:variant>
      <vt:variant>
        <vt:lpwstr>http://www.ecfr.gov/cgi-bin/text-idx?SID=9e36aeeb585e15d596d1d968e46579cd&amp;node=se38.1.3_123&amp;rgn=div8</vt:lpwstr>
      </vt:variant>
      <vt:variant>
        <vt:lpwstr/>
      </vt:variant>
      <vt:variant>
        <vt:i4>196684</vt:i4>
      </vt:variant>
      <vt:variant>
        <vt:i4>33</vt:i4>
      </vt:variant>
      <vt:variant>
        <vt:i4>0</vt:i4>
      </vt:variant>
      <vt:variant>
        <vt:i4>5</vt:i4>
      </vt:variant>
      <vt:variant>
        <vt:lpwstr>http://www.va.gov/ogc/opinions/1990precedentopinions.asp</vt:lpwstr>
      </vt:variant>
      <vt:variant>
        <vt:lpwstr/>
      </vt:variant>
      <vt:variant>
        <vt:i4>6357057</vt:i4>
      </vt:variant>
      <vt:variant>
        <vt:i4>30</vt:i4>
      </vt:variant>
      <vt:variant>
        <vt:i4>0</vt:i4>
      </vt:variant>
      <vt:variant>
        <vt:i4>5</vt:i4>
      </vt:variant>
      <vt:variant>
        <vt:lpwstr>http://www.benefits.va.gov/warms/M21_1.asp</vt:lpwstr>
      </vt:variant>
      <vt:variant>
        <vt:lpwstr/>
      </vt:variant>
      <vt:variant>
        <vt:i4>2228296</vt:i4>
      </vt:variant>
      <vt:variant>
        <vt:i4>27</vt:i4>
      </vt:variant>
      <vt:variant>
        <vt:i4>0</vt:i4>
      </vt:variant>
      <vt:variant>
        <vt:i4>5</vt:i4>
      </vt:variant>
      <vt:variant>
        <vt:lpwstr>http://www.ecfr.gov/cgi-bin/text-idx?SID=9e36aeeb585e15d596d1d968e46579cd&amp;node=se38.1.3_124&amp;rgn=div8</vt:lpwstr>
      </vt:variant>
      <vt:variant>
        <vt:lpwstr/>
      </vt:variant>
      <vt:variant>
        <vt:i4>2228303</vt:i4>
      </vt:variant>
      <vt:variant>
        <vt:i4>24</vt:i4>
      </vt:variant>
      <vt:variant>
        <vt:i4>0</vt:i4>
      </vt:variant>
      <vt:variant>
        <vt:i4>5</vt:i4>
      </vt:variant>
      <vt:variant>
        <vt:lpwstr>http://www.ecfr.gov/cgi-bin/text-idx?SID=9e36aeeb585e15d596d1d968e46579cd&amp;node=se38.1.3_123&amp;rgn=div8</vt:lpwstr>
      </vt:variant>
      <vt:variant>
        <vt:lpwstr/>
      </vt:variant>
      <vt:variant>
        <vt:i4>2293845</vt:i4>
      </vt:variant>
      <vt:variant>
        <vt:i4>21</vt:i4>
      </vt:variant>
      <vt:variant>
        <vt:i4>0</vt:i4>
      </vt:variant>
      <vt:variant>
        <vt:i4>5</vt:i4>
      </vt:variant>
      <vt:variant>
        <vt:lpwstr>http://www.warms.vba.va.gov/regs/38CFR/BOOKB/PART3/S3_30.DOC</vt:lpwstr>
      </vt:variant>
      <vt:variant>
        <vt:lpwstr/>
      </vt:variant>
      <vt:variant>
        <vt:i4>2293845</vt:i4>
      </vt:variant>
      <vt:variant>
        <vt:i4>15</vt:i4>
      </vt:variant>
      <vt:variant>
        <vt:i4>0</vt:i4>
      </vt:variant>
      <vt:variant>
        <vt:i4>5</vt:i4>
      </vt:variant>
      <vt:variant>
        <vt:lpwstr>http://www.warms.vba.va.gov/regs/38CFR/BOOKB/PART3/S3_30.DOC</vt:lpwstr>
      </vt:variant>
      <vt:variant>
        <vt:lpwstr/>
      </vt:variant>
      <vt:variant>
        <vt:i4>655447</vt:i4>
      </vt:variant>
      <vt:variant>
        <vt:i4>9</vt:i4>
      </vt:variant>
      <vt:variant>
        <vt:i4>0</vt:i4>
      </vt:variant>
      <vt:variant>
        <vt:i4>5</vt:i4>
      </vt:variant>
      <vt:variant>
        <vt:lpwstr>imi-internal:M21-1MRV.iii.1.E.35</vt:lpwstr>
      </vt:variant>
      <vt:variant>
        <vt:lpwstr/>
      </vt:variant>
      <vt:variant>
        <vt:i4>2293836</vt:i4>
      </vt:variant>
      <vt:variant>
        <vt:i4>6</vt:i4>
      </vt:variant>
      <vt:variant>
        <vt:i4>0</vt:i4>
      </vt:variant>
      <vt:variant>
        <vt:i4>5</vt:i4>
      </vt:variant>
      <vt:variant>
        <vt:lpwstr>http://www.ecfr.gov/cgi-bin/text-idx?SID=9e36aeeb585e15d596d1d968e46579cd&amp;node=se38.1.3_130&amp;rgn=div8</vt:lpwstr>
      </vt:variant>
      <vt:variant>
        <vt:lpwstr/>
      </vt:variant>
      <vt:variant>
        <vt:i4>6357057</vt:i4>
      </vt:variant>
      <vt:variant>
        <vt:i4>3</vt:i4>
      </vt:variant>
      <vt:variant>
        <vt:i4>0</vt:i4>
      </vt:variant>
      <vt:variant>
        <vt:i4>5</vt:i4>
      </vt:variant>
      <vt:variant>
        <vt:lpwstr>http://www.benefits.va.gov/warms/M21_1.asp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How VA counts income to calculate Improved Pension rates</dc:subject>
  <dc:creator>Fuhrman, Rachel, VBAMIW</dc:creator>
  <cp:keywords>rate, pension, calculate, improved, recurring, nonrecurring</cp:keywords>
  <cp:lastModifiedBy>Amy Hamma</cp:lastModifiedBy>
  <cp:revision>80</cp:revision>
  <cp:lastPrinted>2011-09-21T13:21:00Z</cp:lastPrinted>
  <dcterms:created xsi:type="dcterms:W3CDTF">2015-05-15T16:06:00Z</dcterms:created>
  <dcterms:modified xsi:type="dcterms:W3CDTF">2015-06-27T15:04:00Z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201109</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