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6D257349" w:rsidR="00504F80" w:rsidRPr="004646F1" w:rsidRDefault="00504F80" w:rsidP="00504F80">
      <w:pPr>
        <w:pStyle w:val="Heading4"/>
        <w:tabs>
          <w:tab w:val="left" w:pos="6840"/>
        </w:tabs>
        <w:spacing w:after="0"/>
        <w:ind w:right="-720"/>
        <w:rPr>
          <w:rFonts w:ascii="Times New Roman" w:hAnsi="Times New Roman"/>
          <w:sz w:val="20"/>
        </w:rPr>
      </w:pPr>
      <w:r w:rsidRPr="004646F1">
        <w:rPr>
          <w:rFonts w:ascii="Times New Roman" w:hAnsi="Times New Roman"/>
          <w:sz w:val="20"/>
        </w:rPr>
        <w:t>Department of Veterans Affairs</w:t>
      </w:r>
      <w:r w:rsidRPr="004646F1">
        <w:rPr>
          <w:rFonts w:ascii="Times New Roman" w:hAnsi="Times New Roman"/>
          <w:sz w:val="20"/>
        </w:rPr>
        <w:tab/>
        <w:t xml:space="preserve">M21-1, Part </w:t>
      </w:r>
      <w:r w:rsidR="00236923" w:rsidRPr="004646F1">
        <w:rPr>
          <w:rFonts w:ascii="Times New Roman" w:hAnsi="Times New Roman"/>
          <w:sz w:val="20"/>
        </w:rPr>
        <w:t>IV</w:t>
      </w:r>
      <w:r w:rsidRPr="004646F1">
        <w:rPr>
          <w:rFonts w:ascii="Times New Roman" w:hAnsi="Times New Roman"/>
          <w:sz w:val="20"/>
        </w:rPr>
        <w:t xml:space="preserve">, Subpart </w:t>
      </w:r>
      <w:r w:rsidR="00945950" w:rsidRPr="004646F1">
        <w:rPr>
          <w:rFonts w:ascii="Times New Roman" w:hAnsi="Times New Roman"/>
          <w:sz w:val="20"/>
        </w:rPr>
        <w:t>i</w:t>
      </w:r>
      <w:r w:rsidRPr="004646F1">
        <w:rPr>
          <w:rFonts w:ascii="Times New Roman" w:hAnsi="Times New Roman"/>
          <w:sz w:val="20"/>
        </w:rPr>
        <w:t>i</w:t>
      </w:r>
    </w:p>
    <w:p w14:paraId="57C64ADF" w14:textId="4F630E63" w:rsidR="00504F80" w:rsidRPr="004646F1" w:rsidRDefault="00504F80" w:rsidP="00504F80">
      <w:pPr>
        <w:rPr>
          <w:b/>
          <w:bCs/>
          <w:sz w:val="20"/>
        </w:rPr>
      </w:pPr>
      <w:r w:rsidRPr="004646F1">
        <w:rPr>
          <w:b/>
          <w:bCs/>
          <w:sz w:val="20"/>
        </w:rPr>
        <w:t>Veterans Benefits Administration</w:t>
      </w:r>
      <w:r w:rsidRPr="004646F1">
        <w:rPr>
          <w:b/>
          <w:bCs/>
          <w:sz w:val="20"/>
        </w:rPr>
        <w:tab/>
      </w:r>
      <w:r w:rsidRPr="004646F1">
        <w:rPr>
          <w:b/>
          <w:bCs/>
          <w:sz w:val="20"/>
        </w:rPr>
        <w:tab/>
      </w:r>
      <w:r w:rsidRPr="004646F1">
        <w:rPr>
          <w:b/>
          <w:bCs/>
          <w:sz w:val="20"/>
        </w:rPr>
        <w:tab/>
      </w:r>
      <w:r w:rsidRPr="004646F1">
        <w:rPr>
          <w:b/>
          <w:bCs/>
          <w:sz w:val="20"/>
        </w:rPr>
        <w:tab/>
      </w:r>
      <w:r w:rsidRPr="004646F1">
        <w:rPr>
          <w:b/>
          <w:bCs/>
          <w:sz w:val="20"/>
        </w:rPr>
        <w:tab/>
      </w:r>
      <w:r w:rsidRPr="004646F1">
        <w:rPr>
          <w:b/>
          <w:bCs/>
          <w:sz w:val="20"/>
        </w:rPr>
        <w:tab/>
        <w:t xml:space="preserve">                     </w:t>
      </w:r>
      <w:r w:rsidR="004646F1" w:rsidRPr="004646F1">
        <w:rPr>
          <w:b/>
          <w:bCs/>
          <w:sz w:val="20"/>
        </w:rPr>
        <w:t>Ma</w:t>
      </w:r>
      <w:r w:rsidR="004646F1" w:rsidRPr="004646F1">
        <w:rPr>
          <w:b/>
          <w:bCs/>
          <w:sz w:val="20"/>
        </w:rPr>
        <w:t>y 19, 2015</w:t>
      </w:r>
      <w:r w:rsidRPr="004646F1">
        <w:rPr>
          <w:b/>
          <w:bCs/>
          <w:sz w:val="20"/>
        </w:rPr>
        <w:tab/>
      </w:r>
    </w:p>
    <w:p w14:paraId="57C64AE0" w14:textId="77777777" w:rsidR="00504F80" w:rsidRPr="004646F1" w:rsidRDefault="00504F80" w:rsidP="00504F80">
      <w:pPr>
        <w:rPr>
          <w:b/>
          <w:bCs/>
          <w:sz w:val="20"/>
        </w:rPr>
      </w:pPr>
      <w:r w:rsidRPr="004646F1">
        <w:rPr>
          <w:b/>
          <w:bCs/>
          <w:sz w:val="20"/>
        </w:rPr>
        <w:t>Washington, DC  20420</w:t>
      </w:r>
    </w:p>
    <w:p w14:paraId="57C64AE1" w14:textId="77777777" w:rsidR="00504F80" w:rsidRPr="004646F1" w:rsidRDefault="00504F80" w:rsidP="00504F80">
      <w:pPr>
        <w:rPr>
          <w:b/>
          <w:bCs/>
          <w:sz w:val="20"/>
        </w:rPr>
      </w:pPr>
    </w:p>
    <w:p w14:paraId="57C64AE2" w14:textId="77777777" w:rsidR="00504F80" w:rsidRPr="004646F1" w:rsidRDefault="00504F80" w:rsidP="00504F80">
      <w:pPr>
        <w:pStyle w:val="Heading4"/>
      </w:pPr>
      <w:r w:rsidRPr="004646F1">
        <w:t xml:space="preserve">Transmittal Sheet </w:t>
      </w:r>
    </w:p>
    <w:p w14:paraId="57C64AE3" w14:textId="77777777" w:rsidR="00504F80" w:rsidRPr="004646F1" w:rsidRDefault="00504F80" w:rsidP="00504F80">
      <w:pPr>
        <w:pStyle w:val="BlockLine"/>
      </w:pPr>
      <w:r w:rsidRPr="004646F1">
        <w:t xml:space="preserve"> </w:t>
      </w:r>
    </w:p>
    <w:tbl>
      <w:tblPr>
        <w:tblW w:w="9468" w:type="dxa"/>
        <w:tblLayout w:type="fixed"/>
        <w:tblLook w:val="0000" w:firstRow="0" w:lastRow="0" w:firstColumn="0" w:lastColumn="0" w:noHBand="0" w:noVBand="0"/>
      </w:tblPr>
      <w:tblGrid>
        <w:gridCol w:w="1728"/>
        <w:gridCol w:w="7740"/>
      </w:tblGrid>
      <w:tr w:rsidR="00504F80" w:rsidRPr="004646F1" w14:paraId="57C64AF5" w14:textId="77777777" w:rsidTr="00C24D50">
        <w:tc>
          <w:tcPr>
            <w:tcW w:w="1728" w:type="dxa"/>
          </w:tcPr>
          <w:p w14:paraId="57C64AE4" w14:textId="77777777" w:rsidR="00504F80" w:rsidRPr="004646F1" w:rsidRDefault="00504F80" w:rsidP="00237C22">
            <w:pPr>
              <w:pStyle w:val="Heading5"/>
            </w:pPr>
            <w:r w:rsidRPr="004646F1">
              <w:t>Changes Included in This Revision</w:t>
            </w:r>
          </w:p>
        </w:tc>
        <w:tc>
          <w:tcPr>
            <w:tcW w:w="7740" w:type="dxa"/>
          </w:tcPr>
          <w:p w14:paraId="57C64AE5" w14:textId="675F22E1" w:rsidR="00504F80" w:rsidRPr="004646F1" w:rsidRDefault="00504F80" w:rsidP="00237C22">
            <w:pPr>
              <w:pStyle w:val="BlockText"/>
            </w:pPr>
            <w:r w:rsidRPr="004646F1">
              <w:t xml:space="preserve">The table below describes the changes included in this revision of Veterans Benefits Manual M21-1, Part </w:t>
            </w:r>
            <w:r w:rsidR="00236923" w:rsidRPr="004646F1">
              <w:t>IV</w:t>
            </w:r>
            <w:r w:rsidRPr="004646F1">
              <w:t xml:space="preserve">, </w:t>
            </w:r>
            <w:proofErr w:type="gramStart"/>
            <w:r w:rsidRPr="004646F1">
              <w:t>“</w:t>
            </w:r>
            <w:proofErr w:type="gramEnd"/>
            <w:r w:rsidR="00236923" w:rsidRPr="004646F1">
              <w:t>Compensation, DIC</w:t>
            </w:r>
            <w:r w:rsidRPr="004646F1">
              <w:t>,</w:t>
            </w:r>
            <w:r w:rsidR="00236923" w:rsidRPr="004646F1">
              <w:t xml:space="preserve"> and Death Compensation Benefits</w:t>
            </w:r>
            <w:r w:rsidRPr="004646F1">
              <w:t xml:space="preserve">” Subpart </w:t>
            </w:r>
            <w:r w:rsidR="00236923" w:rsidRPr="004646F1">
              <w:t>i</w:t>
            </w:r>
            <w:r w:rsidRPr="004646F1">
              <w:t>i, “</w:t>
            </w:r>
            <w:r w:rsidR="00236923" w:rsidRPr="004646F1">
              <w:t>Compensation</w:t>
            </w:r>
            <w:r w:rsidRPr="004646F1">
              <w:t>.”</w:t>
            </w:r>
          </w:p>
          <w:p w14:paraId="57C64AE6" w14:textId="77777777" w:rsidR="00504F80" w:rsidRPr="004646F1" w:rsidRDefault="00504F80" w:rsidP="00237C22">
            <w:pPr>
              <w:pStyle w:val="BulletText1"/>
              <w:numPr>
                <w:ilvl w:val="0"/>
                <w:numId w:val="0"/>
              </w:numPr>
            </w:pPr>
          </w:p>
          <w:p w14:paraId="57C64AE7" w14:textId="77777777" w:rsidR="00504F80" w:rsidRPr="004646F1" w:rsidRDefault="00504F80" w:rsidP="00237C22">
            <w:pPr>
              <w:pStyle w:val="BulletText1"/>
              <w:numPr>
                <w:ilvl w:val="0"/>
                <w:numId w:val="0"/>
              </w:numPr>
            </w:pPr>
            <w:r w:rsidRPr="004646F1">
              <w:rPr>
                <w:b/>
                <w:i/>
              </w:rPr>
              <w:t>Notes</w:t>
            </w:r>
            <w:r w:rsidRPr="004646F1">
              <w:t xml:space="preserve">:  </w:t>
            </w:r>
          </w:p>
          <w:p w14:paraId="57C64AE8" w14:textId="4C016E67" w:rsidR="00504F80" w:rsidRPr="004646F1" w:rsidRDefault="00504F80" w:rsidP="00237C22">
            <w:pPr>
              <w:pStyle w:val="BulletText1"/>
            </w:pPr>
            <w:r w:rsidRPr="004646F1">
              <w:t xml:space="preserve">The term </w:t>
            </w:r>
            <w:r w:rsidR="0027298D" w:rsidRPr="004646F1">
              <w:t>“</w:t>
            </w:r>
            <w:r w:rsidRPr="004646F1">
              <w:t>regional office</w:t>
            </w:r>
            <w:r w:rsidR="0027298D" w:rsidRPr="004646F1">
              <w:t>”</w:t>
            </w:r>
            <w:r w:rsidRPr="004646F1">
              <w:t xml:space="preserve"> (RO) also includes pension management center (PMC)</w:t>
            </w:r>
            <w:r w:rsidR="00C24D50" w:rsidRPr="004646F1">
              <w:t>, where appropriate</w:t>
            </w:r>
            <w:r w:rsidRPr="004646F1">
              <w:t>.</w:t>
            </w:r>
          </w:p>
          <w:p w14:paraId="57C64AE9" w14:textId="7F56ADB8" w:rsidR="00504F80" w:rsidRPr="004646F1" w:rsidRDefault="00504F80" w:rsidP="00237C22">
            <w:pPr>
              <w:pStyle w:val="BulletText1"/>
            </w:pPr>
            <w:r w:rsidRPr="004646F1">
              <w:t xml:space="preserve">The term </w:t>
            </w:r>
            <w:r w:rsidR="0027298D" w:rsidRPr="004646F1">
              <w:t>“</w:t>
            </w:r>
            <w:r w:rsidRPr="004646F1">
              <w:t>Veterans Service Center Manager</w:t>
            </w:r>
            <w:r w:rsidR="0027298D" w:rsidRPr="004646F1">
              <w:t>”</w:t>
            </w:r>
            <w:r w:rsidRPr="004646F1">
              <w:t xml:space="preserve"> (VSCM) also includes Pension Management Center Manager (PMCM)</w:t>
            </w:r>
            <w:r w:rsidR="00C24D50" w:rsidRPr="004646F1">
              <w:t>, where appropriate</w:t>
            </w:r>
            <w:r w:rsidRPr="004646F1">
              <w:t>.</w:t>
            </w:r>
          </w:p>
          <w:p w14:paraId="70150391" w14:textId="61828FA9" w:rsidR="0027298D" w:rsidRPr="004646F1" w:rsidRDefault="0027298D" w:rsidP="00237C22">
            <w:pPr>
              <w:pStyle w:val="BulletText1"/>
            </w:pPr>
            <w:r w:rsidRPr="004646F1">
              <w:t xml:space="preserve">Unless otherwise noted, the term “claims folder” refers to </w:t>
            </w:r>
            <w:r w:rsidR="004A0832" w:rsidRPr="004646F1">
              <w:t>the</w:t>
            </w:r>
            <w:r w:rsidR="000E320F" w:rsidRPr="004646F1">
              <w:t xml:space="preserve"> official, numbered,</w:t>
            </w:r>
            <w:r w:rsidR="00A2703B" w:rsidRPr="004646F1">
              <w:t xml:space="preserve"> Department of Veterans Affairs (VA)</w:t>
            </w:r>
            <w:r w:rsidRPr="004646F1">
              <w:t xml:space="preserve"> </w:t>
            </w:r>
            <w:r w:rsidR="000E320F" w:rsidRPr="004646F1">
              <w:t>repository – whether paper or electronic – for all</w:t>
            </w:r>
            <w:r w:rsidR="004A0832" w:rsidRPr="004646F1">
              <w:t xml:space="preserve"> documentation </w:t>
            </w:r>
            <w:r w:rsidR="000E320F" w:rsidRPr="004646F1">
              <w:t xml:space="preserve">relating to claims that a Veteran and/or his/her </w:t>
            </w:r>
            <w:r w:rsidR="00AC43CF" w:rsidRPr="004646F1">
              <w:t>survivors</w:t>
            </w:r>
            <w:r w:rsidR="000E320F" w:rsidRPr="004646F1">
              <w:t xml:space="preserve"> file with VA</w:t>
            </w:r>
            <w:r w:rsidR="004A0832" w:rsidRPr="004646F1">
              <w:t>.</w:t>
            </w:r>
          </w:p>
          <w:p w14:paraId="57C64AEA" w14:textId="77777777" w:rsidR="00504F80" w:rsidRPr="004646F1" w:rsidRDefault="00504F80" w:rsidP="00C24D50">
            <w:pPr>
              <w:pStyle w:val="BulletText1"/>
            </w:pPr>
            <w:r w:rsidRPr="004646F1">
              <w:t xml:space="preserve">Minor editorial changes have also been made to </w:t>
            </w:r>
          </w:p>
          <w:p w14:paraId="57C64AEC" w14:textId="74C6220B" w:rsidR="00504F80" w:rsidRPr="004646F1" w:rsidRDefault="00504F80" w:rsidP="00237C22">
            <w:pPr>
              <w:pStyle w:val="BulletText2"/>
              <w:tabs>
                <w:tab w:val="num" w:pos="547"/>
              </w:tabs>
            </w:pPr>
            <w:r w:rsidRPr="004646F1">
              <w:t>update incorrect or obsolete references</w:t>
            </w:r>
          </w:p>
          <w:p w14:paraId="57C64AF0" w14:textId="77777777" w:rsidR="00504F80" w:rsidRPr="004646F1" w:rsidRDefault="00504F80" w:rsidP="00237C22">
            <w:pPr>
              <w:pStyle w:val="BulletText2"/>
              <w:tabs>
                <w:tab w:val="num" w:pos="547"/>
              </w:tabs>
            </w:pPr>
            <w:r w:rsidRPr="004646F1">
              <w:t>update obsolete terminology, where appropriate</w:t>
            </w:r>
          </w:p>
          <w:p w14:paraId="3BF6CB46" w14:textId="2DDA13E1" w:rsidR="00E67135" w:rsidRPr="004646F1" w:rsidRDefault="00E67135" w:rsidP="00237C22">
            <w:pPr>
              <w:pStyle w:val="BulletText2"/>
              <w:tabs>
                <w:tab w:val="num" w:pos="547"/>
              </w:tabs>
            </w:pPr>
            <w:r w:rsidRPr="004646F1">
              <w:t>remove references to specific claims-processing systems, where doing so does not affect the clarity of the instructions or information provided</w:t>
            </w:r>
          </w:p>
          <w:p w14:paraId="26D69614" w14:textId="267ADFB5" w:rsidR="00271962" w:rsidRPr="004646F1" w:rsidRDefault="00F87F72" w:rsidP="00237C22">
            <w:pPr>
              <w:pStyle w:val="BulletText2"/>
              <w:tabs>
                <w:tab w:val="num" w:pos="547"/>
              </w:tabs>
            </w:pPr>
            <w:r w:rsidRPr="004646F1">
              <w:t xml:space="preserve">renumber </w:t>
            </w:r>
            <w:r w:rsidR="00437647" w:rsidRPr="004646F1">
              <w:t xml:space="preserve">each </w:t>
            </w:r>
            <w:r w:rsidR="00526F0E" w:rsidRPr="004646F1">
              <w:t>topic</w:t>
            </w:r>
            <w:r w:rsidR="00437647" w:rsidRPr="004646F1">
              <w:t xml:space="preserve"> based on the standard that the first topic in each section is Topic 1</w:t>
            </w:r>
          </w:p>
          <w:p w14:paraId="57C64AF1" w14:textId="2E1F9B91" w:rsidR="003E2CA2" w:rsidRPr="004646F1" w:rsidRDefault="003E2CA2" w:rsidP="00237C22">
            <w:pPr>
              <w:pStyle w:val="BulletText2"/>
              <w:tabs>
                <w:tab w:val="num" w:pos="547"/>
              </w:tabs>
            </w:pPr>
            <w:r w:rsidRPr="004646F1">
              <w:t>reassign alphabetical designations to individual blocks, where necessary, to account for new and/or deleted blocks within a topic</w:t>
            </w:r>
          </w:p>
          <w:p w14:paraId="57C64AF3" w14:textId="77777777" w:rsidR="00504F80" w:rsidRPr="004646F1" w:rsidRDefault="00504F80" w:rsidP="00237C22">
            <w:pPr>
              <w:pStyle w:val="BulletText2"/>
              <w:tabs>
                <w:tab w:val="num" w:pos="547"/>
              </w:tabs>
            </w:pPr>
            <w:r w:rsidRPr="004646F1">
              <w:t xml:space="preserve">clarify </w:t>
            </w:r>
            <w:r w:rsidR="002041BE" w:rsidRPr="004646F1">
              <w:t>b</w:t>
            </w:r>
            <w:r w:rsidR="00D61497" w:rsidRPr="004646F1">
              <w:t xml:space="preserve">lock labels and/or </w:t>
            </w:r>
            <w:r w:rsidR="002041BE" w:rsidRPr="004646F1">
              <w:t>b</w:t>
            </w:r>
            <w:r w:rsidRPr="004646F1">
              <w:t xml:space="preserve">lock text, and </w:t>
            </w:r>
          </w:p>
          <w:p w14:paraId="57C64AF4" w14:textId="02E1E7F9" w:rsidR="00504F80" w:rsidRPr="004646F1" w:rsidRDefault="00504F80" w:rsidP="00120103">
            <w:pPr>
              <w:pStyle w:val="BulletText2"/>
            </w:pPr>
            <w:proofErr w:type="gramStart"/>
            <w:r w:rsidRPr="004646F1">
              <w:t>bring</w:t>
            </w:r>
            <w:proofErr w:type="gramEnd"/>
            <w:r w:rsidRPr="004646F1">
              <w:t xml:space="preserve"> the document into conformance with M21-1 standards.</w:t>
            </w:r>
          </w:p>
        </w:tc>
      </w:tr>
    </w:tbl>
    <w:p w14:paraId="57C64AF6" w14:textId="77777777" w:rsidR="00C24D50" w:rsidRPr="004646F1" w:rsidRDefault="00C24D50" w:rsidP="00C24D50"/>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379"/>
        <w:gridCol w:w="1981"/>
      </w:tblGrid>
      <w:tr w:rsidR="002A1D3E" w:rsidRPr="004646F1" w14:paraId="57C64AFA" w14:textId="77777777" w:rsidTr="002220F1">
        <w:trPr>
          <w:trHeight w:val="180"/>
        </w:trPr>
        <w:tc>
          <w:tcPr>
            <w:tcW w:w="3942" w:type="pct"/>
            <w:shd w:val="clear" w:color="auto" w:fill="auto"/>
          </w:tcPr>
          <w:p w14:paraId="57C64AF7" w14:textId="77777777" w:rsidR="002A1D3E" w:rsidRPr="004646F1" w:rsidRDefault="002A1D3E" w:rsidP="002F7397">
            <w:pPr>
              <w:pStyle w:val="TableHeaderText"/>
            </w:pPr>
            <w:r w:rsidRPr="004646F1">
              <w:t>Reason(s) for the Change</w:t>
            </w:r>
          </w:p>
        </w:tc>
        <w:tc>
          <w:tcPr>
            <w:tcW w:w="1058" w:type="pct"/>
            <w:shd w:val="clear" w:color="auto" w:fill="auto"/>
          </w:tcPr>
          <w:p w14:paraId="57C64AF8" w14:textId="77777777" w:rsidR="002A1D3E" w:rsidRPr="004646F1" w:rsidRDefault="002A1D3E" w:rsidP="002F7397">
            <w:pPr>
              <w:pStyle w:val="TableHeaderText"/>
            </w:pPr>
            <w:r w:rsidRPr="004646F1">
              <w:t>Citation</w:t>
            </w:r>
          </w:p>
        </w:tc>
      </w:tr>
      <w:tr w:rsidR="002A1D3E" w:rsidRPr="004646F1" w14:paraId="57C64AFE" w14:textId="77777777" w:rsidTr="002220F1">
        <w:trPr>
          <w:trHeight w:val="180"/>
        </w:trPr>
        <w:tc>
          <w:tcPr>
            <w:tcW w:w="3942" w:type="pct"/>
            <w:shd w:val="clear" w:color="auto" w:fill="auto"/>
          </w:tcPr>
          <w:p w14:paraId="57C64AFB" w14:textId="639D103B" w:rsidR="002A1D3E" w:rsidRPr="004646F1" w:rsidRDefault="000E5DEF" w:rsidP="002F7397">
            <w:pPr>
              <w:pStyle w:val="TableText"/>
            </w:pPr>
            <w:r w:rsidRPr="004646F1">
              <w:t>To remove outdated guidance about the shipping of paper claims folders.</w:t>
            </w:r>
          </w:p>
        </w:tc>
        <w:tc>
          <w:tcPr>
            <w:tcW w:w="1058" w:type="pct"/>
            <w:shd w:val="clear" w:color="auto" w:fill="auto"/>
          </w:tcPr>
          <w:p w14:paraId="62986B92" w14:textId="5DC4856E" w:rsidR="002A1D3E" w:rsidRPr="004646F1" w:rsidRDefault="008B2C11" w:rsidP="002F7397">
            <w:pPr>
              <w:pStyle w:val="TableText"/>
            </w:pPr>
            <w:r w:rsidRPr="004646F1">
              <w:t xml:space="preserve">M21-1, </w:t>
            </w:r>
            <w:r w:rsidR="00605D5F" w:rsidRPr="004646F1">
              <w:t>Part IV, Subpart ii, Chapter 3, Section D, Topic 2, Block d</w:t>
            </w:r>
          </w:p>
          <w:p w14:paraId="57C64AFC" w14:textId="65608F68" w:rsidR="00605D5F" w:rsidRPr="004646F1" w:rsidRDefault="00605D5F" w:rsidP="002F7397">
            <w:pPr>
              <w:pStyle w:val="TableText"/>
            </w:pPr>
            <w:r w:rsidRPr="004646F1">
              <w:t>(IV.ii.3.D.2.d)</w:t>
            </w:r>
          </w:p>
        </w:tc>
      </w:tr>
      <w:tr w:rsidR="002A1D3E" w:rsidRPr="004646F1" w14:paraId="57C64B02" w14:textId="77777777" w:rsidTr="002220F1">
        <w:trPr>
          <w:trHeight w:val="180"/>
        </w:trPr>
        <w:tc>
          <w:tcPr>
            <w:tcW w:w="3942" w:type="pct"/>
            <w:shd w:val="clear" w:color="auto" w:fill="auto"/>
          </w:tcPr>
          <w:p w14:paraId="57C64AFF" w14:textId="74467E2A" w:rsidR="00F7704F" w:rsidRPr="004646F1" w:rsidRDefault="00F7704F" w:rsidP="00803B62">
            <w:r w:rsidRPr="004646F1">
              <w:t xml:space="preserve">To </w:t>
            </w:r>
            <w:r w:rsidR="00226C96" w:rsidRPr="004646F1">
              <w:t xml:space="preserve">add a block to </w:t>
            </w:r>
            <w:r w:rsidRPr="004646F1">
              <w:t xml:space="preserve">clarify </w:t>
            </w:r>
            <w:r w:rsidR="00251A2D" w:rsidRPr="004646F1">
              <w:t>the effect of state laws on offset decision</w:t>
            </w:r>
            <w:r w:rsidR="00803B62" w:rsidRPr="004646F1">
              <w:t>s</w:t>
            </w:r>
            <w:r w:rsidR="00251A2D" w:rsidRPr="004646F1">
              <w:t xml:space="preserve"> to include information on damages recovered under </w:t>
            </w:r>
            <w:r w:rsidR="00803B62" w:rsidRPr="004646F1">
              <w:t>a</w:t>
            </w:r>
            <w:r w:rsidR="00251A2D" w:rsidRPr="004646F1">
              <w:t xml:space="preserve"> state survival statute and a wrongful death statue.</w:t>
            </w:r>
          </w:p>
        </w:tc>
        <w:tc>
          <w:tcPr>
            <w:tcW w:w="1058" w:type="pct"/>
            <w:shd w:val="clear" w:color="auto" w:fill="auto"/>
          </w:tcPr>
          <w:p w14:paraId="57C64B00" w14:textId="028D05BA" w:rsidR="002A1D3E" w:rsidRPr="004646F1" w:rsidRDefault="00605D5F" w:rsidP="002F7397">
            <w:pPr>
              <w:pStyle w:val="TableText"/>
            </w:pPr>
            <w:r w:rsidRPr="004646F1">
              <w:t>IV.ii.3.D.3.</w:t>
            </w:r>
            <w:r w:rsidR="00226C96" w:rsidRPr="004646F1">
              <w:t>b</w:t>
            </w:r>
          </w:p>
        </w:tc>
      </w:tr>
      <w:tr w:rsidR="00226C96" w:rsidRPr="004646F1" w14:paraId="1B3945FF" w14:textId="77777777" w:rsidTr="002220F1">
        <w:trPr>
          <w:trHeight w:val="180"/>
        </w:trPr>
        <w:tc>
          <w:tcPr>
            <w:tcW w:w="3942" w:type="pct"/>
            <w:shd w:val="clear" w:color="auto" w:fill="auto"/>
          </w:tcPr>
          <w:p w14:paraId="1CEB1E8A" w14:textId="09AD551C" w:rsidR="00226C96" w:rsidRPr="004646F1" w:rsidRDefault="00226C96" w:rsidP="00226C96">
            <w:r w:rsidRPr="004646F1">
              <w:t xml:space="preserve">To add a block to clarify that the full amount of damages recovered by an individual under the Federal Tort Claims Act (FTCA) is subject to offset against benefits payable to that individual under section </w:t>
            </w:r>
            <w:r w:rsidR="00DC040B" w:rsidRPr="004646F1">
              <w:t xml:space="preserve">38 U.S.C. </w:t>
            </w:r>
            <w:r w:rsidRPr="004646F1">
              <w:t>1151, regardless of whether those damages compensate for economic or noneconomic loss</w:t>
            </w:r>
            <w:r w:rsidR="00803B62" w:rsidRPr="004646F1">
              <w:t>.</w:t>
            </w:r>
          </w:p>
        </w:tc>
        <w:tc>
          <w:tcPr>
            <w:tcW w:w="1058" w:type="pct"/>
            <w:shd w:val="clear" w:color="auto" w:fill="auto"/>
          </w:tcPr>
          <w:p w14:paraId="02FF67AF" w14:textId="559A5FDA" w:rsidR="00226C96" w:rsidRPr="004646F1" w:rsidRDefault="00226C96" w:rsidP="002F7397">
            <w:pPr>
              <w:pStyle w:val="TableText"/>
            </w:pPr>
            <w:r w:rsidRPr="004646F1">
              <w:t>IV.ii.3.D.3.</w:t>
            </w:r>
            <w:r w:rsidR="00251A2D" w:rsidRPr="004646F1">
              <w:t>c</w:t>
            </w:r>
          </w:p>
        </w:tc>
      </w:tr>
      <w:tr w:rsidR="002A1D3E" w:rsidRPr="004646F1" w14:paraId="57C64B06" w14:textId="77777777" w:rsidTr="002220F1">
        <w:trPr>
          <w:trHeight w:val="180"/>
        </w:trPr>
        <w:tc>
          <w:tcPr>
            <w:tcW w:w="3942" w:type="pct"/>
            <w:shd w:val="clear" w:color="auto" w:fill="auto"/>
          </w:tcPr>
          <w:p w14:paraId="57C64B03" w14:textId="0E444D52" w:rsidR="002A1D3E" w:rsidRPr="004646F1" w:rsidRDefault="00F7704F" w:rsidP="002F7397">
            <w:pPr>
              <w:pStyle w:val="TableText"/>
            </w:pPr>
            <w:r w:rsidRPr="004646F1">
              <w:t>To remove outdated BDN based processing language and procedures</w:t>
            </w:r>
          </w:p>
        </w:tc>
        <w:tc>
          <w:tcPr>
            <w:tcW w:w="1058" w:type="pct"/>
            <w:shd w:val="clear" w:color="auto" w:fill="auto"/>
          </w:tcPr>
          <w:p w14:paraId="57C64B04" w14:textId="070147F5" w:rsidR="002A1D3E" w:rsidRPr="004646F1" w:rsidRDefault="00251A2D" w:rsidP="002F7397">
            <w:pPr>
              <w:pStyle w:val="TableText"/>
            </w:pPr>
            <w:r w:rsidRPr="004646F1">
              <w:t>IV.ii.3.D.3.f</w:t>
            </w:r>
          </w:p>
        </w:tc>
      </w:tr>
      <w:tr w:rsidR="002A1D3E" w:rsidRPr="004646F1" w14:paraId="57C64B0E" w14:textId="77777777" w:rsidTr="002220F1">
        <w:trPr>
          <w:trHeight w:val="180"/>
        </w:trPr>
        <w:tc>
          <w:tcPr>
            <w:tcW w:w="3942" w:type="pct"/>
            <w:shd w:val="clear" w:color="auto" w:fill="auto"/>
          </w:tcPr>
          <w:p w14:paraId="57C64B0B" w14:textId="1485171D" w:rsidR="002A1D3E" w:rsidRPr="004646F1" w:rsidRDefault="009D0C60" w:rsidP="00751911">
            <w:pPr>
              <w:pStyle w:val="TableText"/>
            </w:pPr>
            <w:r w:rsidRPr="004646F1">
              <w:lastRenderedPageBreak/>
              <w:t xml:space="preserve">To remove block </w:t>
            </w:r>
            <w:proofErr w:type="gramStart"/>
            <w:r w:rsidRPr="004646F1">
              <w:t>IV.ii.3.D.</w:t>
            </w:r>
            <w:r w:rsidR="00751911" w:rsidRPr="004646F1">
              <w:t>4(</w:t>
            </w:r>
            <w:proofErr w:type="gramEnd"/>
            <w:r w:rsidR="00751911" w:rsidRPr="004646F1">
              <w:t xml:space="preserve">old </w:t>
            </w:r>
            <w:r w:rsidRPr="004646F1">
              <w:t>14</w:t>
            </w:r>
            <w:r w:rsidR="00751911" w:rsidRPr="004646F1">
              <w:t>)</w:t>
            </w:r>
            <w:r w:rsidRPr="004646F1">
              <w:t>.b that referenced outdated BDN based processing language and procedures.</w:t>
            </w:r>
          </w:p>
        </w:tc>
        <w:tc>
          <w:tcPr>
            <w:tcW w:w="1058" w:type="pct"/>
            <w:shd w:val="clear" w:color="auto" w:fill="auto"/>
          </w:tcPr>
          <w:p w14:paraId="57C64B0C" w14:textId="5C69609E" w:rsidR="002A1D3E" w:rsidRPr="004646F1" w:rsidRDefault="00A8082E" w:rsidP="00A8082E">
            <w:pPr>
              <w:pStyle w:val="TableText"/>
            </w:pPr>
            <w:r w:rsidRPr="004646F1">
              <w:t>IV.ii.3.D.4.b</w:t>
            </w:r>
          </w:p>
        </w:tc>
      </w:tr>
      <w:tr w:rsidR="00A8082E" w:rsidRPr="004646F1" w14:paraId="2E615009" w14:textId="77777777" w:rsidTr="002220F1">
        <w:trPr>
          <w:trHeight w:val="180"/>
        </w:trPr>
        <w:tc>
          <w:tcPr>
            <w:tcW w:w="3942" w:type="pct"/>
            <w:shd w:val="clear" w:color="auto" w:fill="auto"/>
          </w:tcPr>
          <w:p w14:paraId="6FE3BA89" w14:textId="586CE6DB" w:rsidR="00A8082E" w:rsidRPr="004646F1" w:rsidRDefault="00A8082E" w:rsidP="00751911">
            <w:pPr>
              <w:pStyle w:val="TableText"/>
            </w:pPr>
            <w:r w:rsidRPr="004646F1">
              <w:t xml:space="preserve">To remove block </w:t>
            </w:r>
            <w:proofErr w:type="gramStart"/>
            <w:r w:rsidRPr="004646F1">
              <w:t>IV.ii.3.D.</w:t>
            </w:r>
            <w:r w:rsidR="00751911" w:rsidRPr="004646F1">
              <w:t>4(</w:t>
            </w:r>
            <w:proofErr w:type="gramEnd"/>
            <w:r w:rsidR="00751911" w:rsidRPr="004646F1">
              <w:t xml:space="preserve">old </w:t>
            </w:r>
            <w:r w:rsidRPr="004646F1">
              <w:t>14</w:t>
            </w:r>
            <w:r w:rsidR="00751911" w:rsidRPr="004646F1">
              <w:t>)</w:t>
            </w:r>
            <w:r w:rsidRPr="004646F1">
              <w:t>.c that referenced outdated BDN based processing language and procedures.</w:t>
            </w:r>
          </w:p>
        </w:tc>
        <w:tc>
          <w:tcPr>
            <w:tcW w:w="1058" w:type="pct"/>
            <w:shd w:val="clear" w:color="auto" w:fill="auto"/>
          </w:tcPr>
          <w:p w14:paraId="0E780B97" w14:textId="138C07B1" w:rsidR="00A8082E" w:rsidRPr="004646F1" w:rsidRDefault="00A8082E" w:rsidP="00A8082E">
            <w:pPr>
              <w:pStyle w:val="TableText"/>
            </w:pPr>
            <w:r w:rsidRPr="004646F1">
              <w:t>IV.ii.3.D.4.c</w:t>
            </w:r>
          </w:p>
        </w:tc>
      </w:tr>
      <w:tr w:rsidR="00A8082E" w:rsidRPr="004646F1" w14:paraId="0DDB06D1" w14:textId="77777777" w:rsidTr="002220F1">
        <w:trPr>
          <w:trHeight w:val="180"/>
        </w:trPr>
        <w:tc>
          <w:tcPr>
            <w:tcW w:w="3942" w:type="pct"/>
            <w:shd w:val="clear" w:color="auto" w:fill="auto"/>
          </w:tcPr>
          <w:p w14:paraId="611F7B56" w14:textId="15411B9D" w:rsidR="00A8082E" w:rsidRPr="004646F1" w:rsidRDefault="00A8082E" w:rsidP="00751911">
            <w:pPr>
              <w:pStyle w:val="TableText"/>
            </w:pPr>
            <w:r w:rsidRPr="004646F1">
              <w:t xml:space="preserve">To remove block </w:t>
            </w:r>
            <w:proofErr w:type="gramStart"/>
            <w:r w:rsidR="00751911" w:rsidRPr="004646F1">
              <w:t>IV.ii.3.D.4(</w:t>
            </w:r>
            <w:proofErr w:type="gramEnd"/>
            <w:r w:rsidR="00751911" w:rsidRPr="004646F1">
              <w:t>old 14).d</w:t>
            </w:r>
            <w:r w:rsidRPr="004646F1">
              <w:t xml:space="preserve"> that referenced outdated BDN based processing language and procedures.</w:t>
            </w:r>
          </w:p>
        </w:tc>
        <w:tc>
          <w:tcPr>
            <w:tcW w:w="1058" w:type="pct"/>
            <w:shd w:val="clear" w:color="auto" w:fill="auto"/>
          </w:tcPr>
          <w:p w14:paraId="0FCB85DC" w14:textId="044491B1" w:rsidR="00A8082E" w:rsidRPr="004646F1" w:rsidRDefault="00A8082E" w:rsidP="00A8082E">
            <w:pPr>
              <w:pStyle w:val="TableText"/>
            </w:pPr>
            <w:r w:rsidRPr="004646F1">
              <w:t>IV.ii.3.D.4.d</w:t>
            </w:r>
          </w:p>
        </w:tc>
      </w:tr>
      <w:tr w:rsidR="00A8082E" w:rsidRPr="004646F1" w14:paraId="454CDB6E" w14:textId="77777777" w:rsidTr="002220F1">
        <w:trPr>
          <w:trHeight w:val="180"/>
        </w:trPr>
        <w:tc>
          <w:tcPr>
            <w:tcW w:w="3942" w:type="pct"/>
            <w:shd w:val="clear" w:color="auto" w:fill="auto"/>
          </w:tcPr>
          <w:p w14:paraId="4B2565C7" w14:textId="36C37684" w:rsidR="00A8082E" w:rsidRPr="004646F1" w:rsidRDefault="00A8082E" w:rsidP="00751911">
            <w:pPr>
              <w:pStyle w:val="TableText"/>
            </w:pPr>
            <w:r w:rsidRPr="004646F1">
              <w:t xml:space="preserve">To remove block </w:t>
            </w:r>
            <w:proofErr w:type="gramStart"/>
            <w:r w:rsidR="00751911" w:rsidRPr="004646F1">
              <w:t>IV.ii.3.D.4(</w:t>
            </w:r>
            <w:proofErr w:type="gramEnd"/>
            <w:r w:rsidR="00751911" w:rsidRPr="004646F1">
              <w:t>old 14).e</w:t>
            </w:r>
            <w:r w:rsidRPr="004646F1">
              <w:t xml:space="preserve"> that referenced outdated BDN based processing language and procedures.</w:t>
            </w:r>
          </w:p>
        </w:tc>
        <w:tc>
          <w:tcPr>
            <w:tcW w:w="1058" w:type="pct"/>
            <w:shd w:val="clear" w:color="auto" w:fill="auto"/>
          </w:tcPr>
          <w:p w14:paraId="74BE5842" w14:textId="4173C4E3" w:rsidR="00A8082E" w:rsidRPr="004646F1" w:rsidRDefault="00A8082E" w:rsidP="00A8082E">
            <w:pPr>
              <w:pStyle w:val="TableText"/>
            </w:pPr>
            <w:r w:rsidRPr="004646F1">
              <w:t>IV.ii.3.D.4.e</w:t>
            </w:r>
          </w:p>
        </w:tc>
      </w:tr>
      <w:tr w:rsidR="00A8082E" w:rsidRPr="004646F1" w14:paraId="7F1BCDE4" w14:textId="77777777" w:rsidTr="002220F1">
        <w:trPr>
          <w:trHeight w:val="180"/>
        </w:trPr>
        <w:tc>
          <w:tcPr>
            <w:tcW w:w="3942" w:type="pct"/>
            <w:shd w:val="clear" w:color="auto" w:fill="auto"/>
          </w:tcPr>
          <w:p w14:paraId="2BE6C05D" w14:textId="464EDA9A" w:rsidR="00A8082E" w:rsidRPr="004646F1" w:rsidRDefault="00A8082E" w:rsidP="00751911">
            <w:pPr>
              <w:pStyle w:val="TableText"/>
            </w:pPr>
            <w:r w:rsidRPr="004646F1">
              <w:t xml:space="preserve">To remove block </w:t>
            </w:r>
            <w:proofErr w:type="gramStart"/>
            <w:r w:rsidR="00751911" w:rsidRPr="004646F1">
              <w:t>IV.ii.3.D.4(</w:t>
            </w:r>
            <w:proofErr w:type="gramEnd"/>
            <w:r w:rsidR="00751911" w:rsidRPr="004646F1">
              <w:t>old 14).f</w:t>
            </w:r>
            <w:r w:rsidRPr="004646F1">
              <w:t xml:space="preserve"> that referenced outdated BDN based processing language and procedures.</w:t>
            </w:r>
          </w:p>
        </w:tc>
        <w:tc>
          <w:tcPr>
            <w:tcW w:w="1058" w:type="pct"/>
            <w:shd w:val="clear" w:color="auto" w:fill="auto"/>
          </w:tcPr>
          <w:p w14:paraId="4E6E78C4" w14:textId="1612EAE5" w:rsidR="00A8082E" w:rsidRPr="004646F1" w:rsidRDefault="00A8082E" w:rsidP="00A8082E">
            <w:pPr>
              <w:pStyle w:val="TableText"/>
            </w:pPr>
            <w:r w:rsidRPr="004646F1">
              <w:t>IV.ii.3.D.4.f</w:t>
            </w:r>
          </w:p>
        </w:tc>
      </w:tr>
      <w:tr w:rsidR="00226C96" w:rsidRPr="004646F1" w14:paraId="73987446" w14:textId="77777777" w:rsidTr="002220F1">
        <w:trPr>
          <w:trHeight w:val="180"/>
        </w:trPr>
        <w:tc>
          <w:tcPr>
            <w:tcW w:w="3942" w:type="pct"/>
            <w:shd w:val="clear" w:color="auto" w:fill="auto"/>
          </w:tcPr>
          <w:p w14:paraId="4F8BA9F3" w14:textId="59A6C9A5" w:rsidR="00226C96" w:rsidRPr="004646F1" w:rsidRDefault="00226C96" w:rsidP="00751911">
            <w:pPr>
              <w:pStyle w:val="TableText"/>
            </w:pPr>
            <w:r w:rsidRPr="004646F1">
              <w:t>To remove outdated BDN based processing language and procedures</w:t>
            </w:r>
            <w:r w:rsidR="00803B62" w:rsidRPr="004646F1">
              <w:t>.</w:t>
            </w:r>
          </w:p>
        </w:tc>
        <w:tc>
          <w:tcPr>
            <w:tcW w:w="1058" w:type="pct"/>
            <w:shd w:val="clear" w:color="auto" w:fill="auto"/>
          </w:tcPr>
          <w:p w14:paraId="3C03A9DE" w14:textId="6C7EAD2C" w:rsidR="00226C96" w:rsidRPr="004646F1" w:rsidRDefault="00226C96" w:rsidP="00A8082E">
            <w:pPr>
              <w:pStyle w:val="TableText"/>
            </w:pPr>
            <w:r w:rsidRPr="004646F1">
              <w:t>IV.ii.3.D.5.a</w:t>
            </w:r>
          </w:p>
        </w:tc>
      </w:tr>
      <w:tr w:rsidR="00226C96" w:rsidRPr="004646F1" w14:paraId="2BB286D9" w14:textId="77777777" w:rsidTr="002220F1">
        <w:trPr>
          <w:trHeight w:val="180"/>
        </w:trPr>
        <w:tc>
          <w:tcPr>
            <w:tcW w:w="3942" w:type="pct"/>
            <w:shd w:val="clear" w:color="auto" w:fill="auto"/>
          </w:tcPr>
          <w:p w14:paraId="1BA2B32C" w14:textId="6E929ACD" w:rsidR="00226C96" w:rsidRPr="004646F1" w:rsidRDefault="00226C96" w:rsidP="00226C96">
            <w:pPr>
              <w:pStyle w:val="TableText"/>
            </w:pPr>
            <w:r w:rsidRPr="004646F1">
              <w:t xml:space="preserve">To remove block </w:t>
            </w:r>
            <w:proofErr w:type="gramStart"/>
            <w:r w:rsidRPr="004646F1">
              <w:t>IV.ii.3.D.5(</w:t>
            </w:r>
            <w:proofErr w:type="gramEnd"/>
            <w:r w:rsidRPr="004646F1">
              <w:t>old 15).c because information was merged with IV.ii.3.D.5.a</w:t>
            </w:r>
            <w:r w:rsidR="00803B62" w:rsidRPr="004646F1">
              <w:t>.</w:t>
            </w:r>
          </w:p>
        </w:tc>
        <w:tc>
          <w:tcPr>
            <w:tcW w:w="1058" w:type="pct"/>
            <w:shd w:val="clear" w:color="auto" w:fill="auto"/>
          </w:tcPr>
          <w:p w14:paraId="4BC04F64" w14:textId="65AD8711" w:rsidR="00226C96" w:rsidRPr="004646F1" w:rsidRDefault="00226C96" w:rsidP="00A8082E">
            <w:pPr>
              <w:pStyle w:val="TableText"/>
            </w:pPr>
            <w:r w:rsidRPr="004646F1">
              <w:t>IV.ii.3.D.5.c</w:t>
            </w:r>
          </w:p>
        </w:tc>
      </w:tr>
    </w:tbl>
    <w:p w14:paraId="57C64B1F" w14:textId="77777777" w:rsidR="00504F80" w:rsidRPr="004646F1"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4646F1" w14:paraId="57C64B22" w14:textId="77777777" w:rsidTr="00237C22">
        <w:tc>
          <w:tcPr>
            <w:tcW w:w="1728" w:type="dxa"/>
          </w:tcPr>
          <w:p w14:paraId="57C64B20" w14:textId="77777777" w:rsidR="00504F80" w:rsidRPr="004646F1" w:rsidRDefault="00504F80" w:rsidP="00237C22">
            <w:pPr>
              <w:pStyle w:val="Heading5"/>
              <w:rPr>
                <w:sz w:val="24"/>
              </w:rPr>
            </w:pPr>
            <w:r w:rsidRPr="004646F1">
              <w:rPr>
                <w:sz w:val="24"/>
              </w:rPr>
              <w:t>Rescissions</w:t>
            </w:r>
          </w:p>
        </w:tc>
        <w:tc>
          <w:tcPr>
            <w:tcW w:w="7740" w:type="dxa"/>
          </w:tcPr>
          <w:p w14:paraId="57C64B21" w14:textId="77777777" w:rsidR="00504F80" w:rsidRPr="004646F1" w:rsidRDefault="00504F80" w:rsidP="00237C22">
            <w:pPr>
              <w:pStyle w:val="BlockText"/>
            </w:pPr>
            <w:r w:rsidRPr="004646F1">
              <w:t>None</w:t>
            </w:r>
          </w:p>
        </w:tc>
      </w:tr>
    </w:tbl>
    <w:p w14:paraId="57C64B23" w14:textId="77777777" w:rsidR="00504F80" w:rsidRPr="004646F1" w:rsidRDefault="00504F80" w:rsidP="00504F80">
      <w:pPr>
        <w:pStyle w:val="BlockLine"/>
      </w:pPr>
      <w:r w:rsidRPr="004646F1">
        <w:t xml:space="preserve"> </w:t>
      </w:r>
    </w:p>
    <w:tbl>
      <w:tblPr>
        <w:tblW w:w="0" w:type="auto"/>
        <w:tblLayout w:type="fixed"/>
        <w:tblLook w:val="0000" w:firstRow="0" w:lastRow="0" w:firstColumn="0" w:lastColumn="0" w:noHBand="0" w:noVBand="0"/>
      </w:tblPr>
      <w:tblGrid>
        <w:gridCol w:w="1728"/>
        <w:gridCol w:w="7740"/>
      </w:tblGrid>
      <w:tr w:rsidR="00504F80" w:rsidRPr="004646F1" w14:paraId="57C64B26" w14:textId="77777777" w:rsidTr="00237C22">
        <w:tc>
          <w:tcPr>
            <w:tcW w:w="1728" w:type="dxa"/>
          </w:tcPr>
          <w:p w14:paraId="57C64B24" w14:textId="77777777" w:rsidR="00504F80" w:rsidRPr="004646F1" w:rsidRDefault="00504F80" w:rsidP="00237C22">
            <w:pPr>
              <w:pStyle w:val="Heading5"/>
              <w:rPr>
                <w:sz w:val="24"/>
              </w:rPr>
            </w:pPr>
            <w:r w:rsidRPr="004646F1">
              <w:rPr>
                <w:sz w:val="24"/>
              </w:rPr>
              <w:t>Authority</w:t>
            </w:r>
          </w:p>
        </w:tc>
        <w:tc>
          <w:tcPr>
            <w:tcW w:w="7740" w:type="dxa"/>
          </w:tcPr>
          <w:p w14:paraId="57C64B25" w14:textId="77777777" w:rsidR="00504F80" w:rsidRPr="004646F1" w:rsidRDefault="00504F80" w:rsidP="00237C22">
            <w:pPr>
              <w:pStyle w:val="BlockText"/>
            </w:pPr>
            <w:r w:rsidRPr="004646F1">
              <w:t>By Direction of the Under Secretary for Benefits</w:t>
            </w:r>
          </w:p>
        </w:tc>
      </w:tr>
    </w:tbl>
    <w:p w14:paraId="57C64B27" w14:textId="77777777" w:rsidR="00504F80" w:rsidRPr="004646F1" w:rsidRDefault="00504F80" w:rsidP="00504F80">
      <w:pPr>
        <w:pStyle w:val="ContinuedOnNextPa"/>
      </w:pPr>
      <w:r w:rsidRPr="004646F1">
        <w:t xml:space="preserve"> </w:t>
      </w:r>
    </w:p>
    <w:tbl>
      <w:tblPr>
        <w:tblW w:w="0" w:type="auto"/>
        <w:tblLayout w:type="fixed"/>
        <w:tblLook w:val="0000" w:firstRow="0" w:lastRow="0" w:firstColumn="0" w:lastColumn="0" w:noHBand="0" w:noVBand="0"/>
      </w:tblPr>
      <w:tblGrid>
        <w:gridCol w:w="1728"/>
        <w:gridCol w:w="7740"/>
      </w:tblGrid>
      <w:tr w:rsidR="00504F80" w:rsidRPr="004646F1" w14:paraId="57C64B2D" w14:textId="77777777" w:rsidTr="00237C22">
        <w:tc>
          <w:tcPr>
            <w:tcW w:w="1728" w:type="dxa"/>
          </w:tcPr>
          <w:p w14:paraId="57C64B28" w14:textId="77777777" w:rsidR="00504F80" w:rsidRPr="004646F1" w:rsidRDefault="00504F80" w:rsidP="00237C22">
            <w:pPr>
              <w:pStyle w:val="Heading5"/>
              <w:rPr>
                <w:sz w:val="24"/>
              </w:rPr>
            </w:pPr>
            <w:r w:rsidRPr="004646F1">
              <w:rPr>
                <w:sz w:val="24"/>
              </w:rPr>
              <w:t>Signature</w:t>
            </w:r>
          </w:p>
        </w:tc>
        <w:tc>
          <w:tcPr>
            <w:tcW w:w="7740" w:type="dxa"/>
          </w:tcPr>
          <w:p w14:paraId="57C64B29" w14:textId="77777777" w:rsidR="00504F80" w:rsidRPr="004646F1" w:rsidRDefault="00504F80" w:rsidP="00237C22">
            <w:pPr>
              <w:pStyle w:val="BlockText"/>
            </w:pPr>
          </w:p>
          <w:p w14:paraId="57C64B2A" w14:textId="77777777" w:rsidR="00504F80" w:rsidRPr="004646F1" w:rsidRDefault="00504F80" w:rsidP="00237C22">
            <w:pPr>
              <w:pStyle w:val="MemoLine"/>
              <w:ind w:left="-18" w:right="612"/>
            </w:pPr>
          </w:p>
          <w:p w14:paraId="57C64B2B" w14:textId="77777777" w:rsidR="00504F80" w:rsidRPr="004646F1" w:rsidRDefault="00504F80" w:rsidP="00237C22">
            <w:pPr>
              <w:rPr>
                <w:szCs w:val="20"/>
              </w:rPr>
            </w:pPr>
            <w:r w:rsidRPr="004646F1">
              <w:t>Thomas J. Murphy, Director</w:t>
            </w:r>
          </w:p>
          <w:p w14:paraId="57C64B2C" w14:textId="77777777" w:rsidR="00504F80" w:rsidRPr="004646F1" w:rsidRDefault="00504F80" w:rsidP="00237C22">
            <w:pPr>
              <w:pStyle w:val="BlockText"/>
            </w:pPr>
            <w:r w:rsidRPr="004646F1">
              <w:t>Compensation Service</w:t>
            </w:r>
          </w:p>
        </w:tc>
      </w:tr>
    </w:tbl>
    <w:p w14:paraId="57C64B2E" w14:textId="77777777" w:rsidR="00504F80" w:rsidRPr="004646F1" w:rsidRDefault="00504F80" w:rsidP="00504F80">
      <w:pPr>
        <w:pStyle w:val="BlockLine"/>
      </w:pPr>
      <w:r w:rsidRPr="004646F1">
        <w:t xml:space="preserve"> </w:t>
      </w:r>
    </w:p>
    <w:tbl>
      <w:tblPr>
        <w:tblW w:w="0" w:type="auto"/>
        <w:tblLayout w:type="fixed"/>
        <w:tblLook w:val="0000" w:firstRow="0" w:lastRow="0" w:firstColumn="0" w:lastColumn="0" w:noHBand="0" w:noVBand="0"/>
      </w:tblPr>
      <w:tblGrid>
        <w:gridCol w:w="1728"/>
        <w:gridCol w:w="7740"/>
      </w:tblGrid>
      <w:tr w:rsidR="00504F80" w:rsidRPr="004646F1" w14:paraId="57C64B31" w14:textId="77777777" w:rsidTr="00237C22">
        <w:tc>
          <w:tcPr>
            <w:tcW w:w="1728" w:type="dxa"/>
          </w:tcPr>
          <w:p w14:paraId="57C64B2F" w14:textId="77777777" w:rsidR="00504F80" w:rsidRPr="004646F1" w:rsidRDefault="00504F80" w:rsidP="00237C22">
            <w:pPr>
              <w:pStyle w:val="Heading5"/>
              <w:rPr>
                <w:sz w:val="24"/>
              </w:rPr>
            </w:pPr>
            <w:r w:rsidRPr="004646F1">
              <w:rPr>
                <w:sz w:val="24"/>
              </w:rPr>
              <w:t>Distribution</w:t>
            </w:r>
          </w:p>
        </w:tc>
        <w:tc>
          <w:tcPr>
            <w:tcW w:w="7740" w:type="dxa"/>
          </w:tcPr>
          <w:p w14:paraId="57C64B30" w14:textId="77777777" w:rsidR="00504F80" w:rsidRPr="004646F1" w:rsidRDefault="00504F80" w:rsidP="00237C22">
            <w:pPr>
              <w:pStyle w:val="BlockText"/>
              <w:jc w:val="center"/>
            </w:pPr>
            <w:r w:rsidRPr="004646F1">
              <w:t>LOCAL REPRODUCTION AUTHORIZED</w:t>
            </w:r>
          </w:p>
        </w:tc>
      </w:tr>
    </w:tbl>
    <w:p w14:paraId="57C64B32" w14:textId="77777777" w:rsidR="00504F80" w:rsidRPr="004646F1" w:rsidRDefault="00504F80" w:rsidP="00504F80">
      <w:pPr>
        <w:pStyle w:val="BlockLine"/>
      </w:pP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RgBvAG4AdABTAGUAdABGAG8AbgB0AFMAZQB0AGkAbQBpAHMAdAB5AGwAZQBzAC4AeABtAGwA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RgBvAG4AdABTAGUAdABGAG8AbgB0AFMAZQB0AEYAbwBuAHQAUwBlAHQAaQBtAGkAcwB0AHkAbABl
AHMALgB4AG0AbAA=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RgBvAG4AdABTAGUAdABGAG8AbgB0AFMAZQB0AEYAbwBuAHQAUwBlAHQARgBvAG4AdABTAGUAdABp
AG0AaQBzAHQAeQBsAGUAcwAuAHgAbQBsAA==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RgBvAG4AdABTAGUAdABGAG8AbgB0AFMAZQB0AEYAbwBuAHQAUwBlAHQARgBvAG4AdABTAGUAdABG
AG8AbgB0AFMAZQB0AGkAbQBpAHMAdAB5AGwAZQBzAC4AeABtAGwA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RgBvAG4AdABTAGUAdABGAG8AbgB0AFMAZQB0AEYAbwBuAHQAUwBlAHQARgBvAG4AdABTAGUAdABG
AG8AbgB0AFMAZQB0AEYAbwBuAHQAUwBlAHQAaQBtAGkAcwB0AHkAbABlAHMALgB4AG0AbAA=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RgBvAG4AdABTAGUAdABGAG8AbgB0AFMAZQB0AEYAbwBuAHQAUwBlAHQARgBvAG4AdABTAGUAdABG
AG8AbgB0AFMAZQB0AEYAbwBuAHQAUwBlAHQARgBvAG4AdABTAGUAdABpAG0AaQBzAHQAeQBsAGUA
cwAuAHgAbQBsAA==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RgBvAG4AdABTAGUAdABGAG8AbgB0AFMAZQB0AEYAbwBuAHQAUwBlAHQARgBvAG4AdABTAGUAdABG
AG8AbgB0AFMAZQB0AEYAbwBuAHQAUwBlAHQARgBvAG4AdABTAGUAdABGAG8AbgB0AFMAZQB0AGkA
bQBpAHMAdAB5AGwAZQBzAC4AeABtAGwA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rsidRPr="004646F1">
        <w:instrText xml:space="preserve"> ADDIN  \* MERGEFORMAT </w:instrText>
      </w:r>
      <w:r w:rsidRPr="004646F1">
        <w:fldChar w:fldCharType="end"/>
      </w:r>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rsidRPr="004646F1">
        <w:instrText xml:space="preserve"> ADDIN  \* MERGEFORMAT </w:instrText>
      </w:r>
      <w:r w:rsidRPr="004646F1">
        <w:fldChar w:fldCharType="end"/>
      </w:r>
    </w:p>
    <w:p w14:paraId="57C64B33" w14:textId="45F104E0" w:rsidR="007D5B97" w:rsidRDefault="00C24D50">
      <w:r w:rsidRPr="004646F1">
        <w:fldChar w:fldCharType="begin">
          <w:fldData xml:space="preserve">RABvAGMAVABlAG0AcAAxAFYAYQByAFQAcgBhAGQAaQB0AGkAbwBuAGEAbAA=
</w:fldData>
        </w:fldChar>
      </w:r>
      <w:r w:rsidRPr="004646F1">
        <w:instrText xml:space="preserve"> ADDIN  \* MERGEFORMAT </w:instrText>
      </w:r>
      <w:r w:rsidRPr="004646F1">
        <w:fldChar w:fldCharType="end"/>
      </w:r>
      <w:r w:rsidRPr="004646F1">
        <w:fldChar w:fldCharType="begin">
          <w:fldData xml:space="preserve">RgBvAG4AdABTAGUAdABpAG0AaQBzAHQAeQBsAGUAcwAuAHgAbQBsAA==
</w:fldData>
        </w:fldChar>
      </w:r>
      <w:r w:rsidRPr="004646F1">
        <w:instrText xml:space="preserve"> ADDIN  \* MERGEFORMAT </w:instrText>
      </w:r>
      <w:r w:rsidRPr="004646F1">
        <w:fldChar w:fldCharType="end"/>
      </w:r>
      <w:r w:rsidR="006D52FE" w:rsidRPr="004646F1">
        <w:fldChar w:fldCharType="begin">
          <w:fldData xml:space="preserve">RABvAGMAVABlAG0AcAAxAFYAYQByAFQAcgBhAGQAaQB0AGkAbwBuAGEAbAA=
</w:fldData>
        </w:fldChar>
      </w:r>
      <w:r w:rsidR="006D52FE" w:rsidRPr="004646F1">
        <w:instrText xml:space="preserve"> ADDIN  \* MERGEFORMAT </w:instrText>
      </w:r>
      <w:r w:rsidR="006D52FE" w:rsidRPr="004646F1">
        <w:fldChar w:fldCharType="end"/>
      </w:r>
      <w:r w:rsidR="006D52FE" w:rsidRPr="004646F1">
        <w:fldChar w:fldCharType="begin">
          <w:fldData xml:space="preserve">RgBvAG4AdABTAGUAdABGAG8AbgB0AFMAZQB0AGkAbQBpAHMAdAB5AGwAZQBzAC4AeABtAGwA
</w:fldData>
        </w:fldChar>
      </w:r>
      <w:r w:rsidR="006D52FE" w:rsidRPr="004646F1">
        <w:instrText xml:space="preserve"> ADDIN  \* MERGEFORMAT </w:instrText>
      </w:r>
      <w:r w:rsidR="006D52FE" w:rsidRPr="004646F1">
        <w:fldChar w:fldCharType="end"/>
      </w:r>
      <w:r w:rsidR="006D10E5" w:rsidRPr="004646F1">
        <w:fldChar w:fldCharType="begin">
          <w:fldData xml:space="preserve">RABvAGMAVABlAG0AcAAxAFYAYQByAFQAcgBhAGQAaQB0AGkAbwBuAGEAbAA=
</w:fldData>
        </w:fldChar>
      </w:r>
      <w:r w:rsidR="006D10E5" w:rsidRPr="004646F1">
        <w:instrText xml:space="preserve"> ADDIN  \* MERGEFORMAT </w:instrText>
      </w:r>
      <w:r w:rsidR="006D10E5" w:rsidRPr="004646F1">
        <w:fldChar w:fldCharType="end"/>
      </w:r>
      <w:r w:rsidR="006D10E5" w:rsidRPr="004646F1">
        <w:fldChar w:fldCharType="begin">
          <w:fldData xml:space="preserve">RgBvAG4AdABTAGUAdABGAG8AbgB0AFMAZQB0AEYAbwBuAHQAUwBlAHQAaQBtAGkAcwB0AHkAbABl
AHMALgB4AG0AbAA=
</w:fldData>
        </w:fldChar>
      </w:r>
      <w:r w:rsidR="006D10E5" w:rsidRPr="004646F1">
        <w:instrText xml:space="preserve"> ADDIN  \* MERGEFORMAT </w:instrText>
      </w:r>
      <w:r w:rsidR="006D10E5" w:rsidRPr="004646F1">
        <w:fldChar w:fldCharType="end"/>
      </w:r>
      <w:r w:rsidR="00600DC7" w:rsidRPr="004646F1">
        <w:fldChar w:fldCharType="begin">
          <w:fldData xml:space="preserve">RABvAGMAVABlAG0AcAAxAFYAYQByAFQAcgBhAGQAaQB0AGkAbwBuAGEAbAA=
</w:fldData>
        </w:fldChar>
      </w:r>
      <w:r w:rsidR="00600DC7" w:rsidRPr="004646F1">
        <w:instrText xml:space="preserve"> ADDIN  \* MERGEFORMAT </w:instrText>
      </w:r>
      <w:r w:rsidR="00600DC7" w:rsidRPr="004646F1">
        <w:fldChar w:fldCharType="end"/>
      </w:r>
      <w:r w:rsidR="00600DC7" w:rsidRPr="004646F1">
        <w:fldChar w:fldCharType="begin">
          <w:fldData xml:space="preserve">RgBvAG4AdABTAGUAdABGAG8AbgB0AFMAZQB0AEYAbwBuAHQAUwBlAHQARgBvAG4AdABTAGUAdABp
AG0AaQBzAHQAeQBsAGUAcwAuAHgAbQBsAA==
</w:fldData>
        </w:fldChar>
      </w:r>
      <w:r w:rsidR="00600DC7" w:rsidRPr="004646F1">
        <w:instrText xml:space="preserve"> ADDIN  \* MERGEFORMAT </w:instrText>
      </w:r>
      <w:r w:rsidR="00600DC7" w:rsidRPr="004646F1">
        <w:fldChar w:fldCharType="end"/>
      </w:r>
      <w:r w:rsidR="003F3021" w:rsidRPr="004646F1">
        <w:fldChar w:fldCharType="begin">
          <w:fldData xml:space="preserve">RABvAGMAVABlAG0AcAAxAFYAYQByAFQAcgBhAGQAaQB0AGkAbwBuAGEAbAA=
</w:fldData>
        </w:fldChar>
      </w:r>
      <w:r w:rsidR="003F3021" w:rsidRPr="004646F1">
        <w:instrText xml:space="preserve"> ADDIN  \* MERGEFORMAT </w:instrText>
      </w:r>
      <w:r w:rsidR="003F3021" w:rsidRPr="004646F1">
        <w:fldChar w:fldCharType="end"/>
      </w:r>
      <w:r w:rsidR="003F3021" w:rsidRPr="004646F1">
        <w:fldChar w:fldCharType="begin">
          <w:fldData xml:space="preserve">RgBvAG4AdABTAGUAdABpAG0AaQBzAHQAeQBsAGUAcwAuAHgAbQBsAA==
</w:fldData>
        </w:fldChar>
      </w:r>
      <w:r w:rsidR="003F3021" w:rsidRPr="004646F1">
        <w:instrText xml:space="preserve"> ADDIN  \* MERGEFORMAT </w:instrText>
      </w:r>
      <w:r w:rsidR="003F3021" w:rsidRPr="004646F1">
        <w:fldChar w:fldCharType="end"/>
      </w:r>
      <w:r w:rsidR="00D33A6E" w:rsidRPr="004646F1">
        <w:fldChar w:fldCharType="begin">
          <w:fldData xml:space="preserve">RABvAGMAVABlAG0AcAAxAFYAYQByAFQAcgBhAGQAaQB0AGkAbwBuAGEAbAA=
</w:fldData>
        </w:fldChar>
      </w:r>
      <w:r w:rsidR="00D33A6E" w:rsidRPr="004646F1">
        <w:instrText xml:space="preserve"> ADDIN  \* MERGEFORMAT </w:instrText>
      </w:r>
      <w:r w:rsidR="00D33A6E" w:rsidRPr="004646F1">
        <w:fldChar w:fldCharType="end"/>
      </w:r>
      <w:r w:rsidR="00D33A6E" w:rsidRPr="004646F1">
        <w:fldChar w:fldCharType="begin">
          <w:fldData xml:space="preserve">RgBvAG4AdABTAGUAdABpAG0AaQBzAHQAeQBsAGUAcwAuAHgAbQBsAA==
</w:fldData>
        </w:fldChar>
      </w:r>
      <w:r w:rsidR="00D33A6E" w:rsidRPr="004646F1">
        <w:instrText xml:space="preserve"> ADDIN  \* MERGEFORMAT </w:instrText>
      </w:r>
      <w:r w:rsidR="00D33A6E" w:rsidRPr="004646F1">
        <w:fldChar w:fldCharType="end"/>
      </w:r>
      <w:r w:rsidR="0055453E" w:rsidRPr="004646F1">
        <w:fldChar w:fldCharType="begin">
          <w:fldData xml:space="preserve">RABvAGMAVABlAG0AcAAxAFYAYQByAFQAcgBhAGQAaQB0AGkAbwBuAGEAbAA=
</w:fldData>
        </w:fldChar>
      </w:r>
      <w:r w:rsidR="0055453E" w:rsidRPr="004646F1">
        <w:instrText xml:space="preserve"> ADDIN  \* MERGEFORMAT </w:instrText>
      </w:r>
      <w:r w:rsidR="0055453E" w:rsidRPr="004646F1">
        <w:fldChar w:fldCharType="end"/>
      </w:r>
      <w:r w:rsidR="0055453E" w:rsidRPr="004646F1">
        <w:fldChar w:fldCharType="begin">
          <w:fldData xml:space="preserve">RgBvAG4AdABTAGUAdABpAG0AaQBzAHQAeQBsAGUAcwAuAHgAbQBsAA==
</w:fldData>
        </w:fldChar>
      </w:r>
      <w:r w:rsidR="0055453E" w:rsidRPr="004646F1">
        <w:instrText xml:space="preserve"> ADDIN  \* MERGEFORMAT </w:instrText>
      </w:r>
      <w:r w:rsidR="0055453E" w:rsidRPr="004646F1">
        <w:fldChar w:fldCharType="end"/>
      </w:r>
      <w:r w:rsidR="00E67135" w:rsidRPr="004646F1">
        <w:fldChar w:fldCharType="begin">
          <w:fldData xml:space="preserve">RABvAGMAVABlAG0AcAAxAFYAYQByAFQAcgBhAGQAaQB0AGkAbwBuAGEAbAA=
</w:fldData>
        </w:fldChar>
      </w:r>
      <w:r w:rsidR="00E67135" w:rsidRPr="004646F1">
        <w:instrText xml:space="preserve"> ADDIN  \* MERGEFORMAT </w:instrText>
      </w:r>
      <w:r w:rsidR="00E67135" w:rsidRPr="004646F1">
        <w:fldChar w:fldCharType="end"/>
      </w:r>
      <w:r w:rsidR="00E67135" w:rsidRPr="004646F1">
        <w:fldChar w:fldCharType="begin">
          <w:fldData xml:space="preserve">RgBvAG4AdABTAGUAdABpAG0AaQBzAHQAeQBsAGUAcwAuAHgAbQBsAA==
</w:fldData>
        </w:fldChar>
      </w:r>
      <w:r w:rsidR="00E67135" w:rsidRPr="004646F1">
        <w:instrText xml:space="preserve"> ADDIN  \* MERGEFORMAT </w:instrText>
      </w:r>
      <w:r w:rsidR="00E67135" w:rsidRPr="004646F1">
        <w:fldChar w:fldCharType="end"/>
      </w:r>
      <w:bookmarkStart w:id="0" w:name="_GoBack"/>
      <w:bookmarkEnd w:id="0"/>
    </w:p>
    <w:sectPr w:rsidR="007D5B97" w:rsidSect="00237C22">
      <w:footerReference w:type="even" r:id="rId13"/>
      <w:footerReference w:type="default" r:id="rId14"/>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B326EB" w14:textId="77777777" w:rsidR="0045696F" w:rsidRDefault="0045696F" w:rsidP="00C765C7">
      <w:r>
        <w:separator/>
      </w:r>
    </w:p>
  </w:endnote>
  <w:endnote w:type="continuationSeparator" w:id="0">
    <w:p w14:paraId="2BDADAE4" w14:textId="77777777" w:rsidR="0045696F" w:rsidRDefault="0045696F"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A"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646F1">
      <w:rPr>
        <w:rStyle w:val="PageNumber"/>
        <w:noProof/>
      </w:rPr>
      <w:t>ii</w:t>
    </w:r>
    <w:r>
      <w:rPr>
        <w:rStyle w:val="PageNumber"/>
      </w:rPr>
      <w:fldChar w:fldCharType="end"/>
    </w:r>
  </w:p>
  <w:p w14:paraId="57C64B3B" w14:textId="77777777" w:rsidR="00237C22" w:rsidRDefault="00237C22" w:rsidP="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D560CD" w14:textId="77777777" w:rsidR="0045696F" w:rsidRDefault="0045696F" w:rsidP="00C765C7">
      <w:r>
        <w:separator/>
      </w:r>
    </w:p>
  </w:footnote>
  <w:footnote w:type="continuationSeparator" w:id="0">
    <w:p w14:paraId="29382D4D" w14:textId="77777777" w:rsidR="0045696F" w:rsidRDefault="0045696F"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7pt;height:11.7pt" o:bullet="t">
        <v:imagedata r:id="rId1" o:title="fspro_2columns"/>
      </v:shape>
    </w:pict>
  </w:numPicBullet>
  <w:numPicBullet w:numPicBulletId="1">
    <w:pict>
      <v:shape id="_x0000_i1027" type="#_x0000_t75" style="width:11.7pt;height:11.7pt" o:bullet="t">
        <v:imagedata r:id="rId2" o:title="advanced"/>
      </v:shape>
    </w:pict>
  </w:numPicBullet>
  <w:numPicBullet w:numPicBulletId="2">
    <w:pict>
      <v:shape id="_x0000_i1028" type="#_x0000_t75" style="width:11.7pt;height:11.7pt" o:bullet="t">
        <v:imagedata r:id="rId3" o:title="continue"/>
      </v:shape>
    </w:pict>
  </w:numPicBullet>
  <w:numPicBullet w:numPicBulletId="3">
    <w:pict>
      <v:shape id="_x0000_i1029" type="#_x0000_t75" style="width:11.7pt;height:11.7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3">
    <w:nsid w:val="4A073D7B"/>
    <w:multiLevelType w:val="hybridMultilevel"/>
    <w:tmpl w:val="AF70F5C0"/>
    <w:lvl w:ilvl="0" w:tplc="328234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5">
    <w:nsid w:val="574417C3"/>
    <w:multiLevelType w:val="hybridMultilevel"/>
    <w:tmpl w:val="A29848AC"/>
    <w:lvl w:ilvl="0" w:tplc="F6663A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9250C51"/>
    <w:multiLevelType w:val="hybridMultilevel"/>
    <w:tmpl w:val="6FA69B48"/>
    <w:lvl w:ilvl="0" w:tplc="328234E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B4C78"/>
    <w:multiLevelType w:val="singleLevel"/>
    <w:tmpl w:val="B4525DB6"/>
    <w:lvl w:ilvl="0">
      <w:start w:val="1"/>
      <w:numFmt w:val="bullet"/>
      <w:lvlText w:val=""/>
      <w:lvlJc w:val="left"/>
      <w:pPr>
        <w:tabs>
          <w:tab w:val="num" w:pos="533"/>
        </w:tabs>
        <w:ind w:left="533" w:hanging="360"/>
      </w:pPr>
      <w:rPr>
        <w:rFonts w:ascii="Symbol" w:hAnsi="Symbol" w:hint="default"/>
        <w:color w:val="auto"/>
      </w:rPr>
    </w:lvl>
  </w:abstractNum>
  <w:abstractNum w:abstractNumId="1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abstractNum w:abstractNumId="12">
    <w:nsid w:val="78407290"/>
    <w:multiLevelType w:val="singleLevel"/>
    <w:tmpl w:val="67E094DC"/>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7"/>
  </w:num>
  <w:num w:numId="3">
    <w:abstractNumId w:val="0"/>
  </w:num>
  <w:num w:numId="4">
    <w:abstractNumId w:val="10"/>
  </w:num>
  <w:num w:numId="5">
    <w:abstractNumId w:val="6"/>
  </w:num>
  <w:num w:numId="6">
    <w:abstractNumId w:val="4"/>
  </w:num>
  <w:num w:numId="7">
    <w:abstractNumId w:val="11"/>
  </w:num>
  <w:num w:numId="8">
    <w:abstractNumId w:val="2"/>
  </w:num>
  <w:num w:numId="9">
    <w:abstractNumId w:val="1"/>
  </w:num>
  <w:num w:numId="10">
    <w:abstractNumId w:val="9"/>
  </w:num>
  <w:num w:numId="11">
    <w:abstractNumId w:val="5"/>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93228"/>
    <w:rsid w:val="000A7776"/>
    <w:rsid w:val="000E320F"/>
    <w:rsid w:val="000E5DEF"/>
    <w:rsid w:val="00100433"/>
    <w:rsid w:val="0010215F"/>
    <w:rsid w:val="00106EEF"/>
    <w:rsid w:val="00120103"/>
    <w:rsid w:val="00123973"/>
    <w:rsid w:val="001253ED"/>
    <w:rsid w:val="00186D46"/>
    <w:rsid w:val="001C3AE3"/>
    <w:rsid w:val="001C3EB5"/>
    <w:rsid w:val="001C568E"/>
    <w:rsid w:val="002041BE"/>
    <w:rsid w:val="00205C50"/>
    <w:rsid w:val="002220F1"/>
    <w:rsid w:val="00226C96"/>
    <w:rsid w:val="00236923"/>
    <w:rsid w:val="00237C22"/>
    <w:rsid w:val="00240624"/>
    <w:rsid w:val="00251A2D"/>
    <w:rsid w:val="00264204"/>
    <w:rsid w:val="00271962"/>
    <w:rsid w:val="0027298D"/>
    <w:rsid w:val="002A1D3E"/>
    <w:rsid w:val="002B5820"/>
    <w:rsid w:val="002B7A7E"/>
    <w:rsid w:val="002C151B"/>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5696F"/>
    <w:rsid w:val="004646F1"/>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05D5F"/>
    <w:rsid w:val="0062068D"/>
    <w:rsid w:val="006317AA"/>
    <w:rsid w:val="006473C3"/>
    <w:rsid w:val="006708D7"/>
    <w:rsid w:val="006837E0"/>
    <w:rsid w:val="006B7262"/>
    <w:rsid w:val="006C3E5F"/>
    <w:rsid w:val="006C48FF"/>
    <w:rsid w:val="006D10E5"/>
    <w:rsid w:val="006D52FE"/>
    <w:rsid w:val="006F6D37"/>
    <w:rsid w:val="007145D3"/>
    <w:rsid w:val="00724248"/>
    <w:rsid w:val="00732186"/>
    <w:rsid w:val="00737049"/>
    <w:rsid w:val="00751911"/>
    <w:rsid w:val="007A0C5F"/>
    <w:rsid w:val="007D5B97"/>
    <w:rsid w:val="007E5515"/>
    <w:rsid w:val="00803B62"/>
    <w:rsid w:val="0080590C"/>
    <w:rsid w:val="008144E7"/>
    <w:rsid w:val="00822A16"/>
    <w:rsid w:val="0086475B"/>
    <w:rsid w:val="00875AFA"/>
    <w:rsid w:val="0088609E"/>
    <w:rsid w:val="008B2C11"/>
    <w:rsid w:val="008B4CB5"/>
    <w:rsid w:val="008C723F"/>
    <w:rsid w:val="008D12C3"/>
    <w:rsid w:val="008D458B"/>
    <w:rsid w:val="008E22CF"/>
    <w:rsid w:val="008E5824"/>
    <w:rsid w:val="008E589A"/>
    <w:rsid w:val="008F14EA"/>
    <w:rsid w:val="008F1D5B"/>
    <w:rsid w:val="00916AE6"/>
    <w:rsid w:val="00933BDB"/>
    <w:rsid w:val="00945950"/>
    <w:rsid w:val="009769CD"/>
    <w:rsid w:val="00997D98"/>
    <w:rsid w:val="009C22C8"/>
    <w:rsid w:val="009C6B2E"/>
    <w:rsid w:val="009D0C60"/>
    <w:rsid w:val="009E6E1A"/>
    <w:rsid w:val="00A13494"/>
    <w:rsid w:val="00A2703B"/>
    <w:rsid w:val="00A315CB"/>
    <w:rsid w:val="00A3579D"/>
    <w:rsid w:val="00A55356"/>
    <w:rsid w:val="00A557BB"/>
    <w:rsid w:val="00A8082E"/>
    <w:rsid w:val="00A8520D"/>
    <w:rsid w:val="00AC2993"/>
    <w:rsid w:val="00AC43CF"/>
    <w:rsid w:val="00AD0EDC"/>
    <w:rsid w:val="00AF2CD6"/>
    <w:rsid w:val="00B0548B"/>
    <w:rsid w:val="00B30D2F"/>
    <w:rsid w:val="00B50AD7"/>
    <w:rsid w:val="00B64F2F"/>
    <w:rsid w:val="00B93A3C"/>
    <w:rsid w:val="00B96287"/>
    <w:rsid w:val="00BB3345"/>
    <w:rsid w:val="00BB7CEE"/>
    <w:rsid w:val="00BF7FE3"/>
    <w:rsid w:val="00C0404B"/>
    <w:rsid w:val="00C24D50"/>
    <w:rsid w:val="00C273AD"/>
    <w:rsid w:val="00C765C7"/>
    <w:rsid w:val="00CD2D08"/>
    <w:rsid w:val="00D33A6E"/>
    <w:rsid w:val="00D36508"/>
    <w:rsid w:val="00D57B91"/>
    <w:rsid w:val="00D61497"/>
    <w:rsid w:val="00D77146"/>
    <w:rsid w:val="00D823AF"/>
    <w:rsid w:val="00D87741"/>
    <w:rsid w:val="00D9207B"/>
    <w:rsid w:val="00DA11C2"/>
    <w:rsid w:val="00DB074F"/>
    <w:rsid w:val="00DB2902"/>
    <w:rsid w:val="00DB743E"/>
    <w:rsid w:val="00DC040B"/>
    <w:rsid w:val="00DE0E35"/>
    <w:rsid w:val="00DF44AC"/>
    <w:rsid w:val="00E2529E"/>
    <w:rsid w:val="00E36906"/>
    <w:rsid w:val="00E648E9"/>
    <w:rsid w:val="00E67135"/>
    <w:rsid w:val="00E77596"/>
    <w:rsid w:val="00E964FD"/>
    <w:rsid w:val="00ED4D5E"/>
    <w:rsid w:val="00ED71C8"/>
    <w:rsid w:val="00F006B2"/>
    <w:rsid w:val="00F43DFA"/>
    <w:rsid w:val="00F62F0B"/>
    <w:rsid w:val="00F7704F"/>
    <w:rsid w:val="00F87670"/>
    <w:rsid w:val="00F87F72"/>
    <w:rsid w:val="00F90609"/>
    <w:rsid w:val="00FA29E1"/>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F770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rsid w:val="008F14EA"/>
    <w:pPr>
      <w:numPr>
        <w:numId w:val="2"/>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3"/>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semiHidden/>
    <w:unhideWhenUsed/>
    <w:rsid w:val="00B96287"/>
    <w:rPr>
      <w:sz w:val="16"/>
      <w:szCs w:val="16"/>
    </w:rPr>
  </w:style>
  <w:style w:type="paragraph" w:styleId="CommentText">
    <w:name w:val="annotation text"/>
    <w:basedOn w:val="Normal"/>
    <w:link w:val="CommentTextChar"/>
    <w:uiPriority w:val="99"/>
    <w:semiHidden/>
    <w:unhideWhenUsed/>
    <w:rsid w:val="00B96287"/>
    <w:rPr>
      <w:sz w:val="20"/>
      <w:szCs w:val="20"/>
    </w:rPr>
  </w:style>
  <w:style w:type="character" w:customStyle="1" w:styleId="CommentTextChar">
    <w:name w:val="Comment Text Char"/>
    <w:link w:val="CommentText"/>
    <w:uiPriority w:val="99"/>
    <w:semiHidden/>
    <w:rsid w:val="00B96287"/>
    <w:rPr>
      <w:rFonts w:eastAsia="Times New Roman"/>
      <w:color w:val="000000"/>
    </w:rPr>
  </w:style>
  <w:style w:type="paragraph" w:styleId="CommentSubject">
    <w:name w:val="annotation subject"/>
    <w:basedOn w:val="CommentText"/>
    <w:next w:val="CommentText"/>
    <w:link w:val="CommentSubjectChar"/>
    <w:uiPriority w:val="99"/>
    <w:semiHidden/>
    <w:unhideWhenUsed/>
    <w:rsid w:val="00B96287"/>
    <w:rPr>
      <w:b/>
      <w:bCs/>
    </w:rPr>
  </w:style>
  <w:style w:type="character" w:customStyle="1" w:styleId="CommentSubjectChar">
    <w:name w:val="Comment Subject Char"/>
    <w:link w:val="CommentSubject"/>
    <w:uiPriority w:val="99"/>
    <w:semiHidden/>
    <w:rsid w:val="00B96287"/>
    <w:rPr>
      <w:rFonts w:eastAsia="Times New Roman"/>
      <w:b/>
      <w:bCs/>
      <w:color w:val="000000"/>
    </w:rPr>
  </w:style>
  <w:style w:type="paragraph" w:styleId="BalloonText">
    <w:name w:val="Balloon Text"/>
    <w:basedOn w:val="Normal"/>
    <w:link w:val="BalloonTextChar"/>
    <w:semiHidden/>
    <w:rsid w:val="008F14EA"/>
    <w:rPr>
      <w:rFonts w:ascii="Tahoma" w:hAnsi="Tahoma" w:cs="Tahoma"/>
      <w:sz w:val="16"/>
      <w:szCs w:val="16"/>
    </w:rPr>
  </w:style>
  <w:style w:type="character" w:customStyle="1" w:styleId="BalloonTextChar">
    <w:name w:val="Balloon Text Char"/>
    <w:link w:val="BalloonText"/>
    <w:semiHidden/>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4"/>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F77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D0BB3262-7E72-4827-AF20-6F4868708AA5}">
  <ds:schemaRefs>
    <ds:schemaRef ds:uri="http://schemas.microsoft.com/office/2006/documentManagement/types"/>
    <ds:schemaRef ds:uri="http://schemas.microsoft.com/office/infopath/2007/PartnerControls"/>
    <ds:schemaRef ds:uri="http://purl.org/dc/terms/"/>
    <ds:schemaRef ds:uri="http://purl.org/dc/elements/1.1/"/>
    <ds:schemaRef ds:uri="http://purl.org/dc/dcmitype/"/>
    <ds:schemaRef ds:uri="http://www.w3.org/XML/1998/namespace"/>
    <ds:schemaRef ds:uri="http://schemas.openxmlformats.org/package/2006/metadata/core-properties"/>
    <ds:schemaRef ds:uri="b438dcf7-3998-4283-b7fc-0ec6fa8e430f"/>
    <ds:schemaRef ds:uri="http://schemas.microsoft.com/office/2006/metadata/properties"/>
  </ds:schemaRefs>
</ds:datastoreItem>
</file>

<file path=customXml/itemProps4.xml><?xml version="1.0" encoding="utf-8"?>
<ds:datastoreItem xmlns:ds="http://schemas.openxmlformats.org/officeDocument/2006/customXml" ds:itemID="{84AC401A-5031-4662-850F-E88DB083E0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5DDA91-B067-41F0-9F32-4466FEC5F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Transmittal Sheet</Template>
  <TotalTime>119</TotalTime>
  <Pages>2</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Amy Hamma</cp:lastModifiedBy>
  <cp:revision>16</cp:revision>
  <dcterms:created xsi:type="dcterms:W3CDTF">2015-03-24T15:11:00Z</dcterms:created>
  <dcterms:modified xsi:type="dcterms:W3CDTF">2015-05-19T18:59:00Z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