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C38EF" w14:textId="77777777" w:rsidR="00C809DE" w:rsidRPr="00BA19EF" w:rsidRDefault="00F45E82">
      <w:pPr>
        <w:pStyle w:val="Heading3"/>
      </w:pPr>
      <w:r w:rsidRPr="00BA19EF">
        <w:t xml:space="preserve">Section C.  Compensation for Certain Paired Organs and Extremities </w:t>
      </w:r>
      <w:proofErr w:type="gramStart"/>
      <w:r w:rsidRPr="00BA19EF">
        <w:t>Under</w:t>
      </w:r>
      <w:proofErr w:type="gramEnd"/>
      <w:r w:rsidRPr="00BA19EF">
        <w:t xml:space="preserve"> 38 CFR 3.383</w:t>
      </w:r>
    </w:p>
    <w:p w14:paraId="6D5C38F0" w14:textId="77777777" w:rsidR="00C809DE" w:rsidRPr="00BA19EF" w:rsidRDefault="00F45E82">
      <w:pPr>
        <w:pStyle w:val="Heading4"/>
      </w:pPr>
      <w:r w:rsidRPr="00BA19EF">
        <w:fldChar w:fldCharType="begin"/>
      </w:r>
      <w:r w:rsidRPr="00BA19EF">
        <w:instrText xml:space="preserve"> PRIVATE INFOTYPE="OTHER" </w:instrText>
      </w:r>
      <w:r w:rsidRPr="00BA19EF">
        <w:fldChar w:fldCharType="end"/>
      </w:r>
      <w:r w:rsidRPr="00BA19EF">
        <w:t>Overview</w:t>
      </w:r>
    </w:p>
    <w:p w14:paraId="6D5C38F1" w14:textId="77777777" w:rsidR="00C809DE" w:rsidRPr="00BA19EF" w:rsidRDefault="00C809DE">
      <w:pPr>
        <w:pStyle w:val="BlockLine"/>
      </w:pPr>
    </w:p>
    <w:tbl>
      <w:tblPr>
        <w:tblW w:w="0" w:type="auto"/>
        <w:tblLayout w:type="fixed"/>
        <w:tblLook w:val="0000" w:firstRow="0" w:lastRow="0" w:firstColumn="0" w:lastColumn="0" w:noHBand="0" w:noVBand="0"/>
      </w:tblPr>
      <w:tblGrid>
        <w:gridCol w:w="1728"/>
        <w:gridCol w:w="7740"/>
      </w:tblGrid>
      <w:tr w:rsidR="00C809DE" w:rsidRPr="00BA19EF" w14:paraId="6D5C38F4" w14:textId="77777777">
        <w:trPr>
          <w:cantSplit/>
        </w:trPr>
        <w:tc>
          <w:tcPr>
            <w:tcW w:w="1728" w:type="dxa"/>
          </w:tcPr>
          <w:p w14:paraId="6D5C38F2" w14:textId="68F7C5F7" w:rsidR="00C809DE" w:rsidRPr="00BA19EF" w:rsidRDefault="00F45E82">
            <w:pPr>
              <w:pStyle w:val="Heading5"/>
            </w:pPr>
            <w:r w:rsidRPr="00BA19EF">
              <w:t xml:space="preserve">In </w:t>
            </w:r>
            <w:r w:rsidR="009D3745" w:rsidRPr="00BA19EF">
              <w:t>T</w:t>
            </w:r>
            <w:r w:rsidRPr="00BA19EF">
              <w:t>his Section</w:t>
            </w:r>
          </w:p>
        </w:tc>
        <w:tc>
          <w:tcPr>
            <w:tcW w:w="7740" w:type="dxa"/>
          </w:tcPr>
          <w:p w14:paraId="6D5C38F3" w14:textId="04727CF6" w:rsidR="00C809DE" w:rsidRPr="00BA19EF" w:rsidRDefault="00F45E82">
            <w:pPr>
              <w:pStyle w:val="BlockText"/>
            </w:pPr>
            <w:r w:rsidRPr="00BA19EF">
              <w:t>This section contains the following topics</w:t>
            </w:r>
          </w:p>
        </w:tc>
      </w:tr>
    </w:tbl>
    <w:p w14:paraId="5F970365" w14:textId="77777777" w:rsidR="00F404C1" w:rsidRPr="00BA19EF" w:rsidDel="00F404C1" w:rsidRDefault="00F404C1" w:rsidP="000634CF">
      <w:pPr>
        <w:tabs>
          <w:tab w:val="left" w:pos="9360"/>
        </w:tabs>
        <w:ind w:left="1714"/>
      </w:pPr>
    </w:p>
    <w:tbl>
      <w:tblPr>
        <w:tblStyle w:val="TableGrid"/>
        <w:tblW w:w="7650" w:type="dxa"/>
        <w:tblInd w:w="1818" w:type="dxa"/>
        <w:tblLook w:val="04A0" w:firstRow="1" w:lastRow="0" w:firstColumn="1" w:lastColumn="0" w:noHBand="0" w:noVBand="1"/>
      </w:tblPr>
      <w:tblGrid>
        <w:gridCol w:w="1260"/>
        <w:gridCol w:w="6390"/>
      </w:tblGrid>
      <w:tr w:rsidR="00F404C1" w:rsidRPr="00BA19EF" w14:paraId="4A0B1D36" w14:textId="77777777" w:rsidTr="003D44D3">
        <w:tc>
          <w:tcPr>
            <w:tcW w:w="1260" w:type="dxa"/>
          </w:tcPr>
          <w:p w14:paraId="3F6A2656" w14:textId="77777777" w:rsidR="00F404C1" w:rsidRPr="00BA19EF" w:rsidRDefault="00F404C1" w:rsidP="003D44D3">
            <w:pPr>
              <w:jc w:val="center"/>
              <w:rPr>
                <w:b/>
              </w:rPr>
            </w:pPr>
            <w:r w:rsidRPr="00BA19EF">
              <w:rPr>
                <w:b/>
              </w:rPr>
              <w:t>Topic</w:t>
            </w:r>
          </w:p>
        </w:tc>
        <w:tc>
          <w:tcPr>
            <w:tcW w:w="6390" w:type="dxa"/>
          </w:tcPr>
          <w:p w14:paraId="664D999E" w14:textId="77777777" w:rsidR="00F404C1" w:rsidRPr="00BA19EF" w:rsidRDefault="00F404C1" w:rsidP="003D44D3">
            <w:pPr>
              <w:jc w:val="center"/>
              <w:rPr>
                <w:b/>
              </w:rPr>
            </w:pPr>
            <w:r w:rsidRPr="00BA19EF">
              <w:rPr>
                <w:b/>
              </w:rPr>
              <w:t>Topic Name</w:t>
            </w:r>
          </w:p>
        </w:tc>
      </w:tr>
      <w:tr w:rsidR="00F404C1" w:rsidRPr="00BA19EF" w14:paraId="439B836D" w14:textId="77777777" w:rsidTr="003D44D3">
        <w:tc>
          <w:tcPr>
            <w:tcW w:w="1260" w:type="dxa"/>
          </w:tcPr>
          <w:p w14:paraId="276C8027" w14:textId="77777777" w:rsidR="00F404C1" w:rsidRPr="00BA19EF" w:rsidRDefault="00F404C1" w:rsidP="003D44D3">
            <w:r w:rsidRPr="00BA19EF">
              <w:t>1 (old 8)</w:t>
            </w:r>
          </w:p>
        </w:tc>
        <w:tc>
          <w:tcPr>
            <w:tcW w:w="6390" w:type="dxa"/>
          </w:tcPr>
          <w:p w14:paraId="087D225A" w14:textId="77777777" w:rsidR="00F404C1" w:rsidRPr="00BA19EF" w:rsidRDefault="00F404C1" w:rsidP="003D44D3">
            <w:r w:rsidRPr="00BA19EF">
              <w:t>Special Consideration for Certain Paired Organs and Extremities</w:t>
            </w:r>
          </w:p>
        </w:tc>
      </w:tr>
      <w:tr w:rsidR="00F404C1" w:rsidRPr="00BA19EF" w14:paraId="75991C35" w14:textId="77777777" w:rsidTr="003D44D3">
        <w:tc>
          <w:tcPr>
            <w:tcW w:w="1260" w:type="dxa"/>
          </w:tcPr>
          <w:p w14:paraId="400DD74C" w14:textId="77777777" w:rsidR="00F404C1" w:rsidRPr="00BA19EF" w:rsidRDefault="00F404C1" w:rsidP="003D44D3">
            <w:r w:rsidRPr="00BA19EF">
              <w:t>2 (old 9)</w:t>
            </w:r>
          </w:p>
        </w:tc>
        <w:tc>
          <w:tcPr>
            <w:tcW w:w="6390" w:type="dxa"/>
          </w:tcPr>
          <w:p w14:paraId="6E094B42" w14:textId="77777777" w:rsidR="00F404C1" w:rsidRPr="00BA19EF" w:rsidRDefault="00F404C1" w:rsidP="003D44D3">
            <w:r w:rsidRPr="00BA19EF">
              <w:t>The Prohibition Against Duplication of Benefits</w:t>
            </w:r>
          </w:p>
        </w:tc>
      </w:tr>
      <w:tr w:rsidR="00F404C1" w:rsidRPr="00BA19EF" w14:paraId="16676C4C" w14:textId="77777777" w:rsidTr="003D44D3">
        <w:tc>
          <w:tcPr>
            <w:tcW w:w="1260" w:type="dxa"/>
          </w:tcPr>
          <w:p w14:paraId="0DDC1990" w14:textId="77777777" w:rsidR="00F404C1" w:rsidRPr="00BA19EF" w:rsidRDefault="00F404C1" w:rsidP="003D44D3">
            <w:r w:rsidRPr="00BA19EF">
              <w:t>3 (old 10)</w:t>
            </w:r>
          </w:p>
        </w:tc>
        <w:tc>
          <w:tcPr>
            <w:tcW w:w="6390" w:type="dxa"/>
          </w:tcPr>
          <w:p w14:paraId="4FCD69FA" w14:textId="77777777" w:rsidR="00F404C1" w:rsidRPr="00BA19EF" w:rsidRDefault="00F404C1" w:rsidP="003D44D3">
            <w:r w:rsidRPr="00BA19EF">
              <w:t>Preparation of Awards Under 38 CFR 3.383</w:t>
            </w:r>
          </w:p>
        </w:tc>
      </w:tr>
    </w:tbl>
    <w:p w14:paraId="616B10DE" w14:textId="7916A45A" w:rsidR="000634CF" w:rsidRPr="00BA19EF" w:rsidRDefault="000634CF" w:rsidP="000634CF">
      <w:pPr>
        <w:tabs>
          <w:tab w:val="left" w:pos="9360"/>
        </w:tabs>
        <w:ind w:left="1714"/>
      </w:pPr>
      <w:r w:rsidRPr="00BA19EF">
        <w:rPr>
          <w:u w:val="single"/>
        </w:rPr>
        <w:tab/>
      </w:r>
    </w:p>
    <w:p w14:paraId="50612776" w14:textId="77777777" w:rsidR="000634CF" w:rsidRPr="00BA19EF" w:rsidRDefault="000634CF" w:rsidP="000634CF">
      <w:pPr>
        <w:ind w:left="1714"/>
      </w:pPr>
    </w:p>
    <w:p w14:paraId="6D5C3907" w14:textId="37308FE2" w:rsidR="00C809DE" w:rsidRPr="00BA19EF" w:rsidRDefault="00F45E82" w:rsidP="00745575">
      <w:pPr>
        <w:rPr>
          <w:rFonts w:cs="Arial"/>
          <w:szCs w:val="32"/>
        </w:rPr>
      </w:pPr>
      <w:r w:rsidRPr="00BA19EF">
        <w:br w:type="page"/>
      </w:r>
      <w:r w:rsidR="00C8771E" w:rsidRPr="00BA19EF">
        <w:rPr>
          <w:rFonts w:ascii="Arial" w:hAnsi="Arial" w:cs="Arial"/>
          <w:b/>
          <w:sz w:val="32"/>
          <w:szCs w:val="32"/>
        </w:rPr>
        <w:lastRenderedPageBreak/>
        <w:t>1</w:t>
      </w:r>
      <w:r w:rsidRPr="00BA19EF">
        <w:rPr>
          <w:rFonts w:ascii="Arial" w:hAnsi="Arial" w:cs="Arial"/>
          <w:b/>
          <w:sz w:val="32"/>
          <w:szCs w:val="32"/>
        </w:rPr>
        <w:t>.  Special Consideration for Certain Paired Organs and Extremities</w:t>
      </w:r>
    </w:p>
    <w:p w14:paraId="6D5C3908" w14:textId="77777777" w:rsidR="00C809DE" w:rsidRPr="00BA19EF" w:rsidRDefault="00C809DE">
      <w:pPr>
        <w:pStyle w:val="BlockLine"/>
      </w:pPr>
    </w:p>
    <w:tbl>
      <w:tblPr>
        <w:tblW w:w="0" w:type="auto"/>
        <w:tblLayout w:type="fixed"/>
        <w:tblLook w:val="0000" w:firstRow="0" w:lastRow="0" w:firstColumn="0" w:lastColumn="0" w:noHBand="0" w:noVBand="0"/>
      </w:tblPr>
      <w:tblGrid>
        <w:gridCol w:w="1728"/>
        <w:gridCol w:w="7740"/>
      </w:tblGrid>
      <w:tr w:rsidR="00C809DE" w:rsidRPr="00BA19EF" w14:paraId="6D5C390B" w14:textId="77777777">
        <w:trPr>
          <w:cantSplit/>
        </w:trPr>
        <w:tc>
          <w:tcPr>
            <w:tcW w:w="1728" w:type="dxa"/>
          </w:tcPr>
          <w:p w14:paraId="6D5C3909" w14:textId="77777777" w:rsidR="00C809DE" w:rsidRPr="00BA19EF" w:rsidRDefault="00F45E82">
            <w:pPr>
              <w:pStyle w:val="Heading5"/>
            </w:pPr>
            <w:r w:rsidRPr="00BA19EF">
              <w:t>Change Date</w:t>
            </w:r>
          </w:p>
        </w:tc>
        <w:tc>
          <w:tcPr>
            <w:tcW w:w="7740" w:type="dxa"/>
          </w:tcPr>
          <w:p w14:paraId="6D5C390A" w14:textId="29A618D6" w:rsidR="00C809DE" w:rsidRPr="00BA19EF" w:rsidRDefault="002F4233" w:rsidP="000437E7">
            <w:pPr>
              <w:pStyle w:val="BlockText"/>
            </w:pPr>
            <w:r w:rsidRPr="00BA19EF">
              <w:t>May 8, 2015</w:t>
            </w:r>
          </w:p>
        </w:tc>
      </w:tr>
    </w:tbl>
    <w:p w14:paraId="6D5C390C" w14:textId="77777777" w:rsidR="00C809DE" w:rsidRPr="00BA19EF" w:rsidRDefault="00F45E82">
      <w:pPr>
        <w:pStyle w:val="BlockLine"/>
      </w:pPr>
      <w:r w:rsidRPr="00BA19EF">
        <w:t xml:space="preserve"> </w:t>
      </w:r>
    </w:p>
    <w:tbl>
      <w:tblPr>
        <w:tblW w:w="0" w:type="auto"/>
        <w:tblLayout w:type="fixed"/>
        <w:tblLook w:val="0000" w:firstRow="0" w:lastRow="0" w:firstColumn="0" w:lastColumn="0" w:noHBand="0" w:noVBand="0"/>
      </w:tblPr>
      <w:tblGrid>
        <w:gridCol w:w="1728"/>
        <w:gridCol w:w="7740"/>
      </w:tblGrid>
      <w:tr w:rsidR="00C809DE" w:rsidRPr="00BA19EF" w14:paraId="6D5C3919" w14:textId="77777777">
        <w:trPr>
          <w:cantSplit/>
        </w:trPr>
        <w:tc>
          <w:tcPr>
            <w:tcW w:w="1728" w:type="dxa"/>
          </w:tcPr>
          <w:p w14:paraId="6D5C390D" w14:textId="77777777" w:rsidR="00C809DE" w:rsidRPr="00BA19EF" w:rsidRDefault="00F45E82">
            <w:pPr>
              <w:pStyle w:val="Heading5"/>
            </w:pPr>
            <w:proofErr w:type="gramStart"/>
            <w:r w:rsidRPr="00BA19EF">
              <w:t>a.  Considering</w:t>
            </w:r>
            <w:proofErr w:type="gramEnd"/>
            <w:r w:rsidRPr="00BA19EF">
              <w:t xml:space="preserve"> Paired Organs and Extremities</w:t>
            </w:r>
          </w:p>
        </w:tc>
        <w:tc>
          <w:tcPr>
            <w:tcW w:w="7740" w:type="dxa"/>
          </w:tcPr>
          <w:p w14:paraId="6D5C390E" w14:textId="77777777" w:rsidR="00C809DE" w:rsidRPr="00BA19EF" w:rsidRDefault="00F45E82">
            <w:pPr>
              <w:pStyle w:val="BlockText"/>
            </w:pPr>
            <w:r w:rsidRPr="00BA19EF">
              <w:t>In certain cases</w:t>
            </w:r>
          </w:p>
          <w:p w14:paraId="6D5C390F" w14:textId="77777777" w:rsidR="00C809DE" w:rsidRPr="00BA19EF" w:rsidRDefault="00C809DE">
            <w:pPr>
              <w:pStyle w:val="BlockText"/>
            </w:pPr>
          </w:p>
          <w:p w14:paraId="01F6E83B" w14:textId="7365778C" w:rsidR="00CC59D5" w:rsidRPr="00BA19EF" w:rsidRDefault="00CC59D5" w:rsidP="00745575">
            <w:pPr>
              <w:numPr>
                <w:ilvl w:val="0"/>
                <w:numId w:val="4"/>
              </w:numPr>
              <w:ind w:left="158" w:hanging="187"/>
            </w:pPr>
            <w:r w:rsidRPr="00BA19EF">
              <w:t>compensation may be paid for the non-service</w:t>
            </w:r>
            <w:r w:rsidR="00013F8E" w:rsidRPr="00BA19EF">
              <w:t>-</w:t>
            </w:r>
            <w:r w:rsidRPr="00BA19EF">
              <w:t>connected (NSC) loss</w:t>
            </w:r>
            <w:r w:rsidR="008C5C30" w:rsidRPr="00BA19EF">
              <w:t>, or loss of use (L/LOU),</w:t>
            </w:r>
            <w:r w:rsidRPr="00BA19EF">
              <w:t xml:space="preserve"> of a paired organ or extremity </w:t>
            </w:r>
            <w:r w:rsidRPr="00BA19EF">
              <w:rPr>
                <w:i/>
              </w:rPr>
              <w:t>if</w:t>
            </w:r>
            <w:r w:rsidRPr="00BA19EF">
              <w:t xml:space="preserve"> the loss of the other organ</w:t>
            </w:r>
            <w:r w:rsidR="0098457E" w:rsidRPr="00BA19EF">
              <w:t xml:space="preserve"> </w:t>
            </w:r>
            <w:r w:rsidRPr="00BA19EF">
              <w:t>or extremity is service</w:t>
            </w:r>
            <w:r w:rsidR="00216C25" w:rsidRPr="00BA19EF">
              <w:t>-</w:t>
            </w:r>
            <w:r w:rsidRPr="00BA19EF">
              <w:t xml:space="preserve">connected (SC) under </w:t>
            </w:r>
            <w:hyperlink r:id="rId12" w:history="1">
              <w:r w:rsidRPr="00BA19EF">
                <w:rPr>
                  <w:rStyle w:val="Hyperlink"/>
                </w:rPr>
                <w:t>38 U.S.C. 1160</w:t>
              </w:r>
            </w:hyperlink>
            <w:r w:rsidRPr="00BA19EF">
              <w:t xml:space="preserve">, and  </w:t>
            </w:r>
          </w:p>
          <w:p w14:paraId="6D5C3910" w14:textId="5D0C9283" w:rsidR="00C809DE" w:rsidRPr="00BA19EF" w:rsidRDefault="00CC59D5" w:rsidP="00F50C0B">
            <w:pPr>
              <w:numPr>
                <w:ilvl w:val="0"/>
                <w:numId w:val="4"/>
              </w:numPr>
              <w:ind w:left="158" w:hanging="187"/>
            </w:pPr>
            <w:proofErr w:type="gramStart"/>
            <w:r w:rsidRPr="00BA19EF">
              <w:t>evaluations</w:t>
            </w:r>
            <w:proofErr w:type="gramEnd"/>
            <w:r w:rsidRPr="00BA19EF">
              <w:t xml:space="preserve"> of these paired organs or extremities are combined as if both were SC.</w:t>
            </w:r>
          </w:p>
          <w:p w14:paraId="6D5C3912" w14:textId="77777777" w:rsidR="00C809DE" w:rsidRPr="00BA19EF" w:rsidRDefault="00C809DE">
            <w:pPr>
              <w:pStyle w:val="BlockText"/>
            </w:pPr>
          </w:p>
          <w:p w14:paraId="0402D8F4" w14:textId="465D9B62" w:rsidR="00B7496B" w:rsidRPr="00BA19EF" w:rsidRDefault="00B7496B">
            <w:pPr>
              <w:pStyle w:val="BlockText"/>
            </w:pPr>
            <w:r w:rsidRPr="00BA19EF">
              <w:rPr>
                <w:b/>
                <w:i/>
              </w:rPr>
              <w:t>Example</w:t>
            </w:r>
            <w:r w:rsidRPr="00BA19EF">
              <w:t xml:space="preserve">:  </w:t>
            </w:r>
            <w:r w:rsidR="00E74137" w:rsidRPr="00BA19EF">
              <w:t>Each set of e</w:t>
            </w:r>
            <w:r w:rsidRPr="00BA19EF">
              <w:t xml:space="preserve">ars, </w:t>
            </w:r>
            <w:r w:rsidR="000D19C9" w:rsidRPr="00BA19EF">
              <w:t>e</w:t>
            </w:r>
            <w:r w:rsidRPr="00BA19EF">
              <w:t xml:space="preserve">yes, and </w:t>
            </w:r>
            <w:r w:rsidR="000D19C9" w:rsidRPr="00BA19EF">
              <w:t>k</w:t>
            </w:r>
            <w:r w:rsidRPr="00BA19EF">
              <w:t>idneys</w:t>
            </w:r>
            <w:r w:rsidR="00E74137" w:rsidRPr="00BA19EF">
              <w:t xml:space="preserve"> is considered a set of paired organs.</w:t>
            </w:r>
          </w:p>
          <w:p w14:paraId="3AD05E29" w14:textId="77777777" w:rsidR="00B7496B" w:rsidRPr="00BA19EF" w:rsidRDefault="00B7496B">
            <w:pPr>
              <w:pStyle w:val="BlockText"/>
            </w:pPr>
          </w:p>
          <w:p w14:paraId="6D5C3913" w14:textId="2BBBD76E" w:rsidR="00C809DE" w:rsidRPr="00BA19EF" w:rsidRDefault="00F45E82">
            <w:pPr>
              <w:pStyle w:val="BlockText"/>
            </w:pPr>
            <w:r w:rsidRPr="00BA19EF">
              <w:rPr>
                <w:b/>
                <w:i/>
              </w:rPr>
              <w:t>Note</w:t>
            </w:r>
            <w:r w:rsidRPr="00BA19EF">
              <w:t xml:space="preserve">:  The L/LOU of the NSC organ or extremity sometimes leads to legal action by the claimant.  If such action is successful and monetary damages are awarded, the Department of Veterans Affairs (VA) </w:t>
            </w:r>
            <w:r w:rsidRPr="00BA19EF">
              <w:rPr>
                <w:b/>
                <w:i/>
              </w:rPr>
              <w:t>must</w:t>
            </w:r>
            <w:r w:rsidRPr="00BA19EF">
              <w:t xml:space="preserve"> undertake offset action per M21-1, Part IV, Subpart ii, 3.C.</w:t>
            </w:r>
            <w:r w:rsidR="00E675C5" w:rsidRPr="00BA19EF">
              <w:t>2</w:t>
            </w:r>
            <w:r w:rsidRPr="00BA19EF">
              <w:t>.b.</w:t>
            </w:r>
          </w:p>
          <w:p w14:paraId="6D5C3914" w14:textId="77777777" w:rsidR="00C809DE" w:rsidRPr="00BA19EF" w:rsidRDefault="00C809DE">
            <w:pPr>
              <w:pStyle w:val="BlockText"/>
            </w:pPr>
          </w:p>
          <w:p w14:paraId="6D5C3915" w14:textId="3AE01593" w:rsidR="00C809DE" w:rsidRPr="00BA19EF" w:rsidRDefault="00F45E82">
            <w:pPr>
              <w:pStyle w:val="BlockText"/>
            </w:pPr>
            <w:r w:rsidRPr="00BA19EF">
              <w:rPr>
                <w:b/>
                <w:i/>
              </w:rPr>
              <w:t>Reference</w:t>
            </w:r>
            <w:r w:rsidRPr="00BA19EF">
              <w:t>:  For</w:t>
            </w:r>
            <w:r w:rsidR="001A095E" w:rsidRPr="00BA19EF">
              <w:t xml:space="preserve"> more</w:t>
            </w:r>
            <w:r w:rsidRPr="00BA19EF">
              <w:t xml:space="preserve"> information on the criteria for establishing entitlement, see</w:t>
            </w:r>
          </w:p>
          <w:p w14:paraId="6D5C3916" w14:textId="5D0C1EA8" w:rsidR="00C809DE" w:rsidRPr="00BA19EF" w:rsidRDefault="00BA19EF">
            <w:pPr>
              <w:pStyle w:val="BulletText1"/>
            </w:pPr>
            <w:hyperlink r:id="rId13" w:history="1">
              <w:r w:rsidR="00F45E82" w:rsidRPr="00BA19EF">
                <w:rPr>
                  <w:rStyle w:val="Hyperlink"/>
                </w:rPr>
                <w:t>38 CFR 3.383</w:t>
              </w:r>
            </w:hyperlink>
          </w:p>
          <w:p w14:paraId="6D5C3917" w14:textId="39BCDBC5" w:rsidR="00C809DE" w:rsidRPr="00BA19EF" w:rsidRDefault="00F45E82">
            <w:pPr>
              <w:pStyle w:val="BulletText1"/>
            </w:pPr>
            <w:r w:rsidRPr="00BA19EF">
              <w:t>M21-1, Part III, Subpart iv, 6.B.</w:t>
            </w:r>
            <w:r w:rsidR="00FA7EF6" w:rsidRPr="00BA19EF">
              <w:t>3</w:t>
            </w:r>
            <w:r w:rsidRPr="00BA19EF">
              <w:t xml:space="preserve">, and </w:t>
            </w:r>
          </w:p>
          <w:p w14:paraId="6D5C3918" w14:textId="6B1922E2" w:rsidR="00C809DE" w:rsidRPr="00BA19EF" w:rsidRDefault="00F45E82" w:rsidP="004E2993">
            <w:pPr>
              <w:pStyle w:val="BulletText1"/>
            </w:pPr>
            <w:r w:rsidRPr="00BA19EF">
              <w:t>M21-1, Part IV, Subpart ii, 2.K.</w:t>
            </w:r>
            <w:r w:rsidR="004E2993" w:rsidRPr="00BA19EF">
              <w:t>2</w:t>
            </w:r>
            <w:r w:rsidRPr="00BA19EF">
              <w:t>.</w:t>
            </w:r>
          </w:p>
        </w:tc>
      </w:tr>
    </w:tbl>
    <w:p w14:paraId="6D5C391A" w14:textId="66B9124D" w:rsidR="00C809DE" w:rsidRPr="00BA19EF" w:rsidRDefault="00C809DE">
      <w:pPr>
        <w:pStyle w:val="ContinuedOnNextPa"/>
      </w:pPr>
    </w:p>
    <w:p w14:paraId="6D5C391B" w14:textId="3E5C251F" w:rsidR="00C809DE" w:rsidRPr="00BA19EF" w:rsidRDefault="00F45E82">
      <w:pPr>
        <w:pStyle w:val="Heading4"/>
      </w:pPr>
      <w:r w:rsidRPr="00BA19EF">
        <w:br w:type="page"/>
      </w:r>
      <w:r w:rsidR="00C8771E" w:rsidRPr="00BA19EF">
        <w:lastRenderedPageBreak/>
        <w:t>2</w:t>
      </w:r>
      <w:r w:rsidRPr="00BA19EF">
        <w:t xml:space="preserve">.  The Prohibition </w:t>
      </w:r>
      <w:proofErr w:type="gramStart"/>
      <w:r w:rsidRPr="00BA19EF">
        <w:t>Against</w:t>
      </w:r>
      <w:proofErr w:type="gramEnd"/>
      <w:r w:rsidRPr="00BA19EF">
        <w:t xml:space="preserve"> Duplication of Benefits</w:t>
      </w:r>
    </w:p>
    <w:p w14:paraId="6D5C391C" w14:textId="77777777" w:rsidR="00C809DE" w:rsidRPr="00BA19EF" w:rsidRDefault="00F45E82">
      <w:pPr>
        <w:pStyle w:val="BlockLine"/>
      </w:pPr>
      <w:r w:rsidRPr="00BA19EF">
        <w:fldChar w:fldCharType="begin"/>
      </w:r>
      <w:r w:rsidRPr="00BA19EF">
        <w:instrText xml:space="preserve"> PRIVATE INFOTYPE="OTHER" </w:instrText>
      </w:r>
      <w:r w:rsidRPr="00BA19EF">
        <w:fldChar w:fldCharType="end"/>
      </w:r>
    </w:p>
    <w:tbl>
      <w:tblPr>
        <w:tblW w:w="0" w:type="auto"/>
        <w:tblLayout w:type="fixed"/>
        <w:tblLook w:val="0000" w:firstRow="0" w:lastRow="0" w:firstColumn="0" w:lastColumn="0" w:noHBand="0" w:noVBand="0"/>
      </w:tblPr>
      <w:tblGrid>
        <w:gridCol w:w="1728"/>
        <w:gridCol w:w="7740"/>
      </w:tblGrid>
      <w:tr w:rsidR="00C809DE" w:rsidRPr="00BA19EF" w14:paraId="6D5C3925" w14:textId="77777777">
        <w:trPr>
          <w:cantSplit/>
        </w:trPr>
        <w:tc>
          <w:tcPr>
            <w:tcW w:w="1728" w:type="dxa"/>
          </w:tcPr>
          <w:p w14:paraId="6D5C391D" w14:textId="77777777" w:rsidR="00C809DE" w:rsidRPr="00BA19EF" w:rsidRDefault="00F45E82">
            <w:pPr>
              <w:pStyle w:val="Heading5"/>
            </w:pPr>
            <w:r w:rsidRPr="00BA19EF">
              <w:t>Introduction</w:t>
            </w:r>
          </w:p>
        </w:tc>
        <w:tc>
          <w:tcPr>
            <w:tcW w:w="7740" w:type="dxa"/>
          </w:tcPr>
          <w:p w14:paraId="6D5C391E" w14:textId="7008FB30" w:rsidR="00C809DE" w:rsidRPr="00BA19EF" w:rsidRDefault="00F45E82">
            <w:pPr>
              <w:pStyle w:val="BlockText"/>
            </w:pPr>
            <w:r w:rsidRPr="00BA19EF">
              <w:t>This topic contains information on the prohibition against duplication of benefits</w:t>
            </w:r>
            <w:r w:rsidR="00197580" w:rsidRPr="00BA19EF">
              <w:t>, including</w:t>
            </w:r>
          </w:p>
          <w:p w14:paraId="6D5C391F" w14:textId="77777777" w:rsidR="00C809DE" w:rsidRPr="00BA19EF" w:rsidRDefault="00C809DE">
            <w:pPr>
              <w:pStyle w:val="BlockText"/>
            </w:pPr>
          </w:p>
          <w:p w14:paraId="6D5C3920" w14:textId="25778D09" w:rsidR="00C809DE" w:rsidRPr="00BA19EF" w:rsidRDefault="00F45E82">
            <w:pPr>
              <w:pStyle w:val="BulletText1"/>
            </w:pPr>
            <w:r w:rsidRPr="00BA19EF">
              <w:t xml:space="preserve">when to provide special consideration under </w:t>
            </w:r>
            <w:r w:rsidR="004935EE" w:rsidRPr="00BA19EF">
              <w:t>38 U.S.C. 1160</w:t>
            </w:r>
          </w:p>
          <w:p w14:paraId="6D5C3921" w14:textId="766A5241" w:rsidR="00C809DE" w:rsidRPr="00BA19EF" w:rsidRDefault="00F45E82">
            <w:pPr>
              <w:pStyle w:val="BulletText1"/>
            </w:pPr>
            <w:r w:rsidRPr="00BA19EF">
              <w:t xml:space="preserve">offsetting benefits under </w:t>
            </w:r>
            <w:r w:rsidR="004935EE" w:rsidRPr="00BA19EF">
              <w:t>38 U.S.C. 1160</w:t>
            </w:r>
            <w:r w:rsidRPr="00BA19EF">
              <w:t xml:space="preserve"> due to damage recovery</w:t>
            </w:r>
          </w:p>
          <w:p w14:paraId="6D5C3922" w14:textId="77777777" w:rsidR="00C809DE" w:rsidRPr="00BA19EF" w:rsidRDefault="00F45E82">
            <w:pPr>
              <w:pStyle w:val="BulletText1"/>
            </w:pPr>
            <w:r w:rsidRPr="00BA19EF">
              <w:t>when the offset provisions apply</w:t>
            </w:r>
          </w:p>
          <w:p w14:paraId="6D5C3923" w14:textId="39777C42" w:rsidR="00C809DE" w:rsidRPr="00BA19EF" w:rsidRDefault="00F45E82">
            <w:pPr>
              <w:pStyle w:val="BulletText1"/>
            </w:pPr>
            <w:r w:rsidRPr="00BA19EF">
              <w:t xml:space="preserve">damage recoveries involving </w:t>
            </w:r>
            <w:r w:rsidR="00BA69C0" w:rsidRPr="00BA19EF">
              <w:t>non-service-connected (</w:t>
            </w:r>
            <w:r w:rsidRPr="00BA19EF">
              <w:t>NSC</w:t>
            </w:r>
            <w:r w:rsidR="00BA69C0" w:rsidRPr="00BA19EF">
              <w:t>)</w:t>
            </w:r>
            <w:r w:rsidRPr="00BA19EF">
              <w:t xml:space="preserve"> organs or extremities, and</w:t>
            </w:r>
          </w:p>
          <w:p w14:paraId="6D5C3924" w14:textId="239953FB" w:rsidR="00C809DE" w:rsidRPr="00BA19EF" w:rsidRDefault="00F45E82" w:rsidP="00E675C5">
            <w:pPr>
              <w:pStyle w:val="BulletText1"/>
            </w:pPr>
            <w:proofErr w:type="gramStart"/>
            <w:r w:rsidRPr="00BA19EF">
              <w:t>the</w:t>
            </w:r>
            <w:proofErr w:type="gramEnd"/>
            <w:r w:rsidRPr="00BA19EF">
              <w:t xml:space="preserve"> </w:t>
            </w:r>
            <w:r w:rsidR="00E675C5" w:rsidRPr="00BA19EF">
              <w:t>V</w:t>
            </w:r>
            <w:r w:rsidRPr="00BA19EF">
              <w:t>eteran’s duty to notify VA</w:t>
            </w:r>
            <w:r w:rsidR="004E16EE" w:rsidRPr="00BA19EF">
              <w:t xml:space="preserve"> of damages recovered</w:t>
            </w:r>
            <w:r w:rsidRPr="00BA19EF">
              <w:t>.</w:t>
            </w:r>
          </w:p>
        </w:tc>
      </w:tr>
    </w:tbl>
    <w:p w14:paraId="6D5C3926" w14:textId="77777777" w:rsidR="00C809DE" w:rsidRPr="00BA19EF" w:rsidRDefault="00C809DE">
      <w:pPr>
        <w:pStyle w:val="BlockLine"/>
      </w:pPr>
    </w:p>
    <w:tbl>
      <w:tblPr>
        <w:tblW w:w="0" w:type="auto"/>
        <w:tblLayout w:type="fixed"/>
        <w:tblLook w:val="0000" w:firstRow="0" w:lastRow="0" w:firstColumn="0" w:lastColumn="0" w:noHBand="0" w:noVBand="0"/>
      </w:tblPr>
      <w:tblGrid>
        <w:gridCol w:w="1728"/>
        <w:gridCol w:w="7740"/>
      </w:tblGrid>
      <w:tr w:rsidR="00C809DE" w:rsidRPr="00BA19EF" w14:paraId="6D5C3929" w14:textId="77777777">
        <w:trPr>
          <w:cantSplit/>
        </w:trPr>
        <w:tc>
          <w:tcPr>
            <w:tcW w:w="1728" w:type="dxa"/>
          </w:tcPr>
          <w:p w14:paraId="6D5C3927" w14:textId="77777777" w:rsidR="00C809DE" w:rsidRPr="00BA19EF" w:rsidRDefault="00F45E82">
            <w:pPr>
              <w:pStyle w:val="Heading5"/>
            </w:pPr>
            <w:r w:rsidRPr="00BA19EF">
              <w:t>Change Date</w:t>
            </w:r>
          </w:p>
        </w:tc>
        <w:tc>
          <w:tcPr>
            <w:tcW w:w="7740" w:type="dxa"/>
          </w:tcPr>
          <w:p w14:paraId="6D5C3928" w14:textId="78F3F41C" w:rsidR="00C809DE" w:rsidRPr="00BA19EF" w:rsidRDefault="00F45E82" w:rsidP="009268FB">
            <w:pPr>
              <w:pStyle w:val="BlockText"/>
            </w:pPr>
            <w:r w:rsidRPr="00BA19EF">
              <w:t>December 13, 2005</w:t>
            </w:r>
          </w:p>
        </w:tc>
      </w:tr>
    </w:tbl>
    <w:p w14:paraId="6D5C392A" w14:textId="77777777" w:rsidR="00C809DE" w:rsidRPr="00BA19EF" w:rsidRDefault="00C809DE">
      <w:pPr>
        <w:pStyle w:val="BlockLine"/>
      </w:pPr>
    </w:p>
    <w:tbl>
      <w:tblPr>
        <w:tblW w:w="0" w:type="auto"/>
        <w:tblLayout w:type="fixed"/>
        <w:tblLook w:val="0000" w:firstRow="0" w:lastRow="0" w:firstColumn="0" w:lastColumn="0" w:noHBand="0" w:noVBand="0"/>
      </w:tblPr>
      <w:tblGrid>
        <w:gridCol w:w="1728"/>
        <w:gridCol w:w="7740"/>
      </w:tblGrid>
      <w:tr w:rsidR="00C809DE" w:rsidRPr="00BA19EF" w14:paraId="6D5C3930" w14:textId="77777777">
        <w:trPr>
          <w:cantSplit/>
        </w:trPr>
        <w:tc>
          <w:tcPr>
            <w:tcW w:w="1728" w:type="dxa"/>
          </w:tcPr>
          <w:p w14:paraId="6D5C392B" w14:textId="77777777" w:rsidR="00C809DE" w:rsidRPr="00BA19EF" w:rsidRDefault="00F45E82">
            <w:pPr>
              <w:pStyle w:val="Heading5"/>
            </w:pPr>
            <w:proofErr w:type="gramStart"/>
            <w:r w:rsidRPr="00BA19EF">
              <w:t>a.  When</w:t>
            </w:r>
            <w:proofErr w:type="gramEnd"/>
            <w:r w:rsidRPr="00BA19EF">
              <w:t xml:space="preserve"> to Provide Special Consideration Under 38 U.S.C. 1160</w:t>
            </w:r>
          </w:p>
        </w:tc>
        <w:tc>
          <w:tcPr>
            <w:tcW w:w="7740" w:type="dxa"/>
          </w:tcPr>
          <w:p w14:paraId="6D5C392C" w14:textId="4C377B1B" w:rsidR="00C809DE" w:rsidRPr="00BA19EF" w:rsidRDefault="00F45E82">
            <w:pPr>
              <w:pStyle w:val="BlockText"/>
            </w:pPr>
            <w:r w:rsidRPr="00BA19EF">
              <w:t xml:space="preserve">Special consideration under </w:t>
            </w:r>
            <w:hyperlink r:id="rId14" w:history="1">
              <w:r w:rsidRPr="00BA19EF">
                <w:rPr>
                  <w:rStyle w:val="Hyperlink"/>
                </w:rPr>
                <w:t>38 U.S.C. 1160</w:t>
              </w:r>
            </w:hyperlink>
            <w:r w:rsidRPr="00BA19EF">
              <w:t xml:space="preserve"> is provided if a </w:t>
            </w:r>
            <w:r w:rsidR="000437E7" w:rsidRPr="00BA19EF">
              <w:t>V</w:t>
            </w:r>
            <w:r w:rsidRPr="00BA19EF">
              <w:t xml:space="preserve">eteran has L/LOU of </w:t>
            </w:r>
          </w:p>
          <w:p w14:paraId="6D5C392D" w14:textId="77777777" w:rsidR="00C809DE" w:rsidRPr="00BA19EF" w:rsidRDefault="00C809DE">
            <w:pPr>
              <w:pStyle w:val="BlockText"/>
            </w:pPr>
          </w:p>
          <w:p w14:paraId="6D5C392E" w14:textId="77777777" w:rsidR="00C809DE" w:rsidRPr="00BA19EF" w:rsidRDefault="00F45E82">
            <w:pPr>
              <w:pStyle w:val="BulletText1"/>
            </w:pPr>
            <w:r w:rsidRPr="00BA19EF">
              <w:t>an organ or extremity due to SC disability, and</w:t>
            </w:r>
          </w:p>
          <w:p w14:paraId="6D5C392F" w14:textId="77777777" w:rsidR="00C809DE" w:rsidRPr="00BA19EF" w:rsidRDefault="00F45E82">
            <w:pPr>
              <w:pStyle w:val="BulletText1"/>
            </w:pPr>
            <w:proofErr w:type="gramStart"/>
            <w:r w:rsidRPr="00BA19EF">
              <w:t>a</w:t>
            </w:r>
            <w:proofErr w:type="gramEnd"/>
            <w:r w:rsidRPr="00BA19EF">
              <w:t xml:space="preserve"> paired organ or extremity due to NSC disability.   </w:t>
            </w:r>
          </w:p>
        </w:tc>
      </w:tr>
    </w:tbl>
    <w:p w14:paraId="6D5C3931" w14:textId="77777777" w:rsidR="00C809DE" w:rsidRPr="00BA19EF" w:rsidRDefault="00C809DE">
      <w:pPr>
        <w:pStyle w:val="BlockLine"/>
      </w:pPr>
    </w:p>
    <w:tbl>
      <w:tblPr>
        <w:tblW w:w="0" w:type="auto"/>
        <w:tblLayout w:type="fixed"/>
        <w:tblLook w:val="0000" w:firstRow="0" w:lastRow="0" w:firstColumn="0" w:lastColumn="0" w:noHBand="0" w:noVBand="0"/>
      </w:tblPr>
      <w:tblGrid>
        <w:gridCol w:w="1728"/>
        <w:gridCol w:w="7740"/>
      </w:tblGrid>
      <w:tr w:rsidR="00C809DE" w:rsidRPr="00BA19EF" w14:paraId="6D5C3936" w14:textId="77777777">
        <w:trPr>
          <w:cantSplit/>
        </w:trPr>
        <w:tc>
          <w:tcPr>
            <w:tcW w:w="1728" w:type="dxa"/>
          </w:tcPr>
          <w:p w14:paraId="6D5C3932" w14:textId="77777777" w:rsidR="00C809DE" w:rsidRPr="00BA19EF" w:rsidRDefault="00F45E82">
            <w:pPr>
              <w:pStyle w:val="Heading5"/>
            </w:pPr>
            <w:proofErr w:type="gramStart"/>
            <w:r w:rsidRPr="00BA19EF">
              <w:t>b.  Offsetting</w:t>
            </w:r>
            <w:proofErr w:type="gramEnd"/>
            <w:r w:rsidRPr="00BA19EF">
              <w:t xml:space="preserve"> Benefits Under 38 U.S.C. 1160 Due to Damage Recovery</w:t>
            </w:r>
          </w:p>
        </w:tc>
        <w:tc>
          <w:tcPr>
            <w:tcW w:w="7740" w:type="dxa"/>
          </w:tcPr>
          <w:p w14:paraId="6D5C3933" w14:textId="077A9A1F" w:rsidR="00C809DE" w:rsidRPr="00BA19EF" w:rsidRDefault="00F45E82">
            <w:pPr>
              <w:pStyle w:val="BlockText"/>
            </w:pPr>
            <w:r w:rsidRPr="00BA19EF">
              <w:t xml:space="preserve">If the L/LOU of the NSC organ or extremity results from circumstances that could give rise to legal liability, the </w:t>
            </w:r>
            <w:r w:rsidR="000437E7" w:rsidRPr="00BA19EF">
              <w:t>V</w:t>
            </w:r>
            <w:r w:rsidRPr="00BA19EF">
              <w:t xml:space="preserve">eteran </w:t>
            </w:r>
            <w:r w:rsidRPr="00BA19EF">
              <w:rPr>
                <w:i/>
              </w:rPr>
              <w:t>may</w:t>
            </w:r>
            <w:r w:rsidRPr="00BA19EF">
              <w:t xml:space="preserve"> seek to recover damages by lawsuit or other means.  </w:t>
            </w:r>
          </w:p>
          <w:p w14:paraId="6D5C3934" w14:textId="77777777" w:rsidR="00C809DE" w:rsidRPr="00BA19EF" w:rsidRDefault="00C809DE">
            <w:pPr>
              <w:pStyle w:val="BlockText"/>
            </w:pPr>
          </w:p>
          <w:p w14:paraId="6D5C3935" w14:textId="05774C8A" w:rsidR="00C809DE" w:rsidRPr="00BA19EF" w:rsidRDefault="00F45E82" w:rsidP="000437E7">
            <w:pPr>
              <w:pStyle w:val="BlockText"/>
            </w:pPr>
            <w:r w:rsidRPr="00BA19EF">
              <w:t xml:space="preserve">If the </w:t>
            </w:r>
            <w:r w:rsidR="000437E7" w:rsidRPr="00BA19EF">
              <w:t>V</w:t>
            </w:r>
            <w:r w:rsidRPr="00BA19EF">
              <w:t xml:space="preserve">eteran </w:t>
            </w:r>
            <w:r w:rsidRPr="00BA19EF">
              <w:rPr>
                <w:i/>
              </w:rPr>
              <w:t>does</w:t>
            </w:r>
            <w:r w:rsidRPr="00BA19EF">
              <w:t xml:space="preserve"> successfully recover damages, the amount of damages received (for the NSC disability only) </w:t>
            </w:r>
            <w:r w:rsidRPr="00BA19EF">
              <w:rPr>
                <w:b/>
                <w:i/>
              </w:rPr>
              <w:t>must</w:t>
            </w:r>
            <w:r w:rsidRPr="00BA19EF">
              <w:t xml:space="preserve"> be offset against the additional benefit payable under </w:t>
            </w:r>
            <w:hyperlink r:id="rId15" w:history="1">
              <w:r w:rsidRPr="00BA19EF">
                <w:rPr>
                  <w:rStyle w:val="Hyperlink"/>
                </w:rPr>
                <w:t>38 U.S.C. 1160</w:t>
              </w:r>
            </w:hyperlink>
            <w:r w:rsidRPr="00BA19EF">
              <w:t>.</w:t>
            </w:r>
          </w:p>
        </w:tc>
      </w:tr>
    </w:tbl>
    <w:p w14:paraId="6D5C3937" w14:textId="77777777" w:rsidR="00C809DE" w:rsidRPr="00BA19EF" w:rsidRDefault="00C809DE">
      <w:pPr>
        <w:pStyle w:val="BlockLine"/>
      </w:pPr>
    </w:p>
    <w:tbl>
      <w:tblPr>
        <w:tblW w:w="0" w:type="auto"/>
        <w:tblLayout w:type="fixed"/>
        <w:tblLook w:val="0000" w:firstRow="0" w:lastRow="0" w:firstColumn="0" w:lastColumn="0" w:noHBand="0" w:noVBand="0"/>
      </w:tblPr>
      <w:tblGrid>
        <w:gridCol w:w="1728"/>
        <w:gridCol w:w="7740"/>
      </w:tblGrid>
      <w:tr w:rsidR="00C809DE" w:rsidRPr="00BA19EF" w14:paraId="6D5C393A" w14:textId="77777777">
        <w:trPr>
          <w:cantSplit/>
        </w:trPr>
        <w:tc>
          <w:tcPr>
            <w:tcW w:w="1728" w:type="dxa"/>
          </w:tcPr>
          <w:p w14:paraId="6D5C3938" w14:textId="4CC0033A" w:rsidR="00C809DE" w:rsidRPr="00BA19EF" w:rsidRDefault="00F45E82" w:rsidP="00766BF6">
            <w:pPr>
              <w:pStyle w:val="Heading5"/>
            </w:pPr>
            <w:proofErr w:type="gramStart"/>
            <w:r w:rsidRPr="00BA19EF">
              <w:t>c.  When</w:t>
            </w:r>
            <w:proofErr w:type="gramEnd"/>
            <w:r w:rsidRPr="00BA19EF">
              <w:t xml:space="preserve"> the</w:t>
            </w:r>
            <w:r w:rsidR="00766BF6" w:rsidRPr="00BA19EF">
              <w:t xml:space="preserve"> </w:t>
            </w:r>
            <w:r w:rsidRPr="00BA19EF">
              <w:t xml:space="preserve">Offset </w:t>
            </w:r>
            <w:r w:rsidR="0040417B" w:rsidRPr="00BA19EF">
              <w:t xml:space="preserve">Provisions </w:t>
            </w:r>
            <w:r w:rsidRPr="00BA19EF">
              <w:t xml:space="preserve"> Apply</w:t>
            </w:r>
          </w:p>
        </w:tc>
        <w:tc>
          <w:tcPr>
            <w:tcW w:w="7740" w:type="dxa"/>
          </w:tcPr>
          <w:p w14:paraId="6D5C3939" w14:textId="1B55E86A" w:rsidR="00C809DE" w:rsidRPr="00BA19EF" w:rsidRDefault="00F45E82" w:rsidP="004E2993">
            <w:pPr>
              <w:pStyle w:val="BlockText"/>
            </w:pPr>
            <w:r w:rsidRPr="00BA19EF">
              <w:t xml:space="preserve">Offset </w:t>
            </w:r>
            <w:r w:rsidR="00DE3C60" w:rsidRPr="00BA19EF">
              <w:t>provisions</w:t>
            </w:r>
            <w:r w:rsidRPr="00BA19EF">
              <w:t xml:space="preserve"> involving the paired extremities of the hands or feet only have long been in effect, and continue to be in effect, while the offset </w:t>
            </w:r>
            <w:r w:rsidR="00DE3C60" w:rsidRPr="00BA19EF">
              <w:t>provisions</w:t>
            </w:r>
            <w:r w:rsidRPr="00BA19EF">
              <w:t xml:space="preserve"> concerning the remaining paired organs or extremities listed in M21-1, Part III, Subpart iv, 6.B.</w:t>
            </w:r>
            <w:r w:rsidR="004E2993" w:rsidRPr="00BA19EF">
              <w:t>3</w:t>
            </w:r>
            <w:r w:rsidRPr="00BA19EF">
              <w:t xml:space="preserve"> apply </w:t>
            </w:r>
            <w:r w:rsidRPr="00BA19EF">
              <w:rPr>
                <w:b/>
                <w:i/>
              </w:rPr>
              <w:t>only</w:t>
            </w:r>
            <w:r w:rsidRPr="00BA19EF">
              <w:t xml:space="preserve"> to cases in which compensation was </w:t>
            </w:r>
            <w:r w:rsidR="00216C25" w:rsidRPr="00BA19EF">
              <w:t>award</w:t>
            </w:r>
            <w:r w:rsidRPr="00BA19EF">
              <w:t xml:space="preserve">ed or increased </w:t>
            </w:r>
            <w:r w:rsidRPr="00BA19EF">
              <w:rPr>
                <w:i/>
              </w:rPr>
              <w:t>after</w:t>
            </w:r>
            <w:r w:rsidRPr="00BA19EF">
              <w:t xml:space="preserve"> October 27, 1986.</w:t>
            </w:r>
          </w:p>
        </w:tc>
      </w:tr>
    </w:tbl>
    <w:p w14:paraId="6D5C393D" w14:textId="7759E790" w:rsidR="00C809DE" w:rsidRPr="00BA19EF" w:rsidRDefault="00C809DE" w:rsidP="00861EBB">
      <w:pPr>
        <w:pStyle w:val="BlockLine"/>
        <w:pBdr>
          <w:top w:val="single" w:sz="6" w:space="0" w:color="auto"/>
        </w:pBdr>
      </w:pPr>
    </w:p>
    <w:tbl>
      <w:tblPr>
        <w:tblW w:w="0" w:type="auto"/>
        <w:tblLayout w:type="fixed"/>
        <w:tblLook w:val="0000" w:firstRow="0" w:lastRow="0" w:firstColumn="0" w:lastColumn="0" w:noHBand="0" w:noVBand="0"/>
      </w:tblPr>
      <w:tblGrid>
        <w:gridCol w:w="1728"/>
        <w:gridCol w:w="7740"/>
      </w:tblGrid>
      <w:tr w:rsidR="00C809DE" w:rsidRPr="00BA19EF" w14:paraId="6D5C3949" w14:textId="77777777" w:rsidTr="00F431AD">
        <w:tc>
          <w:tcPr>
            <w:tcW w:w="1728" w:type="dxa"/>
          </w:tcPr>
          <w:p w14:paraId="6D5C393E" w14:textId="77777777" w:rsidR="00C809DE" w:rsidRPr="00BA19EF" w:rsidRDefault="00F45E82">
            <w:pPr>
              <w:pStyle w:val="Heading5"/>
            </w:pPr>
            <w:proofErr w:type="gramStart"/>
            <w:r w:rsidRPr="00BA19EF">
              <w:t>d.  Damage</w:t>
            </w:r>
            <w:proofErr w:type="gramEnd"/>
            <w:r w:rsidRPr="00BA19EF">
              <w:t xml:space="preserve"> Recoveries Involving NSC Organs or Extremities</w:t>
            </w:r>
          </w:p>
        </w:tc>
        <w:tc>
          <w:tcPr>
            <w:tcW w:w="7740" w:type="dxa"/>
          </w:tcPr>
          <w:p w14:paraId="6D5C393F" w14:textId="2C8AC870" w:rsidR="00C809DE" w:rsidRPr="00BA19EF" w:rsidRDefault="00F45E82">
            <w:pPr>
              <w:pStyle w:val="BlockText"/>
            </w:pPr>
            <w:r w:rsidRPr="00BA19EF">
              <w:t xml:space="preserve">Benefits received under Social Security </w:t>
            </w:r>
            <w:proofErr w:type="gramStart"/>
            <w:r w:rsidRPr="00BA19EF">
              <w:t>or workers’ compensation are</w:t>
            </w:r>
            <w:proofErr w:type="gramEnd"/>
            <w:r w:rsidRPr="00BA19EF">
              <w:t xml:space="preserve"> </w:t>
            </w:r>
            <w:r w:rsidRPr="00BA19EF">
              <w:rPr>
                <w:b/>
                <w:i/>
              </w:rPr>
              <w:t>not</w:t>
            </w:r>
            <w:r w:rsidRPr="00BA19EF">
              <w:t xml:space="preserve"> subject to recoupment, even though the benefits may have been awarded pursuant to a judicial proceeding.</w:t>
            </w:r>
          </w:p>
          <w:p w14:paraId="6D5C3940" w14:textId="77777777" w:rsidR="00C809DE" w:rsidRPr="00BA19EF" w:rsidRDefault="00C809DE">
            <w:pPr>
              <w:pStyle w:val="BlockText"/>
            </w:pPr>
          </w:p>
          <w:p w14:paraId="6D5C3941" w14:textId="6338365E" w:rsidR="00C809DE" w:rsidRPr="00BA19EF" w:rsidRDefault="00F45E82">
            <w:pPr>
              <w:pStyle w:val="BlockText"/>
            </w:pPr>
            <w:r w:rsidRPr="00BA19EF">
              <w:t xml:space="preserve">All other recoveries related to the NSC organ or extremity </w:t>
            </w:r>
            <w:r w:rsidRPr="00BA19EF">
              <w:rPr>
                <w:b/>
                <w:i/>
              </w:rPr>
              <w:t>are</w:t>
            </w:r>
            <w:r w:rsidRPr="00BA19EF">
              <w:t xml:space="preserve"> subject to </w:t>
            </w:r>
            <w:r w:rsidRPr="00BA19EF">
              <w:lastRenderedPageBreak/>
              <w:t xml:space="preserve">offset, regardless of whether the payment to the </w:t>
            </w:r>
            <w:r w:rsidR="0040417B" w:rsidRPr="00BA19EF">
              <w:t>V</w:t>
            </w:r>
            <w:r w:rsidRPr="00BA19EF">
              <w:t xml:space="preserve">eteran is characterized as a </w:t>
            </w:r>
          </w:p>
          <w:p w14:paraId="6D5C3942" w14:textId="77777777" w:rsidR="00C809DE" w:rsidRPr="00BA19EF" w:rsidRDefault="00C809DE">
            <w:pPr>
              <w:pStyle w:val="BlockText"/>
            </w:pPr>
          </w:p>
          <w:p w14:paraId="6D5C3943" w14:textId="77777777" w:rsidR="00C809DE" w:rsidRPr="00BA19EF" w:rsidRDefault="00F45E82">
            <w:pPr>
              <w:pStyle w:val="BulletText1"/>
            </w:pPr>
            <w:r w:rsidRPr="00BA19EF">
              <w:t>tort award</w:t>
            </w:r>
          </w:p>
          <w:p w14:paraId="6D5C3944" w14:textId="77777777" w:rsidR="00C809DE" w:rsidRPr="00BA19EF" w:rsidRDefault="00F45E82">
            <w:pPr>
              <w:pStyle w:val="BulletText1"/>
            </w:pPr>
            <w:r w:rsidRPr="00BA19EF">
              <w:t>settlement</w:t>
            </w:r>
          </w:p>
          <w:p w14:paraId="6D5C3945" w14:textId="77777777" w:rsidR="00C809DE" w:rsidRPr="00BA19EF" w:rsidRDefault="00F45E82">
            <w:pPr>
              <w:pStyle w:val="BulletText1"/>
            </w:pPr>
            <w:r w:rsidRPr="00BA19EF">
              <w:t>compromise, or</w:t>
            </w:r>
          </w:p>
          <w:p w14:paraId="6D5C3946" w14:textId="77777777" w:rsidR="00C809DE" w:rsidRPr="00BA19EF" w:rsidRDefault="00F45E82">
            <w:pPr>
              <w:pStyle w:val="BulletText1"/>
            </w:pPr>
            <w:proofErr w:type="gramStart"/>
            <w:r w:rsidRPr="00BA19EF">
              <w:t>administrative</w:t>
            </w:r>
            <w:proofErr w:type="gramEnd"/>
            <w:r w:rsidRPr="00BA19EF">
              <w:t xml:space="preserve"> award or judgment.  </w:t>
            </w:r>
          </w:p>
          <w:p w14:paraId="6D5C3947" w14:textId="77777777" w:rsidR="00C809DE" w:rsidRPr="00BA19EF" w:rsidRDefault="00C809DE">
            <w:pPr>
              <w:pStyle w:val="BlockText"/>
            </w:pPr>
          </w:p>
          <w:p w14:paraId="6D5C3948" w14:textId="7E8AB180" w:rsidR="00C809DE" w:rsidRPr="00BA19EF" w:rsidRDefault="00F45E82" w:rsidP="00C94047">
            <w:pPr>
              <w:pStyle w:val="BlockText"/>
            </w:pPr>
            <w:r w:rsidRPr="00BA19EF">
              <w:rPr>
                <w:b/>
                <w:i/>
              </w:rPr>
              <w:t>Rationale</w:t>
            </w:r>
            <w:r w:rsidRPr="00BA19EF">
              <w:t xml:space="preserve">:  The prohibition against duplication of benefits applies whenever the </w:t>
            </w:r>
            <w:r w:rsidR="00C94047" w:rsidRPr="00BA19EF">
              <w:t>V</w:t>
            </w:r>
            <w:r w:rsidRPr="00BA19EF">
              <w:t>eteran receives a sum of money or property to extinguish a legal claim arising from injury to the affected NSC organ or extremity.</w:t>
            </w:r>
          </w:p>
        </w:tc>
      </w:tr>
    </w:tbl>
    <w:p w14:paraId="6D5C394A" w14:textId="77777777" w:rsidR="00C809DE" w:rsidRPr="00BA19EF" w:rsidRDefault="00C809DE">
      <w:pPr>
        <w:pStyle w:val="BlockLine"/>
      </w:pPr>
    </w:p>
    <w:tbl>
      <w:tblPr>
        <w:tblW w:w="0" w:type="auto"/>
        <w:tblLayout w:type="fixed"/>
        <w:tblLook w:val="0000" w:firstRow="0" w:lastRow="0" w:firstColumn="0" w:lastColumn="0" w:noHBand="0" w:noVBand="0"/>
      </w:tblPr>
      <w:tblGrid>
        <w:gridCol w:w="1728"/>
        <w:gridCol w:w="7740"/>
      </w:tblGrid>
      <w:tr w:rsidR="00C809DE" w:rsidRPr="00BA19EF" w14:paraId="6D5C3958" w14:textId="77777777">
        <w:trPr>
          <w:cantSplit/>
        </w:trPr>
        <w:tc>
          <w:tcPr>
            <w:tcW w:w="1728" w:type="dxa"/>
          </w:tcPr>
          <w:p w14:paraId="6D5C394B" w14:textId="32194903" w:rsidR="00C809DE" w:rsidRPr="00BA19EF" w:rsidRDefault="00F45E82">
            <w:pPr>
              <w:pStyle w:val="Heading5"/>
            </w:pPr>
            <w:proofErr w:type="gramStart"/>
            <w:r w:rsidRPr="00BA19EF">
              <w:t>e.  Veteran’s</w:t>
            </w:r>
            <w:proofErr w:type="gramEnd"/>
            <w:r w:rsidRPr="00BA19EF">
              <w:t xml:space="preserve"> Duty to Notify VA</w:t>
            </w:r>
            <w:r w:rsidR="004E16EE" w:rsidRPr="00BA19EF">
              <w:t xml:space="preserve"> of Damages Recovered</w:t>
            </w:r>
          </w:p>
        </w:tc>
        <w:tc>
          <w:tcPr>
            <w:tcW w:w="7740" w:type="dxa"/>
          </w:tcPr>
          <w:p w14:paraId="6D5C394C" w14:textId="0A94E1B2" w:rsidR="00C809DE" w:rsidRPr="00BA19EF" w:rsidRDefault="00F45E82">
            <w:pPr>
              <w:pStyle w:val="BlockText"/>
            </w:pPr>
            <w:r w:rsidRPr="00BA19EF">
              <w:t xml:space="preserve">If the </w:t>
            </w:r>
            <w:r w:rsidR="00C94047" w:rsidRPr="00BA19EF">
              <w:t>V</w:t>
            </w:r>
            <w:r w:rsidRPr="00BA19EF">
              <w:t xml:space="preserve">eteran is receiving, or files a claim for, compensation for L/LOU of a paired organ due to NSC disability under </w:t>
            </w:r>
            <w:hyperlink r:id="rId16" w:history="1">
              <w:r w:rsidRPr="00BA19EF">
                <w:rPr>
                  <w:rStyle w:val="Hyperlink"/>
                </w:rPr>
                <w:t>38 U.S.C. 1160</w:t>
              </w:r>
            </w:hyperlink>
            <w:r w:rsidRPr="00BA19EF">
              <w:t xml:space="preserve">, he/she is required to </w:t>
            </w:r>
            <w:r w:rsidR="004E16EE" w:rsidRPr="00BA19EF">
              <w:t>notify</w:t>
            </w:r>
            <w:r w:rsidRPr="00BA19EF">
              <w:t xml:space="preserve"> VA</w:t>
            </w:r>
            <w:r w:rsidR="004E16EE" w:rsidRPr="00BA19EF">
              <w:t xml:space="preserve"> of</w:t>
            </w:r>
            <w:r w:rsidRPr="00BA19EF">
              <w:t xml:space="preserve"> any damages recovered, involving the paired organ or extremity, as the result of a</w:t>
            </w:r>
          </w:p>
          <w:p w14:paraId="6D5C394D" w14:textId="77777777" w:rsidR="00C809DE" w:rsidRPr="00BA19EF" w:rsidRDefault="00C809DE">
            <w:pPr>
              <w:pStyle w:val="BlockText"/>
            </w:pPr>
          </w:p>
          <w:p w14:paraId="6D5C394E" w14:textId="77777777" w:rsidR="00C809DE" w:rsidRPr="00BA19EF" w:rsidRDefault="00F45E82">
            <w:pPr>
              <w:pStyle w:val="BulletText1"/>
            </w:pPr>
            <w:r w:rsidRPr="00BA19EF">
              <w:t>lawsuit</w:t>
            </w:r>
          </w:p>
          <w:p w14:paraId="6D5C394F" w14:textId="77777777" w:rsidR="00C809DE" w:rsidRPr="00BA19EF" w:rsidRDefault="00F45E82">
            <w:pPr>
              <w:pStyle w:val="BulletText1"/>
            </w:pPr>
            <w:r w:rsidRPr="00BA19EF">
              <w:t>compromise</w:t>
            </w:r>
          </w:p>
          <w:p w14:paraId="6D5C3950" w14:textId="77777777" w:rsidR="00C809DE" w:rsidRPr="00BA19EF" w:rsidRDefault="00F45E82">
            <w:pPr>
              <w:pStyle w:val="BulletText1"/>
            </w:pPr>
            <w:r w:rsidRPr="00BA19EF">
              <w:t>settlement, or</w:t>
            </w:r>
          </w:p>
          <w:p w14:paraId="6D5C3951" w14:textId="77777777" w:rsidR="00C809DE" w:rsidRPr="00BA19EF" w:rsidRDefault="00F45E82">
            <w:pPr>
              <w:pStyle w:val="BulletText1"/>
            </w:pPr>
            <w:proofErr w:type="gramStart"/>
            <w:r w:rsidRPr="00BA19EF">
              <w:t>other</w:t>
            </w:r>
            <w:proofErr w:type="gramEnd"/>
            <w:r w:rsidRPr="00BA19EF">
              <w:t xml:space="preserve"> recovery.  </w:t>
            </w:r>
          </w:p>
          <w:p w14:paraId="6D5C3952" w14:textId="77777777" w:rsidR="00C809DE" w:rsidRPr="00BA19EF" w:rsidRDefault="00C809DE">
            <w:pPr>
              <w:pStyle w:val="BlockText"/>
            </w:pPr>
          </w:p>
          <w:p w14:paraId="6D5C3953" w14:textId="0CA329A8" w:rsidR="00C809DE" w:rsidRPr="00BA19EF" w:rsidRDefault="00F45E82">
            <w:pPr>
              <w:pStyle w:val="BlockText"/>
            </w:pPr>
            <w:r w:rsidRPr="00BA19EF">
              <w:t xml:space="preserve">The </w:t>
            </w:r>
            <w:r w:rsidR="000437E7" w:rsidRPr="00BA19EF">
              <w:t>V</w:t>
            </w:r>
            <w:r w:rsidRPr="00BA19EF">
              <w:t xml:space="preserve">eteran should report to VA the total amount of money received.  </w:t>
            </w:r>
          </w:p>
          <w:p w14:paraId="6D5C3954" w14:textId="77777777" w:rsidR="00C809DE" w:rsidRPr="00BA19EF" w:rsidRDefault="00C809DE">
            <w:pPr>
              <w:pStyle w:val="BlockText"/>
            </w:pPr>
          </w:p>
          <w:p w14:paraId="6D5C3955" w14:textId="77777777" w:rsidR="00C809DE" w:rsidRPr="00BA19EF" w:rsidRDefault="00F45E82">
            <w:pPr>
              <w:pStyle w:val="BlockText"/>
            </w:pPr>
            <w:r w:rsidRPr="00BA19EF">
              <w:rPr>
                <w:b/>
                <w:i/>
              </w:rPr>
              <w:t>Notes</w:t>
            </w:r>
            <w:r w:rsidRPr="00BA19EF">
              <w:t xml:space="preserve">:  </w:t>
            </w:r>
          </w:p>
          <w:p w14:paraId="6D5C3956" w14:textId="6A81CA26" w:rsidR="00C809DE" w:rsidRPr="00BA19EF" w:rsidRDefault="00F45E82">
            <w:pPr>
              <w:pStyle w:val="BulletText1"/>
            </w:pPr>
            <w:r w:rsidRPr="00BA19EF">
              <w:t xml:space="preserve">If the </w:t>
            </w:r>
            <w:r w:rsidR="000437E7" w:rsidRPr="00BA19EF">
              <w:t>V</w:t>
            </w:r>
            <w:r w:rsidRPr="00BA19EF">
              <w:t xml:space="preserve">eteran refuses to provide the information required, and evidence essential for adjudication of the issue has been placed under a court seal, solicit the assistance of Regional Counsel in obtaining such evidence.  </w:t>
            </w:r>
          </w:p>
          <w:p w14:paraId="6D5C3957" w14:textId="77777777" w:rsidR="00C809DE" w:rsidRPr="00BA19EF" w:rsidRDefault="00F45E82">
            <w:pPr>
              <w:pStyle w:val="BulletText1"/>
            </w:pPr>
            <w:r w:rsidRPr="00BA19EF">
              <w:t xml:space="preserve">Expenses incident to recovery, such as an attorney’s fees, may </w:t>
            </w:r>
            <w:r w:rsidRPr="00BA19EF">
              <w:rPr>
                <w:b/>
                <w:i/>
              </w:rPr>
              <w:t>not</w:t>
            </w:r>
            <w:r w:rsidRPr="00BA19EF">
              <w:t xml:space="preserve"> be deducted from the amount to be reported.</w:t>
            </w:r>
          </w:p>
        </w:tc>
      </w:tr>
    </w:tbl>
    <w:p w14:paraId="6D5C3959" w14:textId="77777777" w:rsidR="00C809DE" w:rsidRPr="00BA19EF" w:rsidRDefault="00C809DE">
      <w:pPr>
        <w:pStyle w:val="BlockLine"/>
      </w:pPr>
    </w:p>
    <w:p w14:paraId="6D5C395A" w14:textId="103515E2" w:rsidR="00C809DE" w:rsidRPr="00BA19EF" w:rsidRDefault="00F45E82">
      <w:pPr>
        <w:pStyle w:val="Heading4"/>
      </w:pPr>
      <w:r w:rsidRPr="00BA19EF">
        <w:br w:type="page"/>
      </w:r>
      <w:r w:rsidR="00C8771E" w:rsidRPr="00BA19EF">
        <w:lastRenderedPageBreak/>
        <w:t>3</w:t>
      </w:r>
      <w:r w:rsidRPr="00BA19EF">
        <w:t xml:space="preserve">.  Preparation of Awards </w:t>
      </w:r>
      <w:proofErr w:type="gramStart"/>
      <w:r w:rsidRPr="00BA19EF">
        <w:t>Under</w:t>
      </w:r>
      <w:proofErr w:type="gramEnd"/>
      <w:r w:rsidRPr="00BA19EF">
        <w:t xml:space="preserve"> 38 CFR 3.383</w:t>
      </w:r>
    </w:p>
    <w:p w14:paraId="6D5C395B" w14:textId="77777777" w:rsidR="00C809DE" w:rsidRPr="00BA19EF" w:rsidRDefault="00F45E82">
      <w:pPr>
        <w:pStyle w:val="BlockLine"/>
        <w:rPr>
          <w:color w:val="FF0000"/>
        </w:rPr>
      </w:pPr>
      <w:r w:rsidRPr="00BA19EF">
        <w:rPr>
          <w:color w:val="FF0000"/>
        </w:rPr>
        <w:fldChar w:fldCharType="begin"/>
      </w:r>
      <w:r w:rsidRPr="00BA19EF">
        <w:rPr>
          <w:color w:val="FF0000"/>
        </w:rPr>
        <w:instrText xml:space="preserve"> PRIVATE INFOTYPE="OTHER" </w:instrText>
      </w:r>
      <w:r w:rsidRPr="00BA19EF">
        <w:rPr>
          <w:color w:val="FF0000"/>
        </w:rPr>
        <w:fldChar w:fldCharType="end"/>
      </w:r>
    </w:p>
    <w:tbl>
      <w:tblPr>
        <w:tblW w:w="0" w:type="auto"/>
        <w:tblLayout w:type="fixed"/>
        <w:tblLook w:val="0000" w:firstRow="0" w:lastRow="0" w:firstColumn="0" w:lastColumn="0" w:noHBand="0" w:noVBand="0"/>
      </w:tblPr>
      <w:tblGrid>
        <w:gridCol w:w="1728"/>
        <w:gridCol w:w="7740"/>
      </w:tblGrid>
      <w:tr w:rsidR="00C809DE" w:rsidRPr="00BA19EF" w14:paraId="6D5C396A" w14:textId="77777777">
        <w:trPr>
          <w:cantSplit/>
        </w:trPr>
        <w:tc>
          <w:tcPr>
            <w:tcW w:w="1728" w:type="dxa"/>
          </w:tcPr>
          <w:p w14:paraId="6D5C395C" w14:textId="77777777" w:rsidR="00C809DE" w:rsidRPr="00BA19EF" w:rsidRDefault="00F45E82">
            <w:pPr>
              <w:pStyle w:val="Heading5"/>
            </w:pPr>
            <w:r w:rsidRPr="00BA19EF">
              <w:t>Introduction</w:t>
            </w:r>
          </w:p>
        </w:tc>
        <w:tc>
          <w:tcPr>
            <w:tcW w:w="7740" w:type="dxa"/>
          </w:tcPr>
          <w:p w14:paraId="6D5C395D" w14:textId="5F953F2A" w:rsidR="00C809DE" w:rsidRPr="00BA19EF" w:rsidRDefault="00F45E82">
            <w:pPr>
              <w:pStyle w:val="BlockText"/>
            </w:pPr>
            <w:r w:rsidRPr="00BA19EF">
              <w:t xml:space="preserve">This topic contains information on the preparation of awards under </w:t>
            </w:r>
            <w:hyperlink r:id="rId17" w:history="1">
              <w:r w:rsidRPr="00BA19EF">
                <w:t>38 CFR 3.383</w:t>
              </w:r>
            </w:hyperlink>
            <w:r w:rsidR="00A54CEB" w:rsidRPr="00BA19EF">
              <w:t>, including</w:t>
            </w:r>
          </w:p>
          <w:p w14:paraId="6D5C395E" w14:textId="77777777" w:rsidR="00C809DE" w:rsidRPr="00BA19EF" w:rsidRDefault="00C809DE">
            <w:pPr>
              <w:pStyle w:val="BlockText"/>
            </w:pPr>
          </w:p>
          <w:p w14:paraId="6D5C395F" w14:textId="7BA513B5" w:rsidR="00C809DE" w:rsidRPr="00BA19EF" w:rsidRDefault="00F45E82">
            <w:pPr>
              <w:pStyle w:val="BulletText1"/>
            </w:pPr>
            <w:r w:rsidRPr="00BA19EF">
              <w:t>action to take when it appears a tort claim may have been filed</w:t>
            </w:r>
          </w:p>
          <w:p w14:paraId="6D5C3964" w14:textId="3FC19A24" w:rsidR="00C809DE" w:rsidRPr="00BA19EF" w:rsidRDefault="00F45E82" w:rsidP="007A0A1F">
            <w:pPr>
              <w:pStyle w:val="BulletText1"/>
            </w:pPr>
            <w:r w:rsidRPr="00BA19EF">
              <w:t>determining the amount to be recouped</w:t>
            </w:r>
          </w:p>
          <w:p w14:paraId="6D5C3965" w14:textId="0143260C" w:rsidR="00C809DE" w:rsidRPr="00BA19EF" w:rsidRDefault="00F45E82">
            <w:pPr>
              <w:pStyle w:val="BulletText1"/>
            </w:pPr>
            <w:r w:rsidRPr="00BA19EF">
              <w:t>monthly withholding amount</w:t>
            </w:r>
            <w:r w:rsidR="004E16EE" w:rsidRPr="00BA19EF">
              <w:t xml:space="preserve"> for</w:t>
            </w:r>
            <w:r w:rsidR="001A095E" w:rsidRPr="00BA19EF">
              <w:t xml:space="preserve"> NSC</w:t>
            </w:r>
            <w:r w:rsidR="004E16EE" w:rsidRPr="00BA19EF">
              <w:t xml:space="preserve"> paired organs and extremities</w:t>
            </w:r>
          </w:p>
          <w:p w14:paraId="6D5C3966" w14:textId="08174FC9" w:rsidR="00C809DE" w:rsidRPr="00BA19EF" w:rsidRDefault="00F45E82">
            <w:pPr>
              <w:pStyle w:val="BulletText1"/>
            </w:pPr>
            <w:r w:rsidRPr="00BA19EF">
              <w:t>effective date of the withholding</w:t>
            </w:r>
          </w:p>
          <w:p w14:paraId="4ABF47BF" w14:textId="27304CD8" w:rsidR="0029318D" w:rsidRPr="00BA19EF" w:rsidRDefault="0029318D">
            <w:pPr>
              <w:pStyle w:val="BulletText1"/>
            </w:pPr>
            <w:r w:rsidRPr="00BA19EF">
              <w:t>how to enter the offset amount</w:t>
            </w:r>
          </w:p>
          <w:p w14:paraId="6D5C3967" w14:textId="015C990F" w:rsidR="00C809DE" w:rsidRPr="00BA19EF" w:rsidRDefault="009F0B2D">
            <w:pPr>
              <w:pStyle w:val="BulletText1"/>
            </w:pPr>
            <w:r w:rsidRPr="00BA19EF">
              <w:t xml:space="preserve">example of offset </w:t>
            </w:r>
            <w:r w:rsidR="00F45E82" w:rsidRPr="00BA19EF">
              <w:t xml:space="preserve">retroactive compensation </w:t>
            </w:r>
          </w:p>
          <w:p w14:paraId="6D5C3968" w14:textId="77777777" w:rsidR="00C809DE" w:rsidRPr="00BA19EF" w:rsidRDefault="00F45E82">
            <w:pPr>
              <w:pStyle w:val="BulletText1"/>
            </w:pPr>
            <w:r w:rsidRPr="00BA19EF">
              <w:t>providing notice of the award, and</w:t>
            </w:r>
          </w:p>
          <w:p w14:paraId="6D5C3969" w14:textId="5868748E" w:rsidR="00C809DE" w:rsidRPr="00BA19EF" w:rsidRDefault="00F45E82">
            <w:pPr>
              <w:pStyle w:val="BulletText1"/>
            </w:pPr>
            <w:proofErr w:type="gramStart"/>
            <w:r w:rsidRPr="00BA19EF">
              <w:t>considering</w:t>
            </w:r>
            <w:proofErr w:type="gramEnd"/>
            <w:r w:rsidRPr="00BA19EF">
              <w:t xml:space="preserve"> entitlement to </w:t>
            </w:r>
            <w:r w:rsidR="001A095E" w:rsidRPr="00BA19EF">
              <w:t>Dependents</w:t>
            </w:r>
            <w:r w:rsidR="00C2659D" w:rsidRPr="00BA19EF">
              <w:t>’</w:t>
            </w:r>
            <w:r w:rsidR="001A095E" w:rsidRPr="00BA19EF">
              <w:t xml:space="preserve"> Educational Assistance (DEA)</w:t>
            </w:r>
            <w:r w:rsidR="00093439" w:rsidRPr="00BA19EF">
              <w:t xml:space="preserve"> for NSC Disabilities Treated as SC Under </w:t>
            </w:r>
            <w:hyperlink r:id="rId18" w:history="1">
              <w:r w:rsidR="00093439" w:rsidRPr="00BA19EF">
                <w:rPr>
                  <w:rStyle w:val="Hyperlink"/>
                </w:rPr>
                <w:t>38 U.S.C 1160</w:t>
              </w:r>
            </w:hyperlink>
            <w:r w:rsidRPr="00BA19EF">
              <w:t>.</w:t>
            </w:r>
          </w:p>
        </w:tc>
      </w:tr>
    </w:tbl>
    <w:p w14:paraId="6D5C396B" w14:textId="77777777" w:rsidR="00C809DE" w:rsidRPr="00BA19EF" w:rsidRDefault="00C809DE">
      <w:pPr>
        <w:pStyle w:val="BlockLine"/>
        <w:rPr>
          <w:color w:val="FF0000"/>
        </w:rPr>
      </w:pPr>
    </w:p>
    <w:tbl>
      <w:tblPr>
        <w:tblW w:w="0" w:type="auto"/>
        <w:tblLayout w:type="fixed"/>
        <w:tblLook w:val="0000" w:firstRow="0" w:lastRow="0" w:firstColumn="0" w:lastColumn="0" w:noHBand="0" w:noVBand="0"/>
      </w:tblPr>
      <w:tblGrid>
        <w:gridCol w:w="1728"/>
        <w:gridCol w:w="7740"/>
      </w:tblGrid>
      <w:tr w:rsidR="001E4CE4" w:rsidRPr="00BA19EF" w14:paraId="6D5C396E" w14:textId="77777777">
        <w:trPr>
          <w:cantSplit/>
        </w:trPr>
        <w:tc>
          <w:tcPr>
            <w:tcW w:w="1728" w:type="dxa"/>
          </w:tcPr>
          <w:p w14:paraId="6D5C396C" w14:textId="77777777" w:rsidR="00C809DE" w:rsidRPr="00BA19EF" w:rsidRDefault="00F45E82">
            <w:pPr>
              <w:pStyle w:val="Heading5"/>
            </w:pPr>
            <w:r w:rsidRPr="00BA19EF">
              <w:t>Change Date</w:t>
            </w:r>
          </w:p>
        </w:tc>
        <w:tc>
          <w:tcPr>
            <w:tcW w:w="7740" w:type="dxa"/>
          </w:tcPr>
          <w:p w14:paraId="6D5C396D" w14:textId="5944C737" w:rsidR="00C809DE" w:rsidRPr="00BA19EF" w:rsidRDefault="002F4233" w:rsidP="00594B23">
            <w:pPr>
              <w:pStyle w:val="BlockText"/>
            </w:pPr>
            <w:r w:rsidRPr="00BA19EF">
              <w:t>May 8, 2015</w:t>
            </w:r>
          </w:p>
        </w:tc>
      </w:tr>
    </w:tbl>
    <w:p w14:paraId="6D5C396F" w14:textId="77777777" w:rsidR="00C809DE" w:rsidRPr="00BA19EF" w:rsidRDefault="00C809DE">
      <w:pPr>
        <w:pStyle w:val="BlockLine"/>
      </w:pPr>
    </w:p>
    <w:tbl>
      <w:tblPr>
        <w:tblW w:w="0" w:type="auto"/>
        <w:tblLayout w:type="fixed"/>
        <w:tblLook w:val="0000" w:firstRow="0" w:lastRow="0" w:firstColumn="0" w:lastColumn="0" w:noHBand="0" w:noVBand="0"/>
      </w:tblPr>
      <w:tblGrid>
        <w:gridCol w:w="1728"/>
        <w:gridCol w:w="7740"/>
      </w:tblGrid>
      <w:tr w:rsidR="001E4CE4" w:rsidRPr="00BA19EF" w14:paraId="6D5C3974" w14:textId="77777777">
        <w:trPr>
          <w:cantSplit/>
        </w:trPr>
        <w:tc>
          <w:tcPr>
            <w:tcW w:w="1728" w:type="dxa"/>
          </w:tcPr>
          <w:p w14:paraId="6D5C3970" w14:textId="77777777" w:rsidR="00C809DE" w:rsidRPr="00BA19EF" w:rsidRDefault="00F45E82">
            <w:pPr>
              <w:pStyle w:val="Heading5"/>
            </w:pPr>
            <w:proofErr w:type="gramStart"/>
            <w:r w:rsidRPr="00BA19EF">
              <w:t>a.  Action</w:t>
            </w:r>
            <w:proofErr w:type="gramEnd"/>
            <w:r w:rsidRPr="00BA19EF">
              <w:t xml:space="preserve"> to Take When It Appears a Tort Claim May Have Been Filed</w:t>
            </w:r>
          </w:p>
        </w:tc>
        <w:tc>
          <w:tcPr>
            <w:tcW w:w="7740" w:type="dxa"/>
          </w:tcPr>
          <w:p w14:paraId="6D5C3971" w14:textId="77777777" w:rsidR="00C809DE" w:rsidRPr="00BA19EF" w:rsidRDefault="00F45E82">
            <w:pPr>
              <w:pStyle w:val="BlockText"/>
            </w:pPr>
            <w:r w:rsidRPr="00BA19EF">
              <w:t xml:space="preserve">Do </w:t>
            </w:r>
            <w:r w:rsidRPr="00BA19EF">
              <w:rPr>
                <w:b/>
                <w:i/>
              </w:rPr>
              <w:t>not</w:t>
            </w:r>
            <w:r w:rsidRPr="00BA19EF">
              <w:t xml:space="preserve"> defer award action because there is reason to believe a tort claim for damages has been filed against any party (VA or otherwise) based on the injury to the NSC paired organ or extremity.  </w:t>
            </w:r>
          </w:p>
          <w:p w14:paraId="6D5C3972" w14:textId="77777777" w:rsidR="00C809DE" w:rsidRPr="00BA19EF" w:rsidRDefault="00C809DE">
            <w:pPr>
              <w:pStyle w:val="BlockText"/>
            </w:pPr>
          </w:p>
          <w:p w14:paraId="6D5C3973" w14:textId="1CFA5DB9" w:rsidR="00C809DE" w:rsidRPr="00BA19EF" w:rsidRDefault="00F45E82" w:rsidP="00594B23">
            <w:pPr>
              <w:pStyle w:val="BlockText"/>
            </w:pPr>
            <w:r w:rsidRPr="00BA19EF">
              <w:rPr>
                <w:b/>
                <w:i/>
              </w:rPr>
              <w:t>Do</w:t>
            </w:r>
            <w:r w:rsidRPr="00BA19EF">
              <w:t xml:space="preserve"> defer award action and initiate development action to ascertain the date damages were received by the </w:t>
            </w:r>
            <w:r w:rsidR="00594B23" w:rsidRPr="00BA19EF">
              <w:t>V</w:t>
            </w:r>
            <w:r w:rsidRPr="00BA19EF">
              <w:t xml:space="preserve">eteran if there is reason to believe that a tort claim for damages has been finalized, but the date the </w:t>
            </w:r>
            <w:r w:rsidR="00594B23" w:rsidRPr="00BA19EF">
              <w:t>V</w:t>
            </w:r>
            <w:r w:rsidRPr="00BA19EF">
              <w:t>eteran recovered damages is not known.</w:t>
            </w:r>
          </w:p>
        </w:tc>
      </w:tr>
    </w:tbl>
    <w:p w14:paraId="6D5C3975" w14:textId="3273DC45" w:rsidR="00C809DE" w:rsidRPr="00BA19EF" w:rsidRDefault="00C809DE">
      <w:pPr>
        <w:pStyle w:val="BlockLine"/>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A3C05" w:rsidRPr="00BA19EF" w14:paraId="1E85E821" w14:textId="77777777" w:rsidTr="00D42785">
        <w:tc>
          <w:tcPr>
            <w:tcW w:w="1728" w:type="dxa"/>
            <w:shd w:val="clear" w:color="auto" w:fill="auto"/>
          </w:tcPr>
          <w:p w14:paraId="24649271" w14:textId="5D04AE7B" w:rsidR="001A3C05" w:rsidRPr="00BA19EF" w:rsidRDefault="001A3C05" w:rsidP="009F0B2D">
            <w:pPr>
              <w:rPr>
                <w:b/>
                <w:sz w:val="22"/>
                <w:szCs w:val="22"/>
              </w:rPr>
            </w:pPr>
            <w:r w:rsidRPr="00BA19EF">
              <w:rPr>
                <w:b/>
                <w:sz w:val="22"/>
                <w:szCs w:val="22"/>
              </w:rPr>
              <w:t>b.  Determining the Amount to Be Recouped</w:t>
            </w:r>
          </w:p>
        </w:tc>
        <w:tc>
          <w:tcPr>
            <w:tcW w:w="7740" w:type="dxa"/>
          </w:tcPr>
          <w:p w14:paraId="0699A344" w14:textId="77777777" w:rsidR="001A3C05" w:rsidRPr="00BA19EF" w:rsidRDefault="001A3C05" w:rsidP="00B31E07">
            <w:pPr>
              <w:pStyle w:val="BlockText"/>
              <w:tabs>
                <w:tab w:val="left" w:pos="9360"/>
              </w:tabs>
            </w:pPr>
            <w:r w:rsidRPr="00BA19EF">
              <w:t xml:space="preserve">The total amount to be recouped is the gross amount of the settlement or judgment.  </w:t>
            </w:r>
          </w:p>
          <w:p w14:paraId="4F19146F" w14:textId="77777777" w:rsidR="001A3C05" w:rsidRPr="00BA19EF" w:rsidRDefault="001A3C05" w:rsidP="00B31E07">
            <w:pPr>
              <w:pStyle w:val="BlockText"/>
              <w:tabs>
                <w:tab w:val="left" w:pos="9360"/>
              </w:tabs>
            </w:pPr>
          </w:p>
          <w:p w14:paraId="5B5AC870" w14:textId="1031D106" w:rsidR="001A3C05" w:rsidRPr="00BA19EF" w:rsidRDefault="001A3C05" w:rsidP="009F0B2D">
            <w:r w:rsidRPr="00BA19EF">
              <w:t xml:space="preserve">Attorney’s fees, court costs, and other expenses incident to the claim are </w:t>
            </w:r>
            <w:r w:rsidRPr="00BA19EF">
              <w:rPr>
                <w:b/>
                <w:i/>
              </w:rPr>
              <w:t>not</w:t>
            </w:r>
            <w:r w:rsidRPr="00BA19EF">
              <w:rPr>
                <w:i/>
              </w:rPr>
              <w:t xml:space="preserve"> </w:t>
            </w:r>
            <w:r w:rsidRPr="00BA19EF">
              <w:t xml:space="preserve">deductible from the total amount awarded.  </w:t>
            </w:r>
          </w:p>
        </w:tc>
      </w:tr>
    </w:tbl>
    <w:p w14:paraId="70553ACA" w14:textId="09A2AE6B" w:rsidR="009F0B2D" w:rsidRPr="00BA19EF" w:rsidRDefault="009F0B2D" w:rsidP="009F0B2D">
      <w:pPr>
        <w:tabs>
          <w:tab w:val="left" w:pos="9360"/>
        </w:tabs>
        <w:ind w:left="1714"/>
        <w:rPr>
          <w:u w:val="single"/>
        </w:rPr>
      </w:pPr>
      <w:r w:rsidRPr="00BA19EF">
        <w:rPr>
          <w:u w:val="single"/>
        </w:rPr>
        <w:tab/>
      </w:r>
    </w:p>
    <w:tbl>
      <w:tblPr>
        <w:tblpPr w:leftFromText="180" w:rightFromText="180" w:vertAnchor="text" w:horzAnchor="margin" w:tblpY="265"/>
        <w:tblW w:w="0" w:type="auto"/>
        <w:tblLayout w:type="fixed"/>
        <w:tblLook w:val="0000" w:firstRow="0" w:lastRow="0" w:firstColumn="0" w:lastColumn="0" w:noHBand="0" w:noVBand="0"/>
      </w:tblPr>
      <w:tblGrid>
        <w:gridCol w:w="1728"/>
        <w:gridCol w:w="7740"/>
      </w:tblGrid>
      <w:tr w:rsidR="001B349A" w:rsidRPr="00BA19EF" w14:paraId="29A01684" w14:textId="77777777" w:rsidTr="00146603">
        <w:tc>
          <w:tcPr>
            <w:tcW w:w="1728" w:type="dxa"/>
          </w:tcPr>
          <w:p w14:paraId="0B9D88F9" w14:textId="10700B52" w:rsidR="001B349A" w:rsidRPr="00BA19EF" w:rsidRDefault="009F0B2D" w:rsidP="001A3C05">
            <w:pPr>
              <w:pStyle w:val="Heading5"/>
            </w:pPr>
            <w:proofErr w:type="gramStart"/>
            <w:r w:rsidRPr="00BA19EF">
              <w:t>c.</w:t>
            </w:r>
            <w:r w:rsidR="001B349A" w:rsidRPr="00BA19EF">
              <w:t xml:space="preserve">  Monthly</w:t>
            </w:r>
            <w:proofErr w:type="gramEnd"/>
            <w:r w:rsidR="001B349A" w:rsidRPr="00BA19EF">
              <w:t xml:space="preserve"> Withholding Amount</w:t>
            </w:r>
            <w:r w:rsidR="004E16EE" w:rsidRPr="00BA19EF">
              <w:t xml:space="preserve"> for </w:t>
            </w:r>
            <w:r w:rsidR="001A095E" w:rsidRPr="00BA19EF">
              <w:t xml:space="preserve">NSC </w:t>
            </w:r>
            <w:r w:rsidR="004E16EE" w:rsidRPr="00BA19EF">
              <w:t>Paired Organs and Extremities</w:t>
            </w:r>
          </w:p>
        </w:tc>
        <w:tc>
          <w:tcPr>
            <w:tcW w:w="7740" w:type="dxa"/>
          </w:tcPr>
          <w:p w14:paraId="359C5CE0" w14:textId="77777777" w:rsidR="001B349A" w:rsidRPr="00BA19EF" w:rsidRDefault="001B349A" w:rsidP="001A3C05">
            <w:pPr>
              <w:pStyle w:val="BlockText"/>
            </w:pPr>
            <w:r w:rsidRPr="00BA19EF">
              <w:t xml:space="preserve">Withhold only the additional compensation, including amounts for </w:t>
            </w:r>
            <w:proofErr w:type="gramStart"/>
            <w:r w:rsidRPr="00BA19EF">
              <w:t>dependents,</w:t>
            </w:r>
            <w:proofErr w:type="gramEnd"/>
            <w:r w:rsidRPr="00BA19EF">
              <w:t xml:space="preserve"> payable for the NSC paired organ or extremity.</w:t>
            </w:r>
          </w:p>
          <w:p w14:paraId="1CF39268" w14:textId="476EE6C8" w:rsidR="00A15358" w:rsidRPr="00BA19EF" w:rsidRDefault="00BB7A96" w:rsidP="00E2744B">
            <w:pPr>
              <w:pStyle w:val="BlockText"/>
            </w:pPr>
            <w:r w:rsidRPr="00BA19EF">
              <w:t xml:space="preserve">After withholding the additional compensation mentioned above, </w:t>
            </w:r>
            <w:r w:rsidR="008408DE" w:rsidRPr="00BA19EF">
              <w:rPr>
                <w:b/>
                <w:i/>
              </w:rPr>
              <w:t>if</w:t>
            </w:r>
            <w:r w:rsidR="008408DE" w:rsidRPr="00BA19EF">
              <w:t xml:space="preserve"> </w:t>
            </w:r>
            <w:r w:rsidR="00E2744B" w:rsidRPr="00BA19EF">
              <w:t xml:space="preserve">the total payment is at a rate </w:t>
            </w:r>
            <w:r w:rsidR="00E2744B" w:rsidRPr="00BA19EF">
              <w:rPr>
                <w:b/>
                <w:i/>
              </w:rPr>
              <w:t>less</w:t>
            </w:r>
            <w:r w:rsidR="00E2744B" w:rsidRPr="00BA19EF">
              <w:t xml:space="preserve"> than the combined evaluation of the SC disabilities </w:t>
            </w:r>
          </w:p>
          <w:p w14:paraId="22BC6257" w14:textId="77777777" w:rsidR="00A15358" w:rsidRPr="00BA19EF" w:rsidRDefault="00A15358" w:rsidP="00E2744B">
            <w:pPr>
              <w:pStyle w:val="BlockText"/>
            </w:pPr>
          </w:p>
          <w:p w14:paraId="2995CF52" w14:textId="54E3EAD2" w:rsidR="00A15358" w:rsidRPr="00BA19EF" w:rsidRDefault="00A15358" w:rsidP="00A15358">
            <w:pPr>
              <w:numPr>
                <w:ilvl w:val="0"/>
                <w:numId w:val="11"/>
              </w:numPr>
              <w:ind w:left="158" w:hanging="187"/>
            </w:pPr>
            <w:r w:rsidRPr="00BA19EF">
              <w:t>withhold the remaining balance, including amounts for dependents, and</w:t>
            </w:r>
          </w:p>
          <w:p w14:paraId="065C9A82" w14:textId="657183A8" w:rsidR="001B349A" w:rsidRPr="00BA19EF" w:rsidRDefault="00A15358" w:rsidP="008408DE">
            <w:pPr>
              <w:numPr>
                <w:ilvl w:val="0"/>
                <w:numId w:val="11"/>
              </w:numPr>
              <w:ind w:left="158" w:hanging="187"/>
            </w:pPr>
            <w:proofErr w:type="gramStart"/>
            <w:r w:rsidRPr="00BA19EF">
              <w:t>exclude</w:t>
            </w:r>
            <w:proofErr w:type="gramEnd"/>
            <w:r w:rsidRPr="00BA19EF">
              <w:t xml:space="preserve"> withholding for NSC disabilities compensable under </w:t>
            </w:r>
            <w:hyperlink r:id="rId19" w:history="1">
              <w:r w:rsidRPr="00BA19EF">
                <w:rPr>
                  <w:rStyle w:val="Hyperlink"/>
                </w:rPr>
                <w:t>38 U.S.C. 1160</w:t>
              </w:r>
            </w:hyperlink>
            <w:r w:rsidRPr="00BA19EF">
              <w:t>.</w:t>
            </w:r>
            <w:r w:rsidR="008408DE" w:rsidRPr="00BA19EF">
              <w:t xml:space="preserve"> </w:t>
            </w:r>
          </w:p>
        </w:tc>
      </w:tr>
    </w:tbl>
    <w:p w14:paraId="6D5C39A6" w14:textId="77777777" w:rsidR="00C809DE" w:rsidRPr="00BA19EF" w:rsidRDefault="00C809DE" w:rsidP="00237890">
      <w:pPr>
        <w:pStyle w:val="ContinuedOnNextPa"/>
        <w:jc w:val="center"/>
      </w:pPr>
    </w:p>
    <w:tbl>
      <w:tblPr>
        <w:tblW w:w="0" w:type="auto"/>
        <w:tblLayout w:type="fixed"/>
        <w:tblLook w:val="0000" w:firstRow="0" w:lastRow="0" w:firstColumn="0" w:lastColumn="0" w:noHBand="0" w:noVBand="0"/>
      </w:tblPr>
      <w:tblGrid>
        <w:gridCol w:w="1728"/>
        <w:gridCol w:w="7740"/>
      </w:tblGrid>
      <w:tr w:rsidR="00C809DE" w:rsidRPr="00BA19EF" w14:paraId="6D5C39AD" w14:textId="77777777">
        <w:trPr>
          <w:cantSplit/>
        </w:trPr>
        <w:tc>
          <w:tcPr>
            <w:tcW w:w="1728" w:type="dxa"/>
          </w:tcPr>
          <w:p w14:paraId="6D5C39A7" w14:textId="764AA784" w:rsidR="00C809DE" w:rsidRPr="00BA19EF" w:rsidRDefault="000B3F5D" w:rsidP="000B3F5D">
            <w:pPr>
              <w:pStyle w:val="Heading5"/>
            </w:pPr>
            <w:proofErr w:type="gramStart"/>
            <w:r w:rsidRPr="00BA19EF">
              <w:t>d</w:t>
            </w:r>
            <w:r w:rsidR="00F45E82" w:rsidRPr="00BA19EF">
              <w:t>.  Effective</w:t>
            </w:r>
            <w:proofErr w:type="gramEnd"/>
            <w:r w:rsidR="00F45E82" w:rsidRPr="00BA19EF">
              <w:t xml:space="preserve"> Date of the Withholding</w:t>
            </w:r>
          </w:p>
        </w:tc>
        <w:tc>
          <w:tcPr>
            <w:tcW w:w="7740" w:type="dxa"/>
          </w:tcPr>
          <w:p w14:paraId="6D5C39A8" w14:textId="29095F3A" w:rsidR="00C809DE" w:rsidRPr="00BA19EF" w:rsidRDefault="00F45E82">
            <w:pPr>
              <w:pStyle w:val="BlockText"/>
            </w:pPr>
            <w:r w:rsidRPr="00BA19EF">
              <w:t xml:space="preserve">Commence withholding compensation effective the first of the month after the month during which the </w:t>
            </w:r>
            <w:r w:rsidR="00594B23" w:rsidRPr="00BA19EF">
              <w:t>V</w:t>
            </w:r>
            <w:r w:rsidRPr="00BA19EF">
              <w:t xml:space="preserve">eteran received damages as a result of injury to the NSC organ or extremity.  </w:t>
            </w:r>
          </w:p>
          <w:p w14:paraId="6D5C39A9" w14:textId="77777777" w:rsidR="00C809DE" w:rsidRPr="00BA19EF" w:rsidRDefault="00C809DE">
            <w:pPr>
              <w:pStyle w:val="BlockText"/>
            </w:pPr>
          </w:p>
          <w:p w14:paraId="6D5C39AC" w14:textId="62D09E6A" w:rsidR="00C809DE" w:rsidRPr="00BA19EF" w:rsidRDefault="00F45E82" w:rsidP="009E5505">
            <w:pPr>
              <w:pStyle w:val="BlockText"/>
            </w:pPr>
            <w:r w:rsidRPr="00BA19EF">
              <w:t xml:space="preserve">If the </w:t>
            </w:r>
            <w:r w:rsidR="00B474B3" w:rsidRPr="00BA19EF">
              <w:t>V</w:t>
            </w:r>
            <w:r w:rsidRPr="00BA19EF">
              <w:t xml:space="preserve">eteran receives payments in installments, start the withholding the first of the month after the month during which the first installment was received.  </w:t>
            </w:r>
          </w:p>
        </w:tc>
      </w:tr>
    </w:tbl>
    <w:p w14:paraId="6D5C39AE" w14:textId="77777777" w:rsidR="00C809DE" w:rsidRPr="00BA19EF" w:rsidRDefault="00C809DE">
      <w:pPr>
        <w:pStyle w:val="BlockLine"/>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57EE1" w:rsidRPr="00BA19EF" w14:paraId="317E7E9E" w14:textId="77777777" w:rsidTr="00745575">
        <w:tc>
          <w:tcPr>
            <w:tcW w:w="1728" w:type="dxa"/>
            <w:shd w:val="clear" w:color="auto" w:fill="auto"/>
          </w:tcPr>
          <w:p w14:paraId="208810F2" w14:textId="6B00CDE3" w:rsidR="00457EE1" w:rsidRPr="00BA19EF" w:rsidRDefault="00FE6243" w:rsidP="00457EE1">
            <w:pPr>
              <w:rPr>
                <w:b/>
                <w:sz w:val="22"/>
              </w:rPr>
            </w:pPr>
            <w:r w:rsidRPr="00BA19EF">
              <w:rPr>
                <w:b/>
                <w:sz w:val="22"/>
              </w:rPr>
              <w:t>e</w:t>
            </w:r>
            <w:r w:rsidR="00457EE1" w:rsidRPr="00BA19EF">
              <w:rPr>
                <w:b/>
                <w:sz w:val="22"/>
              </w:rPr>
              <w:t>.  How to Enter the Offset Amount</w:t>
            </w:r>
          </w:p>
        </w:tc>
        <w:tc>
          <w:tcPr>
            <w:tcW w:w="7740" w:type="dxa"/>
            <w:shd w:val="clear" w:color="auto" w:fill="auto"/>
          </w:tcPr>
          <w:p w14:paraId="3739F29D" w14:textId="102DB133" w:rsidR="00457EE1" w:rsidRPr="00BA19EF" w:rsidRDefault="00457EE1" w:rsidP="00457EE1">
            <w:r w:rsidRPr="00BA19EF">
              <w:t>When adjusting benefits in Veterans Service Network (VETSNET) or Veterans Benefits Management System Awards (VBMS</w:t>
            </w:r>
            <w:r w:rsidR="006D1C7D" w:rsidRPr="00BA19EF">
              <w:t>-</w:t>
            </w:r>
            <w:r w:rsidRPr="00BA19EF">
              <w:t>A)</w:t>
            </w:r>
            <w:r w:rsidR="00C2659D" w:rsidRPr="00BA19EF">
              <w:t>,</w:t>
            </w:r>
            <w:r w:rsidRPr="00BA19EF">
              <w:t xml:space="preserve"> enter the following on the DISABILITY PAY tab of the AWARD ADJUSTMENTS screen</w:t>
            </w:r>
          </w:p>
          <w:p w14:paraId="3F25226C" w14:textId="77777777" w:rsidR="00457EE1" w:rsidRPr="00BA19EF" w:rsidRDefault="00457EE1" w:rsidP="00457EE1"/>
          <w:p w14:paraId="35CD64EC" w14:textId="77777777" w:rsidR="00457EE1" w:rsidRPr="00BA19EF" w:rsidRDefault="00457EE1" w:rsidP="00745575">
            <w:pPr>
              <w:numPr>
                <w:ilvl w:val="0"/>
                <w:numId w:val="6"/>
              </w:numPr>
              <w:ind w:left="158" w:hanging="187"/>
            </w:pPr>
            <w:r w:rsidRPr="00BA19EF">
              <w:rPr>
                <w:i/>
              </w:rPr>
              <w:t xml:space="preserve">Tort </w:t>
            </w:r>
            <w:r w:rsidRPr="00BA19EF">
              <w:t>in the PAYMENT TYPE field</w:t>
            </w:r>
          </w:p>
          <w:p w14:paraId="48FCA3D3" w14:textId="77777777" w:rsidR="00457EE1" w:rsidRPr="00BA19EF" w:rsidRDefault="00457EE1" w:rsidP="00745575">
            <w:pPr>
              <w:numPr>
                <w:ilvl w:val="0"/>
                <w:numId w:val="6"/>
              </w:numPr>
              <w:ind w:left="158" w:hanging="187"/>
            </w:pPr>
            <w:r w:rsidRPr="00BA19EF">
              <w:t xml:space="preserve">the offset amount in the ORIGINAL BALANCE field, and </w:t>
            </w:r>
          </w:p>
          <w:p w14:paraId="2D888DB5" w14:textId="77777777" w:rsidR="00457EE1" w:rsidRPr="00BA19EF" w:rsidRDefault="00457EE1" w:rsidP="00745575">
            <w:pPr>
              <w:numPr>
                <w:ilvl w:val="0"/>
                <w:numId w:val="6"/>
              </w:numPr>
              <w:ind w:left="158" w:hanging="187"/>
            </w:pPr>
            <w:proofErr w:type="gramStart"/>
            <w:r w:rsidRPr="00BA19EF">
              <w:t>the</w:t>
            </w:r>
            <w:proofErr w:type="gramEnd"/>
            <w:r w:rsidRPr="00BA19EF">
              <w:t xml:space="preserve"> effective date of the award adjustment in the AWARD EFFECTIVE DATE field.</w:t>
            </w:r>
          </w:p>
          <w:p w14:paraId="28511807" w14:textId="77777777" w:rsidR="00457EE1" w:rsidRPr="00BA19EF" w:rsidRDefault="00457EE1" w:rsidP="00457EE1"/>
          <w:p w14:paraId="4A1395FD" w14:textId="5A687E82" w:rsidR="00457EE1" w:rsidRPr="00BA19EF" w:rsidRDefault="00457EE1" w:rsidP="00457EE1">
            <w:r w:rsidRPr="00BA19EF">
              <w:rPr>
                <w:b/>
                <w:i/>
              </w:rPr>
              <w:t>References</w:t>
            </w:r>
            <w:r w:rsidRPr="00BA19EF">
              <w:t xml:space="preserve">:  For more information on entering </w:t>
            </w:r>
            <w:r w:rsidR="005139D3" w:rsidRPr="00BA19EF">
              <w:t xml:space="preserve">offset amounts </w:t>
            </w:r>
            <w:r w:rsidRPr="00BA19EF">
              <w:t xml:space="preserve">in </w:t>
            </w:r>
          </w:p>
          <w:p w14:paraId="73F4F57C" w14:textId="01DED967" w:rsidR="00457EE1" w:rsidRPr="00BA19EF" w:rsidRDefault="00457EE1" w:rsidP="00457EE1">
            <w:pPr>
              <w:numPr>
                <w:ilvl w:val="0"/>
                <w:numId w:val="8"/>
              </w:numPr>
              <w:ind w:left="158" w:hanging="187"/>
            </w:pPr>
            <w:r w:rsidRPr="00BA19EF">
              <w:t xml:space="preserve">VETSNET, see </w:t>
            </w:r>
            <w:hyperlink r:id="rId20" w:history="1">
              <w:r w:rsidR="00000CED" w:rsidRPr="00BA19EF">
                <w:rPr>
                  <w:rStyle w:val="Hyperlink"/>
                  <w:i/>
                </w:rPr>
                <w:t>VETSNET Awards User Guide</w:t>
              </w:r>
            </w:hyperlink>
            <w:r w:rsidRPr="00BA19EF">
              <w:t>, and</w:t>
            </w:r>
          </w:p>
          <w:p w14:paraId="1EFED6AD" w14:textId="2BEF8787" w:rsidR="00457EE1" w:rsidRPr="00BA19EF" w:rsidRDefault="00457EE1" w:rsidP="00745575">
            <w:pPr>
              <w:numPr>
                <w:ilvl w:val="0"/>
                <w:numId w:val="7"/>
              </w:numPr>
              <w:ind w:left="158" w:hanging="187"/>
            </w:pPr>
            <w:r w:rsidRPr="00BA19EF">
              <w:t xml:space="preserve">VBMS-A, see </w:t>
            </w:r>
            <w:hyperlink r:id="rId21" w:history="1">
              <w:r w:rsidRPr="00BA19EF">
                <w:rPr>
                  <w:rStyle w:val="Hyperlink"/>
                  <w:i/>
                </w:rPr>
                <w:t>VBMS-Awards User Guide</w:t>
              </w:r>
            </w:hyperlink>
            <w:r w:rsidRPr="00BA19EF">
              <w:rPr>
                <w:i/>
              </w:rPr>
              <w:t>.</w:t>
            </w:r>
          </w:p>
        </w:tc>
      </w:tr>
    </w:tbl>
    <w:p w14:paraId="107D9921" w14:textId="77777777" w:rsidR="00A8308F" w:rsidRPr="00BA19EF" w:rsidRDefault="00A8308F" w:rsidP="00A8308F">
      <w:pPr>
        <w:pStyle w:val="BlockLine"/>
      </w:pPr>
    </w:p>
    <w:tbl>
      <w:tblPr>
        <w:tblW w:w="0" w:type="auto"/>
        <w:tblLayout w:type="fixed"/>
        <w:tblLook w:val="0000" w:firstRow="0" w:lastRow="0" w:firstColumn="0" w:lastColumn="0" w:noHBand="0" w:noVBand="0"/>
      </w:tblPr>
      <w:tblGrid>
        <w:gridCol w:w="1728"/>
        <w:gridCol w:w="7740"/>
      </w:tblGrid>
      <w:tr w:rsidR="00A8308F" w:rsidRPr="00BA19EF" w14:paraId="1DCD8406" w14:textId="77777777" w:rsidTr="00A8308F">
        <w:tblPrEx>
          <w:tblCellMar>
            <w:top w:w="0" w:type="dxa"/>
            <w:bottom w:w="0" w:type="dxa"/>
          </w:tblCellMar>
        </w:tblPrEx>
        <w:tc>
          <w:tcPr>
            <w:tcW w:w="1728" w:type="dxa"/>
            <w:shd w:val="clear" w:color="auto" w:fill="auto"/>
          </w:tcPr>
          <w:p w14:paraId="7A1A8E0F" w14:textId="755246F3" w:rsidR="00A8308F" w:rsidRPr="00BA19EF" w:rsidRDefault="00A8308F" w:rsidP="00A8308F">
            <w:pPr>
              <w:pStyle w:val="Heading5"/>
            </w:pPr>
            <w:proofErr w:type="gramStart"/>
            <w:r w:rsidRPr="00BA19EF">
              <w:rPr>
                <w:szCs w:val="22"/>
              </w:rPr>
              <w:t>f.  Example</w:t>
            </w:r>
            <w:proofErr w:type="gramEnd"/>
            <w:r w:rsidRPr="00BA19EF">
              <w:rPr>
                <w:szCs w:val="22"/>
              </w:rPr>
              <w:t xml:space="preserve"> of Offset Retroactive Compensation</w:t>
            </w:r>
          </w:p>
        </w:tc>
        <w:tc>
          <w:tcPr>
            <w:tcW w:w="7740" w:type="dxa"/>
            <w:shd w:val="clear" w:color="auto" w:fill="auto"/>
          </w:tcPr>
          <w:p w14:paraId="6F28F70D" w14:textId="77777777" w:rsidR="00A8308F" w:rsidRPr="00BA19EF" w:rsidRDefault="00A8308F" w:rsidP="00A8308F">
            <w:pPr>
              <w:pStyle w:val="BlockText"/>
            </w:pPr>
            <w:r w:rsidRPr="00BA19EF">
              <w:t>Do not offset compensation payable for any period before the month following the date on which the settlement or judgment becomes final.</w:t>
            </w:r>
          </w:p>
          <w:p w14:paraId="119AA769" w14:textId="77777777" w:rsidR="00A8308F" w:rsidRPr="00BA19EF" w:rsidRDefault="00A8308F" w:rsidP="00A8308F">
            <w:pPr>
              <w:pStyle w:val="BlockText"/>
            </w:pPr>
          </w:p>
          <w:p w14:paraId="75151A05" w14:textId="77777777" w:rsidR="00A8308F" w:rsidRPr="00BA19EF" w:rsidRDefault="00A8308F" w:rsidP="00A8308F">
            <w:pPr>
              <w:pStyle w:val="BlockText"/>
            </w:pPr>
            <w:r w:rsidRPr="00BA19EF">
              <w:rPr>
                <w:b/>
                <w:i/>
              </w:rPr>
              <w:t>Example</w:t>
            </w:r>
            <w:r w:rsidRPr="00BA19EF">
              <w:t xml:space="preserve">:  A judgment for an NSC extremity is final on June 15, 2005.  The rating activity later awards Special Monthly Compensation (SMC) effective March 16, 2005, for the paired extremities under </w:t>
            </w:r>
            <w:hyperlink r:id="rId22" w:history="1">
              <w:r w:rsidRPr="00BA19EF">
                <w:rPr>
                  <w:rStyle w:val="Hyperlink"/>
                  <w:color w:val="auto"/>
                </w:rPr>
                <w:t>38 U.S.C. 1160</w:t>
              </w:r>
            </w:hyperlink>
            <w:r w:rsidRPr="00BA19EF">
              <w:t xml:space="preserve">.  </w:t>
            </w:r>
          </w:p>
          <w:p w14:paraId="45941878" w14:textId="77777777" w:rsidR="00A8308F" w:rsidRPr="00BA19EF" w:rsidRDefault="00A8308F" w:rsidP="00A8308F">
            <w:pPr>
              <w:pStyle w:val="BlockText"/>
            </w:pPr>
          </w:p>
          <w:p w14:paraId="67C8CF81" w14:textId="5D7B8796" w:rsidR="00A8308F" w:rsidRPr="00BA19EF" w:rsidRDefault="00A8308F" w:rsidP="00A8308F">
            <w:pPr>
              <w:pStyle w:val="BlockText"/>
            </w:pPr>
            <w:r w:rsidRPr="00BA19EF">
              <w:rPr>
                <w:b/>
                <w:i/>
              </w:rPr>
              <w:t>Result</w:t>
            </w:r>
            <w:r w:rsidRPr="00BA19EF">
              <w:t xml:space="preserve">:  Do </w:t>
            </w:r>
            <w:r w:rsidRPr="00BA19EF">
              <w:rPr>
                <w:b/>
                <w:i/>
              </w:rPr>
              <w:t>not</w:t>
            </w:r>
            <w:r w:rsidRPr="00BA19EF">
              <w:t xml:space="preserve"> offset any portion of the compensation benefits prior to July 1, 2005, the month </w:t>
            </w:r>
            <w:r w:rsidRPr="00BA19EF">
              <w:rPr>
                <w:i/>
              </w:rPr>
              <w:t>following</w:t>
            </w:r>
            <w:r w:rsidRPr="00BA19EF">
              <w:t xml:space="preserve"> the date the judgment became final.</w:t>
            </w:r>
          </w:p>
        </w:tc>
      </w:tr>
    </w:tbl>
    <w:p w14:paraId="74BCFE3B" w14:textId="77777777" w:rsidR="00A8308F" w:rsidRPr="00BA19EF" w:rsidRDefault="00A8308F" w:rsidP="00A8308F">
      <w:pPr>
        <w:pStyle w:val="BlockLine"/>
      </w:pPr>
    </w:p>
    <w:tbl>
      <w:tblPr>
        <w:tblW w:w="0" w:type="auto"/>
        <w:tblLayout w:type="fixed"/>
        <w:tblLook w:val="0000" w:firstRow="0" w:lastRow="0" w:firstColumn="0" w:lastColumn="0" w:noHBand="0" w:noVBand="0"/>
      </w:tblPr>
      <w:tblGrid>
        <w:gridCol w:w="1728"/>
        <w:gridCol w:w="7740"/>
      </w:tblGrid>
      <w:tr w:rsidR="00C809DE" w:rsidRPr="00BA19EF" w14:paraId="6D5C39C1" w14:textId="77777777">
        <w:trPr>
          <w:cantSplit/>
        </w:trPr>
        <w:tc>
          <w:tcPr>
            <w:tcW w:w="1728" w:type="dxa"/>
          </w:tcPr>
          <w:p w14:paraId="6D5C39BA" w14:textId="2A66265E" w:rsidR="00C809DE" w:rsidRPr="00BA19EF" w:rsidRDefault="00C1179D" w:rsidP="00C1179D">
            <w:pPr>
              <w:pStyle w:val="Heading5"/>
            </w:pPr>
            <w:proofErr w:type="gramStart"/>
            <w:r w:rsidRPr="00BA19EF">
              <w:t>g</w:t>
            </w:r>
            <w:r w:rsidR="00F45E82" w:rsidRPr="00BA19EF">
              <w:t>.  Providing</w:t>
            </w:r>
            <w:proofErr w:type="gramEnd"/>
            <w:r w:rsidR="00F45E82" w:rsidRPr="00BA19EF">
              <w:t xml:space="preserve"> Notice of the Award</w:t>
            </w:r>
          </w:p>
        </w:tc>
        <w:tc>
          <w:tcPr>
            <w:tcW w:w="7740" w:type="dxa"/>
          </w:tcPr>
          <w:p w14:paraId="6D5C39BD" w14:textId="3BF1A8E6" w:rsidR="00C809DE" w:rsidRPr="00BA19EF" w:rsidRDefault="00F45E82">
            <w:pPr>
              <w:pStyle w:val="BlockText"/>
            </w:pPr>
            <w:r w:rsidRPr="00BA19EF">
              <w:t>Send a locally-generated letter, explaining the basis of the award, and</w:t>
            </w:r>
          </w:p>
          <w:p w14:paraId="6D5C39BE" w14:textId="77777777" w:rsidR="00C809DE" w:rsidRPr="00BA19EF" w:rsidRDefault="00C809DE">
            <w:pPr>
              <w:pStyle w:val="BlockText"/>
            </w:pPr>
          </w:p>
          <w:p w14:paraId="6D5C39BF" w14:textId="7E254DB4" w:rsidR="00C809DE" w:rsidRPr="00BA19EF" w:rsidRDefault="00F45E82">
            <w:pPr>
              <w:pStyle w:val="BulletText1"/>
            </w:pPr>
            <w:r w:rsidRPr="00BA19EF">
              <w:t xml:space="preserve">telling the </w:t>
            </w:r>
            <w:r w:rsidR="00594B23" w:rsidRPr="00BA19EF">
              <w:t>V</w:t>
            </w:r>
            <w:r w:rsidRPr="00BA19EF">
              <w:t>eteran to inform VA immediately if he/she recovers damages from any source because of injury to the NSC organ or extremity, or</w:t>
            </w:r>
          </w:p>
          <w:p w14:paraId="6D5C39C0" w14:textId="77777777" w:rsidR="00C809DE" w:rsidRPr="00BA19EF" w:rsidRDefault="00F45E82">
            <w:pPr>
              <w:pStyle w:val="BulletText1"/>
            </w:pPr>
            <w:r w:rsidRPr="00BA19EF">
              <w:t>(</w:t>
            </w:r>
            <w:proofErr w:type="gramStart"/>
            <w:r w:rsidRPr="00BA19EF">
              <w:t>if</w:t>
            </w:r>
            <w:proofErr w:type="gramEnd"/>
            <w:r w:rsidRPr="00BA19EF">
              <w:t xml:space="preserve"> offset of the benefit is required) explaining the requirement for recoupment of an amount equal to the gross amount of any damages received.</w:t>
            </w:r>
          </w:p>
        </w:tc>
      </w:tr>
    </w:tbl>
    <w:p w14:paraId="6D5C39C2" w14:textId="77777777" w:rsidR="00C809DE" w:rsidRPr="00BA19EF" w:rsidRDefault="00C809DE">
      <w:pPr>
        <w:pStyle w:val="ContinuedOnNextPa"/>
        <w:rPr>
          <w:color w:val="FF0000"/>
        </w:rPr>
      </w:pPr>
    </w:p>
    <w:tbl>
      <w:tblPr>
        <w:tblW w:w="0" w:type="auto"/>
        <w:tblLayout w:type="fixed"/>
        <w:tblLook w:val="0000" w:firstRow="0" w:lastRow="0" w:firstColumn="0" w:lastColumn="0" w:noHBand="0" w:noVBand="0"/>
      </w:tblPr>
      <w:tblGrid>
        <w:gridCol w:w="1728"/>
        <w:gridCol w:w="7740"/>
      </w:tblGrid>
      <w:tr w:rsidR="00B32DB5" w:rsidRPr="00B32DB5" w14:paraId="6D5C39CF" w14:textId="77777777">
        <w:trPr>
          <w:cantSplit/>
        </w:trPr>
        <w:tc>
          <w:tcPr>
            <w:tcW w:w="1728" w:type="dxa"/>
          </w:tcPr>
          <w:p w14:paraId="6D5C39C3" w14:textId="2AB18DDB" w:rsidR="00C809DE" w:rsidRPr="00BA19EF" w:rsidRDefault="00C1179D" w:rsidP="00C1179D">
            <w:pPr>
              <w:pStyle w:val="Heading5"/>
            </w:pPr>
            <w:proofErr w:type="gramStart"/>
            <w:r w:rsidRPr="00BA19EF">
              <w:lastRenderedPageBreak/>
              <w:t>h</w:t>
            </w:r>
            <w:r w:rsidR="00F45E82" w:rsidRPr="00BA19EF">
              <w:t>.  Considering</w:t>
            </w:r>
            <w:proofErr w:type="gramEnd"/>
            <w:r w:rsidR="00F45E82" w:rsidRPr="00BA19EF">
              <w:t xml:space="preserve"> Entitlement to </w:t>
            </w:r>
            <w:r w:rsidR="001A095E" w:rsidRPr="00BA19EF">
              <w:t>DEA</w:t>
            </w:r>
            <w:r w:rsidR="00093439" w:rsidRPr="00BA19EF">
              <w:t xml:space="preserve"> </w:t>
            </w:r>
            <w:r w:rsidR="00E66B90" w:rsidRPr="00BA19EF">
              <w:t>for NSC Disabilities Treated as SC Under 38 U.S.C 1160</w:t>
            </w:r>
          </w:p>
        </w:tc>
        <w:tc>
          <w:tcPr>
            <w:tcW w:w="7740" w:type="dxa"/>
          </w:tcPr>
          <w:p w14:paraId="6D5C39C4" w14:textId="789BD1D0" w:rsidR="00C809DE" w:rsidRPr="00BA19EF" w:rsidRDefault="00F45E82">
            <w:pPr>
              <w:pStyle w:val="BlockText"/>
              <w:rPr>
                <w:color w:val="FF0000"/>
              </w:rPr>
            </w:pPr>
            <w:r w:rsidRPr="00BA19EF">
              <w:t xml:space="preserve">A </w:t>
            </w:r>
            <w:r w:rsidR="00D06989" w:rsidRPr="00BA19EF">
              <w:t>V</w:t>
            </w:r>
            <w:r w:rsidRPr="00BA19EF">
              <w:t xml:space="preserve">eteran may be entitled to Dependents’ Educational Assistance (DEA), as established under </w:t>
            </w:r>
            <w:hyperlink r:id="rId23" w:history="1">
              <w:r w:rsidRPr="00BA19EF">
                <w:rPr>
                  <w:rStyle w:val="Hyperlink"/>
                </w:rPr>
                <w:t>38 CFR 3.807(c</w:t>
              </w:r>
            </w:hyperlink>
            <w:r w:rsidRPr="00BA19EF">
              <w:t>)</w:t>
            </w:r>
            <w:r w:rsidR="00C2659D" w:rsidRPr="00BA19EF">
              <w:t>,</w:t>
            </w:r>
            <w:r w:rsidRPr="00BA19EF">
              <w:t xml:space="preserve"> amended effective December 6, 1994, when disabilities are treated as if SC under </w:t>
            </w:r>
            <w:hyperlink r:id="rId24" w:history="1">
              <w:r w:rsidRPr="00BA19EF">
                <w:rPr>
                  <w:rStyle w:val="Hyperlink"/>
                  <w:color w:val="auto"/>
                </w:rPr>
                <w:t>38 U.S.C. 1160</w:t>
              </w:r>
            </w:hyperlink>
            <w:r w:rsidRPr="00BA19EF">
              <w:rPr>
                <w:color w:val="FF0000"/>
              </w:rPr>
              <w:t>.</w:t>
            </w:r>
          </w:p>
          <w:p w14:paraId="36919379" w14:textId="77777777" w:rsidR="00B52D49" w:rsidRPr="00BA19EF" w:rsidRDefault="00B52D49">
            <w:pPr>
              <w:pStyle w:val="BlockText"/>
              <w:rPr>
                <w:color w:val="FF0000"/>
              </w:rPr>
            </w:pPr>
          </w:p>
          <w:p w14:paraId="6D5C39C8" w14:textId="0C190686" w:rsidR="00C809DE" w:rsidRPr="00BA19EF" w:rsidRDefault="00F45E82">
            <w:pPr>
              <w:pStyle w:val="BlockText"/>
            </w:pPr>
            <w:r w:rsidRPr="00BA19EF">
              <w:t xml:space="preserve">A veteran is </w:t>
            </w:r>
            <w:r w:rsidRPr="00BA19EF">
              <w:rPr>
                <w:b/>
                <w:i/>
              </w:rPr>
              <w:t>not</w:t>
            </w:r>
            <w:r w:rsidRPr="00BA19EF">
              <w:t xml:space="preserve"> entitled to the following ancillary benefits </w:t>
            </w:r>
            <w:r w:rsidRPr="00BA19EF">
              <w:rPr>
                <w:i/>
              </w:rPr>
              <w:t>unless</w:t>
            </w:r>
            <w:r w:rsidRPr="00BA19EF">
              <w:t xml:space="preserve"> entitlement is based on SC disabilities for which compensation is payable without regard to the provisions of </w:t>
            </w:r>
            <w:hyperlink r:id="rId25" w:history="1">
              <w:r w:rsidRPr="00BA19EF">
                <w:rPr>
                  <w:rStyle w:val="Hyperlink"/>
                </w:rPr>
                <w:t>38 U.S.C. 1160</w:t>
              </w:r>
            </w:hyperlink>
            <w:r w:rsidRPr="00BA19EF">
              <w:t>:</w:t>
            </w:r>
          </w:p>
          <w:p w14:paraId="6D5C39C9" w14:textId="4F128FDF" w:rsidR="00C809DE" w:rsidRPr="00BA19EF" w:rsidRDefault="00C809DE">
            <w:pPr>
              <w:pStyle w:val="BlockText"/>
            </w:pPr>
          </w:p>
          <w:p w14:paraId="6D5C39CA" w14:textId="51CCAF4E" w:rsidR="00C809DE" w:rsidRPr="00BA19EF" w:rsidRDefault="00F45E82">
            <w:pPr>
              <w:pStyle w:val="BulletText1"/>
            </w:pPr>
            <w:r w:rsidRPr="00BA19EF">
              <w:t xml:space="preserve">automobile or adapted equipment, per M21-1, Part IX, Subpart </w:t>
            </w:r>
            <w:proofErr w:type="spellStart"/>
            <w:r w:rsidRPr="00BA19EF">
              <w:t>i</w:t>
            </w:r>
            <w:proofErr w:type="spellEnd"/>
            <w:r w:rsidRPr="00BA19EF">
              <w:t xml:space="preserve">, 2 </w:t>
            </w:r>
          </w:p>
          <w:p w14:paraId="6D5C39CB" w14:textId="346E2C76" w:rsidR="00C809DE" w:rsidRPr="00BA19EF" w:rsidRDefault="00F45E82">
            <w:pPr>
              <w:pStyle w:val="BulletText1"/>
            </w:pPr>
            <w:r w:rsidRPr="00BA19EF">
              <w:t xml:space="preserve">specially adapted housing, per M21-1, Part IX, Subpart </w:t>
            </w:r>
            <w:proofErr w:type="spellStart"/>
            <w:r w:rsidRPr="00BA19EF">
              <w:t>i</w:t>
            </w:r>
            <w:proofErr w:type="spellEnd"/>
            <w:r w:rsidRPr="00BA19EF">
              <w:t>, 3, and</w:t>
            </w:r>
          </w:p>
          <w:p w14:paraId="6D5C39CC" w14:textId="01AC7EA4" w:rsidR="00C809DE" w:rsidRPr="00BA19EF" w:rsidRDefault="00F45E82">
            <w:pPr>
              <w:pStyle w:val="BulletText1"/>
            </w:pPr>
            <w:proofErr w:type="gramStart"/>
            <w:r w:rsidRPr="00BA19EF">
              <w:t>the</w:t>
            </w:r>
            <w:proofErr w:type="gramEnd"/>
            <w:r w:rsidRPr="00BA19EF">
              <w:t xml:space="preserve"> Civilian Health and Medical Program of VA (CHAMPVA), per </w:t>
            </w:r>
            <w:hyperlink r:id="rId26" w:history="1">
              <w:r w:rsidRPr="00BA19EF">
                <w:rPr>
                  <w:rStyle w:val="Hyperlink"/>
                </w:rPr>
                <w:t>38 U.S.C. 1781</w:t>
              </w:r>
            </w:hyperlink>
            <w:r w:rsidRPr="00BA19EF">
              <w:t xml:space="preserve"> and M21-1, Part IX, Subpart </w:t>
            </w:r>
            <w:proofErr w:type="spellStart"/>
            <w:r w:rsidRPr="00BA19EF">
              <w:t>i</w:t>
            </w:r>
            <w:proofErr w:type="spellEnd"/>
            <w:r w:rsidRPr="00BA19EF">
              <w:t>, 4.</w:t>
            </w:r>
          </w:p>
          <w:p w14:paraId="6D5C39CD" w14:textId="77777777" w:rsidR="00C809DE" w:rsidRPr="00BA19EF" w:rsidRDefault="00C809DE">
            <w:pPr>
              <w:pStyle w:val="BlockText"/>
              <w:rPr>
                <w:color w:val="FF0000"/>
              </w:rPr>
            </w:pPr>
          </w:p>
          <w:p w14:paraId="6D5C39CE" w14:textId="30046200" w:rsidR="00C809DE" w:rsidRPr="00745575" w:rsidRDefault="00F45E82" w:rsidP="0061421D">
            <w:pPr>
              <w:pStyle w:val="BlockText"/>
              <w:rPr>
                <w:color w:val="FF0000"/>
              </w:rPr>
            </w:pPr>
            <w:r w:rsidRPr="00BA19EF">
              <w:rPr>
                <w:b/>
                <w:i/>
              </w:rPr>
              <w:t>Reference</w:t>
            </w:r>
            <w:r w:rsidRPr="00BA19EF">
              <w:t xml:space="preserve">:  For more information on entitlement to DEA </w:t>
            </w:r>
            <w:proofErr w:type="gramStart"/>
            <w:r w:rsidRPr="00BA19EF">
              <w:t>under</w:t>
            </w:r>
            <w:proofErr w:type="gramEnd"/>
            <w:r w:rsidRPr="00BA19EF">
              <w:t xml:space="preserve"> </w:t>
            </w:r>
            <w:hyperlink r:id="rId27" w:history="1">
              <w:r w:rsidRPr="00BA19EF">
                <w:rPr>
                  <w:rStyle w:val="Hyperlink"/>
                  <w:color w:val="auto"/>
                </w:rPr>
                <w:t>38 U.S.C. 1160</w:t>
              </w:r>
            </w:hyperlink>
            <w:r w:rsidRPr="00BA19EF">
              <w:t xml:space="preserve">, see </w:t>
            </w:r>
            <w:hyperlink r:id="rId28" w:history="1">
              <w:proofErr w:type="spellStart"/>
              <w:r w:rsidR="0074629B" w:rsidRPr="00BA19EF">
                <w:rPr>
                  <w:rStyle w:val="Hyperlink"/>
                  <w:i/>
                  <w:color w:val="auto"/>
                </w:rPr>
                <w:t>K</w:t>
              </w:r>
              <w:r w:rsidRPr="00BA19EF">
                <w:rPr>
                  <w:rStyle w:val="Hyperlink"/>
                  <w:i/>
                  <w:color w:val="auto"/>
                </w:rPr>
                <w:t>imberlin</w:t>
              </w:r>
              <w:proofErr w:type="spellEnd"/>
              <w:r w:rsidRPr="00BA19EF">
                <w:rPr>
                  <w:rStyle w:val="Hyperlink"/>
                  <w:i/>
                  <w:color w:val="auto"/>
                </w:rPr>
                <w:t xml:space="preserve"> v. Brown,</w:t>
              </w:r>
              <w:r w:rsidRPr="00BA19EF">
                <w:rPr>
                  <w:rStyle w:val="Hyperlink"/>
                  <w:color w:val="auto"/>
                </w:rPr>
                <w:t xml:space="preserve"> 5 Vet. App. 174 (1993)</w:t>
              </w:r>
            </w:hyperlink>
            <w:r w:rsidRPr="00BA19EF">
              <w:rPr>
                <w:color w:val="FF0000"/>
              </w:rPr>
              <w:t>.</w:t>
            </w:r>
            <w:bookmarkStart w:id="0" w:name="_GoBack"/>
            <w:bookmarkEnd w:id="0"/>
          </w:p>
        </w:tc>
      </w:tr>
    </w:tbl>
    <w:p w14:paraId="6D5C39D0" w14:textId="77777777" w:rsidR="00F45E82" w:rsidRDefault="00F45E82">
      <w:pPr>
        <w:pStyle w:val="BlockLine"/>
      </w:pPr>
    </w:p>
    <w:sectPr w:rsidR="00F45E82">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C39D3" w14:textId="77777777" w:rsidR="00F45E82" w:rsidRDefault="00F45E82">
      <w:r>
        <w:separator/>
      </w:r>
    </w:p>
  </w:endnote>
  <w:endnote w:type="continuationSeparator" w:id="0">
    <w:p w14:paraId="6D5C39D4" w14:textId="77777777" w:rsidR="00F45E82" w:rsidRDefault="00F4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C39D7" w14:textId="0E4210CF" w:rsidR="00C809DE" w:rsidRDefault="00F45E82">
    <w:pPr>
      <w:pStyle w:val="Footer"/>
      <w:tabs>
        <w:tab w:val="clear" w:pos="4320"/>
        <w:tab w:val="clear" w:pos="8640"/>
        <w:tab w:val="left" w:pos="0"/>
        <w:tab w:val="center" w:pos="4680"/>
        <w:tab w:val="right" w:pos="9274"/>
      </w:tabs>
      <w:ind w:right="360"/>
      <w:rPr>
        <w:b/>
        <w:sz w:val="20"/>
      </w:rPr>
    </w:pPr>
    <w:r>
      <w:rPr>
        <w:rStyle w:val="PageNumber"/>
        <w:b/>
        <w:sz w:val="20"/>
      </w:rPr>
      <w:tab/>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C39D8" w14:textId="241F5A99" w:rsidR="00C809DE" w:rsidRDefault="00F45E82">
    <w:pPr>
      <w:pStyle w:val="Footer"/>
      <w:tabs>
        <w:tab w:val="clear" w:pos="4320"/>
        <w:tab w:val="clear" w:pos="8640"/>
        <w:tab w:val="left" w:pos="0"/>
        <w:tab w:val="center" w:pos="4680"/>
        <w:tab w:val="right" w:pos="9274"/>
      </w:tabs>
      <w:rPr>
        <w:b/>
        <w:sz w:val="20"/>
      </w:rPr>
    </w:pPr>
    <w:r>
      <w:rPr>
        <w:b/>
        <w:sz w:val="20"/>
      </w:rPr>
      <w:tab/>
    </w:r>
    <w:r>
      <w:rPr>
        <w:b/>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C39DA" w14:textId="77777777" w:rsidR="00C809DE" w:rsidRDefault="00F45E82">
    <w:pPr>
      <w:pStyle w:val="Footer"/>
      <w:tabs>
        <w:tab w:val="clear" w:pos="4320"/>
        <w:tab w:val="clear" w:pos="8640"/>
        <w:tab w:val="left" w:pos="0"/>
        <w:tab w:val="center" w:pos="4680"/>
        <w:tab w:val="right" w:pos="9274"/>
      </w:tabs>
      <w:rPr>
        <w:b/>
        <w:sz w:val="20"/>
      </w:rPr>
    </w:pPr>
    <w:proofErr w:type="spellStart"/>
    <w:r>
      <w:rPr>
        <w:b/>
        <w:sz w:val="20"/>
      </w:rPr>
      <w:t>Unproofed</w:t>
    </w:r>
    <w:proofErr w:type="spellEnd"/>
    <w:r>
      <w:rPr>
        <w:b/>
        <w:sz w:val="20"/>
      </w:rPr>
      <w:t xml:space="preserve"> CV Draft</w:t>
    </w:r>
    <w:r>
      <w:rPr>
        <w:b/>
        <w:sz w:val="20"/>
      </w:rPr>
      <w:tab/>
    </w:r>
    <w:r>
      <w:rPr>
        <w:b/>
        <w:sz w:val="20"/>
      </w:rPr>
      <w:tab/>
      <w:t>3-H-</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C39D1" w14:textId="77777777" w:rsidR="00F45E82" w:rsidRDefault="00F45E82">
      <w:r>
        <w:separator/>
      </w:r>
    </w:p>
  </w:footnote>
  <w:footnote w:type="continuationSeparator" w:id="0">
    <w:p w14:paraId="6D5C39D2" w14:textId="77777777" w:rsidR="00F45E82" w:rsidRDefault="00F45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C39D5" w14:textId="7CF1F2AD" w:rsidR="00C809DE" w:rsidRDefault="00F45E82">
    <w:pPr>
      <w:pStyle w:val="Header"/>
      <w:tabs>
        <w:tab w:val="clear" w:pos="4320"/>
        <w:tab w:val="clear" w:pos="8640"/>
        <w:tab w:val="left" w:pos="0"/>
        <w:tab w:val="center" w:pos="4680"/>
        <w:tab w:val="right" w:pos="9360"/>
      </w:tabs>
      <w:rPr>
        <w:b/>
        <w:sz w:val="20"/>
      </w:rPr>
    </w:pPr>
    <w:r>
      <w:rPr>
        <w:b/>
        <w:sz w:val="20"/>
      </w:rPr>
      <w:t>M21-1, Part IV, Subpart ii, Chapter 3, Section C</w:t>
    </w:r>
    <w:r>
      <w:rPr>
        <w:b/>
        <w:sz w:val="20"/>
      </w:rPr>
      <w:tab/>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C39D6" w14:textId="282A61AD" w:rsidR="00C809DE" w:rsidRDefault="00F45E82">
    <w:pPr>
      <w:pStyle w:val="Header"/>
      <w:tabs>
        <w:tab w:val="clear" w:pos="4320"/>
        <w:tab w:val="clear" w:pos="8640"/>
        <w:tab w:val="left" w:pos="0"/>
        <w:tab w:val="center" w:pos="4680"/>
        <w:tab w:val="right" w:pos="9360"/>
      </w:tabs>
      <w:rPr>
        <w:b/>
        <w:sz w:val="20"/>
      </w:rPr>
    </w:pPr>
    <w:r>
      <w:rPr>
        <w:b/>
        <w:sz w:val="20"/>
      </w:rPr>
      <w:tab/>
    </w:r>
    <w:r>
      <w:rPr>
        <w:b/>
        <w:sz w:val="20"/>
      </w:rPr>
      <w:tab/>
      <w:t>M21-1, Part IV, Subpart ii, Chapter 3, Section 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C39D9" w14:textId="77777777" w:rsidR="00C809DE" w:rsidRDefault="00F45E82">
    <w:pPr>
      <w:pStyle w:val="Header"/>
      <w:tabs>
        <w:tab w:val="clear" w:pos="4320"/>
        <w:tab w:val="clear" w:pos="8640"/>
        <w:tab w:val="left" w:pos="0"/>
        <w:tab w:val="right" w:pos="9360"/>
      </w:tabs>
      <w:rPr>
        <w:b/>
        <w:sz w:val="20"/>
      </w:rPr>
    </w:pPr>
    <w:r>
      <w:rPr>
        <w:b/>
        <w:sz w:val="20"/>
      </w:rPr>
      <w:t>??/??/02</w:t>
    </w:r>
    <w:r>
      <w:rPr>
        <w:b/>
        <w:sz w:val="20"/>
      </w:rPr>
      <w:tab/>
      <w:t>M21-1MR, Part 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DAFD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F22807"/>
    <w:multiLevelType w:val="hybridMultilevel"/>
    <w:tmpl w:val="7C4A9C7E"/>
    <w:lvl w:ilvl="0" w:tplc="695ED5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61D70"/>
    <w:multiLevelType w:val="hybridMultilevel"/>
    <w:tmpl w:val="0040FC4C"/>
    <w:lvl w:ilvl="0" w:tplc="206415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F477A"/>
    <w:multiLevelType w:val="hybridMultilevel"/>
    <w:tmpl w:val="1B6A3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933C64"/>
    <w:multiLevelType w:val="hybridMultilevel"/>
    <w:tmpl w:val="2244FB2E"/>
    <w:lvl w:ilvl="0" w:tplc="076E45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B30E3D"/>
    <w:multiLevelType w:val="hybridMultilevel"/>
    <w:tmpl w:val="C2AE1E50"/>
    <w:lvl w:ilvl="0" w:tplc="695ED5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94DAE"/>
    <w:multiLevelType w:val="hybridMultilevel"/>
    <w:tmpl w:val="8BEC47F4"/>
    <w:lvl w:ilvl="0" w:tplc="206415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4C6BEB"/>
    <w:multiLevelType w:val="hybridMultilevel"/>
    <w:tmpl w:val="B8120198"/>
    <w:lvl w:ilvl="0" w:tplc="C082E3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C6B02AF"/>
    <w:multiLevelType w:val="singleLevel"/>
    <w:tmpl w:val="3E0CB414"/>
    <w:lvl w:ilvl="0">
      <w:start w:val="1"/>
      <w:numFmt w:val="bullet"/>
      <w:pStyle w:val="BulletText2"/>
      <w:lvlText w:val=""/>
      <w:lvlJc w:val="left"/>
      <w:pPr>
        <w:tabs>
          <w:tab w:val="num" w:pos="547"/>
        </w:tabs>
        <w:ind w:left="360" w:hanging="173"/>
      </w:pPr>
      <w:rPr>
        <w:rFonts w:ascii="Symbol" w:hAnsi="Symbol" w:hint="default"/>
      </w:rPr>
    </w:lvl>
  </w:abstractNum>
  <w:abstractNum w:abstractNumId="9">
    <w:nsid w:val="7836104F"/>
    <w:multiLevelType w:val="hybridMultilevel"/>
    <w:tmpl w:val="B67663C4"/>
    <w:lvl w:ilvl="0" w:tplc="6068CE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407290"/>
    <w:multiLevelType w:val="singleLevel"/>
    <w:tmpl w:val="67E094DC"/>
    <w:lvl w:ilvl="0">
      <w:start w:val="1"/>
      <w:numFmt w:val="bullet"/>
      <w:pStyle w:val="BulletText1"/>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9"/>
  </w:num>
  <w:num w:numId="5">
    <w:abstractNumId w:val="3"/>
  </w:num>
  <w:num w:numId="6">
    <w:abstractNumId w:val="2"/>
  </w:num>
  <w:num w:numId="7">
    <w:abstractNumId w:val="6"/>
  </w:num>
  <w:num w:numId="8">
    <w:abstractNumId w:val="7"/>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NotTrackMoves/>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emp1Var" w:val="Traditional"/>
    <w:docVar w:name="FontSet" w:val="imistyles.xml"/>
    <w:docVar w:name="XSLstylesheet" w:val="http://152.125.216.223/bl/21/m21-1mr/stylesheets/m21.xsl"/>
  </w:docVars>
  <w:rsids>
    <w:rsidRoot w:val="00FC656B"/>
    <w:rsid w:val="00000CED"/>
    <w:rsid w:val="00005615"/>
    <w:rsid w:val="00013F8E"/>
    <w:rsid w:val="000437E7"/>
    <w:rsid w:val="00046962"/>
    <w:rsid w:val="0005705C"/>
    <w:rsid w:val="000634CF"/>
    <w:rsid w:val="00067599"/>
    <w:rsid w:val="00093439"/>
    <w:rsid w:val="00094F46"/>
    <w:rsid w:val="000B3F5D"/>
    <w:rsid w:val="000D19C9"/>
    <w:rsid w:val="000E5AC9"/>
    <w:rsid w:val="000F0076"/>
    <w:rsid w:val="00121671"/>
    <w:rsid w:val="00146603"/>
    <w:rsid w:val="0016545F"/>
    <w:rsid w:val="00197580"/>
    <w:rsid w:val="00197F46"/>
    <w:rsid w:val="001A095E"/>
    <w:rsid w:val="001A3C05"/>
    <w:rsid w:val="001B349A"/>
    <w:rsid w:val="001E4CE4"/>
    <w:rsid w:val="00203901"/>
    <w:rsid w:val="00216C25"/>
    <w:rsid w:val="00221820"/>
    <w:rsid w:val="00237890"/>
    <w:rsid w:val="00247C4D"/>
    <w:rsid w:val="0025087B"/>
    <w:rsid w:val="00265B71"/>
    <w:rsid w:val="0029318D"/>
    <w:rsid w:val="002B47E0"/>
    <w:rsid w:val="002D7716"/>
    <w:rsid w:val="002E5654"/>
    <w:rsid w:val="002E66E3"/>
    <w:rsid w:val="002F4233"/>
    <w:rsid w:val="0030220B"/>
    <w:rsid w:val="00302AA4"/>
    <w:rsid w:val="00330E35"/>
    <w:rsid w:val="00334FAF"/>
    <w:rsid w:val="00361F33"/>
    <w:rsid w:val="00366CB5"/>
    <w:rsid w:val="0039131D"/>
    <w:rsid w:val="003A0D87"/>
    <w:rsid w:val="003B3D9B"/>
    <w:rsid w:val="003F11EF"/>
    <w:rsid w:val="0040417B"/>
    <w:rsid w:val="00417B82"/>
    <w:rsid w:val="004420BF"/>
    <w:rsid w:val="004427D1"/>
    <w:rsid w:val="00457EE1"/>
    <w:rsid w:val="00463C13"/>
    <w:rsid w:val="004935EE"/>
    <w:rsid w:val="004A722A"/>
    <w:rsid w:val="004C1885"/>
    <w:rsid w:val="004E16EE"/>
    <w:rsid w:val="004E2993"/>
    <w:rsid w:val="004F6A84"/>
    <w:rsid w:val="005139D3"/>
    <w:rsid w:val="00524003"/>
    <w:rsid w:val="00556718"/>
    <w:rsid w:val="00584013"/>
    <w:rsid w:val="00594B23"/>
    <w:rsid w:val="005C3EC0"/>
    <w:rsid w:val="0061421D"/>
    <w:rsid w:val="00620624"/>
    <w:rsid w:val="00663F8C"/>
    <w:rsid w:val="006727DE"/>
    <w:rsid w:val="00672B78"/>
    <w:rsid w:val="00676F28"/>
    <w:rsid w:val="0068011A"/>
    <w:rsid w:val="00684A5B"/>
    <w:rsid w:val="006C294B"/>
    <w:rsid w:val="006D1C7D"/>
    <w:rsid w:val="006D76C2"/>
    <w:rsid w:val="006F6AAB"/>
    <w:rsid w:val="0070675B"/>
    <w:rsid w:val="00737BF4"/>
    <w:rsid w:val="00745575"/>
    <w:rsid w:val="0074629B"/>
    <w:rsid w:val="00766BF6"/>
    <w:rsid w:val="007A0A1F"/>
    <w:rsid w:val="007C5680"/>
    <w:rsid w:val="007D75AC"/>
    <w:rsid w:val="00820FA2"/>
    <w:rsid w:val="008307CB"/>
    <w:rsid w:val="008408DE"/>
    <w:rsid w:val="00845B42"/>
    <w:rsid w:val="00861EBB"/>
    <w:rsid w:val="00880782"/>
    <w:rsid w:val="008A46B9"/>
    <w:rsid w:val="008A5D72"/>
    <w:rsid w:val="008C237D"/>
    <w:rsid w:val="008C23E3"/>
    <w:rsid w:val="008C5C30"/>
    <w:rsid w:val="008F1F14"/>
    <w:rsid w:val="0090528C"/>
    <w:rsid w:val="009068F4"/>
    <w:rsid w:val="009239D9"/>
    <w:rsid w:val="009268FB"/>
    <w:rsid w:val="00935C78"/>
    <w:rsid w:val="00941153"/>
    <w:rsid w:val="00964741"/>
    <w:rsid w:val="0097397C"/>
    <w:rsid w:val="0097602E"/>
    <w:rsid w:val="00980121"/>
    <w:rsid w:val="0098457E"/>
    <w:rsid w:val="009C539D"/>
    <w:rsid w:val="009D25CF"/>
    <w:rsid w:val="009D3745"/>
    <w:rsid w:val="009E5505"/>
    <w:rsid w:val="009F0B2D"/>
    <w:rsid w:val="00A076C3"/>
    <w:rsid w:val="00A15358"/>
    <w:rsid w:val="00A427FE"/>
    <w:rsid w:val="00A54CEB"/>
    <w:rsid w:val="00A57026"/>
    <w:rsid w:val="00A6129D"/>
    <w:rsid w:val="00A663B1"/>
    <w:rsid w:val="00A8308F"/>
    <w:rsid w:val="00AF7909"/>
    <w:rsid w:val="00B20907"/>
    <w:rsid w:val="00B32DB5"/>
    <w:rsid w:val="00B33784"/>
    <w:rsid w:val="00B47047"/>
    <w:rsid w:val="00B474B3"/>
    <w:rsid w:val="00B52D49"/>
    <w:rsid w:val="00B7496B"/>
    <w:rsid w:val="00B80554"/>
    <w:rsid w:val="00B80783"/>
    <w:rsid w:val="00B9437A"/>
    <w:rsid w:val="00B94E53"/>
    <w:rsid w:val="00BA19EF"/>
    <w:rsid w:val="00BA69C0"/>
    <w:rsid w:val="00BB7A96"/>
    <w:rsid w:val="00BC35EE"/>
    <w:rsid w:val="00BF52F3"/>
    <w:rsid w:val="00C05523"/>
    <w:rsid w:val="00C1179D"/>
    <w:rsid w:val="00C237B6"/>
    <w:rsid w:val="00C2659D"/>
    <w:rsid w:val="00C31791"/>
    <w:rsid w:val="00C4476D"/>
    <w:rsid w:val="00C6061C"/>
    <w:rsid w:val="00C755C7"/>
    <w:rsid w:val="00C809DE"/>
    <w:rsid w:val="00C8771E"/>
    <w:rsid w:val="00C94047"/>
    <w:rsid w:val="00CB2FA2"/>
    <w:rsid w:val="00CC3270"/>
    <w:rsid w:val="00CC59D5"/>
    <w:rsid w:val="00D06989"/>
    <w:rsid w:val="00D30F30"/>
    <w:rsid w:val="00D42785"/>
    <w:rsid w:val="00D66FEF"/>
    <w:rsid w:val="00D81786"/>
    <w:rsid w:val="00D81F28"/>
    <w:rsid w:val="00DA1078"/>
    <w:rsid w:val="00DE3B7C"/>
    <w:rsid w:val="00DE3C60"/>
    <w:rsid w:val="00E0178C"/>
    <w:rsid w:val="00E136BA"/>
    <w:rsid w:val="00E2744B"/>
    <w:rsid w:val="00E30779"/>
    <w:rsid w:val="00E34CA4"/>
    <w:rsid w:val="00E54193"/>
    <w:rsid w:val="00E60E11"/>
    <w:rsid w:val="00E66B90"/>
    <w:rsid w:val="00E66BAE"/>
    <w:rsid w:val="00E675C5"/>
    <w:rsid w:val="00E74137"/>
    <w:rsid w:val="00EA691D"/>
    <w:rsid w:val="00EC1884"/>
    <w:rsid w:val="00EC7F2E"/>
    <w:rsid w:val="00ED037A"/>
    <w:rsid w:val="00ED5B14"/>
    <w:rsid w:val="00F13749"/>
    <w:rsid w:val="00F404C1"/>
    <w:rsid w:val="00F431AD"/>
    <w:rsid w:val="00F45E82"/>
    <w:rsid w:val="00F50C0B"/>
    <w:rsid w:val="00F60B24"/>
    <w:rsid w:val="00FA7EF6"/>
    <w:rsid w:val="00FC1525"/>
    <w:rsid w:val="00FC1D0E"/>
    <w:rsid w:val="00FC1D83"/>
    <w:rsid w:val="00FC656B"/>
    <w:rsid w:val="00FE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D5C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Part Title"/>
    <w:basedOn w:val="Normal"/>
    <w:next w:val="Heading4"/>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link w:val="Heading5Char"/>
    <w:qFormat/>
    <w:pPr>
      <w:outlineLvl w:val="4"/>
    </w:pPr>
    <w:rPr>
      <w:b/>
      <w:sz w:val="22"/>
    </w:rPr>
  </w:style>
  <w:style w:type="paragraph" w:styleId="Heading6">
    <w:name w:val="heading 6"/>
    <w:aliases w:val="Sub Label"/>
    <w:basedOn w:val="Heading5"/>
    <w:next w:val="BlockText"/>
    <w:qFormat/>
    <w:pPr>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28"/>
    </w:pPr>
  </w:style>
  <w:style w:type="paragraph" w:styleId="BlockText">
    <w:name w:val="Block Text"/>
    <w:basedOn w:val="Normal"/>
    <w:semiHidden/>
  </w:style>
  <w:style w:type="paragraph" w:customStyle="1" w:styleId="BulletText1">
    <w:name w:val="Bullet Text 1"/>
    <w:basedOn w:val="Normal"/>
    <w:pPr>
      <w:numPr>
        <w:numId w:val="2"/>
      </w:numPr>
      <w:tabs>
        <w:tab w:val="left" w:pos="187"/>
      </w:tabs>
      <w:ind w:left="187" w:hanging="187"/>
    </w:pPr>
  </w:style>
  <w:style w:type="paragraph" w:customStyle="1" w:styleId="BulletText2">
    <w:name w:val="Bullet Text 2"/>
    <w:basedOn w:val="Normal"/>
    <w:autoRedefine/>
    <w:pPr>
      <w:numPr>
        <w:numId w:val="3"/>
      </w:numPr>
      <w:tabs>
        <w:tab w:val="left" w:pos="374"/>
      </w:tabs>
    </w:pPr>
  </w:style>
  <w:style w:type="paragraph" w:customStyle="1" w:styleId="ContinuedOnNextPa">
    <w:name w:val="Continued On Next Pa"/>
    <w:basedOn w:val="Normal"/>
    <w:next w:val="Normal"/>
    <w:pPr>
      <w:pBdr>
        <w:top w:val="single" w:sz="6" w:space="1" w:color="auto"/>
        <w:between w:val="single" w:sz="6" w:space="1" w:color="auto"/>
      </w:pBdr>
      <w:spacing w:before="240"/>
      <w:ind w:left="1728"/>
      <w:jc w:val="right"/>
    </w:pPr>
    <w:rPr>
      <w:rFonts w:ascii="Times" w:hAnsi="Times"/>
      <w:i/>
      <w:sz w:val="20"/>
    </w:rPr>
  </w:style>
  <w:style w:type="paragraph" w:customStyle="1" w:styleId="ContinuedTableLabe">
    <w:name w:val="Continued Table Labe"/>
    <w:basedOn w:val="Normal"/>
    <w:rPr>
      <w:b/>
      <w:sz w:val="22"/>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
    <w:name w:val="Body Text"/>
    <w:basedOn w:val="Normal"/>
    <w:semiHidden/>
    <w:pPr>
      <w:tabs>
        <w:tab w:val="left" w:pos="450"/>
        <w:tab w:val="right" w:pos="8640"/>
      </w:tabs>
      <w:ind w:right="72"/>
    </w:pPr>
  </w:style>
  <w:style w:type="paragraph" w:styleId="FootnoteText">
    <w:name w:val="footnote text"/>
    <w:basedOn w:val="Normal"/>
    <w:semiHidden/>
    <w:rPr>
      <w:rFonts w:ascii="Courier New" w:hAnsi="Courier New"/>
      <w:sz w:val="20"/>
    </w:rPr>
  </w:style>
  <w:style w:type="character" w:styleId="Emphasis">
    <w:name w:val="Emphasis"/>
    <w:qFormat/>
    <w:rPr>
      <w:i/>
    </w:rPr>
  </w:style>
  <w:style w:type="paragraph" w:styleId="ListBullet">
    <w:name w:val="List Bullet"/>
    <w:basedOn w:val="Normal"/>
    <w:autoRedefine/>
    <w:semiHidden/>
    <w:pPr>
      <w:numPr>
        <w:numId w:val="1"/>
      </w:numPr>
    </w:pPr>
  </w:style>
  <w:style w:type="character" w:styleId="Hyperlink">
    <w:name w:val="Hyperlink"/>
    <w:semiHidden/>
    <w:rPr>
      <w:color w:val="0000FF"/>
      <w:u w:val="single"/>
    </w:rPr>
  </w:style>
  <w:style w:type="character" w:styleId="FootnoteReference">
    <w:name w:val="footnote reference"/>
    <w:semiHidden/>
    <w:rPr>
      <w:position w:val="6"/>
      <w:sz w:val="16"/>
    </w:rPr>
  </w:style>
  <w:style w:type="paragraph" w:styleId="BodyText2">
    <w:name w:val="Body Text 2"/>
    <w:basedOn w:val="Normal"/>
    <w:semiHidden/>
    <w:pPr>
      <w:tabs>
        <w:tab w:val="left" w:pos="540"/>
        <w:tab w:val="right" w:pos="8820"/>
      </w:tabs>
      <w:ind w:right="36"/>
    </w:pPr>
  </w:style>
  <w:style w:type="paragraph" w:styleId="BodyText3">
    <w:name w:val="Body Text 3"/>
    <w:basedOn w:val="Normal"/>
    <w:semiHidden/>
    <w:pPr>
      <w:tabs>
        <w:tab w:val="left" w:pos="540"/>
        <w:tab w:val="right" w:pos="8820"/>
      </w:tabs>
      <w:ind w:right="-36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rPr>
      <w:b/>
      <w:sz w:val="22"/>
    </w:rPr>
  </w:style>
  <w:style w:type="character" w:customStyle="1" w:styleId="Jump">
    <w:name w:val="Jump"/>
    <w:rPr>
      <w:color w:val="FF0000"/>
    </w:rPr>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OCTitle">
    <w:name w:val="TOC Title"/>
    <w:basedOn w:val="Normal"/>
    <w:pPr>
      <w:widowControl w:val="0"/>
    </w:pPr>
    <w:rPr>
      <w:rFonts w:ascii="Arial" w:hAnsi="Arial"/>
      <w:b/>
      <w:sz w:val="32"/>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30220B"/>
    <w:rPr>
      <w:rFonts w:ascii="Tahoma" w:hAnsi="Tahoma" w:cs="Tahoma"/>
      <w:sz w:val="16"/>
      <w:szCs w:val="16"/>
    </w:rPr>
  </w:style>
  <w:style w:type="character" w:customStyle="1" w:styleId="BalloonTextChar">
    <w:name w:val="Balloon Text Char"/>
    <w:basedOn w:val="DefaultParagraphFont"/>
    <w:link w:val="BalloonText"/>
    <w:uiPriority w:val="99"/>
    <w:semiHidden/>
    <w:rsid w:val="0030220B"/>
    <w:rPr>
      <w:rFonts w:ascii="Tahoma" w:hAnsi="Tahoma" w:cs="Tahoma"/>
      <w:sz w:val="16"/>
      <w:szCs w:val="16"/>
    </w:rPr>
  </w:style>
  <w:style w:type="table" w:styleId="TableGrid">
    <w:name w:val="Table Grid"/>
    <w:basedOn w:val="TableNormal"/>
    <w:uiPriority w:val="59"/>
    <w:rsid w:val="00005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1885"/>
    <w:rPr>
      <w:sz w:val="16"/>
      <w:szCs w:val="16"/>
    </w:rPr>
  </w:style>
  <w:style w:type="paragraph" w:styleId="CommentText">
    <w:name w:val="annotation text"/>
    <w:basedOn w:val="Normal"/>
    <w:link w:val="CommentTextChar"/>
    <w:uiPriority w:val="99"/>
    <w:semiHidden/>
    <w:unhideWhenUsed/>
    <w:rsid w:val="004C1885"/>
    <w:rPr>
      <w:sz w:val="20"/>
    </w:rPr>
  </w:style>
  <w:style w:type="character" w:customStyle="1" w:styleId="CommentTextChar">
    <w:name w:val="Comment Text Char"/>
    <w:basedOn w:val="DefaultParagraphFont"/>
    <w:link w:val="CommentText"/>
    <w:uiPriority w:val="99"/>
    <w:semiHidden/>
    <w:rsid w:val="004C1885"/>
  </w:style>
  <w:style w:type="paragraph" w:styleId="CommentSubject">
    <w:name w:val="annotation subject"/>
    <w:basedOn w:val="CommentText"/>
    <w:next w:val="CommentText"/>
    <w:link w:val="CommentSubjectChar"/>
    <w:uiPriority w:val="99"/>
    <w:semiHidden/>
    <w:unhideWhenUsed/>
    <w:rsid w:val="004C1885"/>
    <w:rPr>
      <w:b/>
      <w:bCs/>
    </w:rPr>
  </w:style>
  <w:style w:type="character" w:customStyle="1" w:styleId="CommentSubjectChar">
    <w:name w:val="Comment Subject Char"/>
    <w:basedOn w:val="CommentTextChar"/>
    <w:link w:val="CommentSubject"/>
    <w:uiPriority w:val="99"/>
    <w:semiHidden/>
    <w:rsid w:val="004C1885"/>
    <w:rPr>
      <w:b/>
      <w:bCs/>
    </w:rPr>
  </w:style>
  <w:style w:type="paragraph" w:styleId="Revision">
    <w:name w:val="Revision"/>
    <w:hidden/>
    <w:uiPriority w:val="99"/>
    <w:semiHidden/>
    <w:rsid w:val="00745575"/>
    <w:rPr>
      <w:sz w:val="24"/>
    </w:rPr>
  </w:style>
  <w:style w:type="character" w:customStyle="1" w:styleId="Heading5Char">
    <w:name w:val="Heading 5 Char"/>
    <w:aliases w:val="Block Label Char"/>
    <w:link w:val="Heading5"/>
    <w:rsid w:val="00121671"/>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9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text-idx?SID=aa7229fedf2acc3b5190e6df4fb8deb5&amp;node=se38.1.3_1383&amp;rgn=div8" TargetMode="External"/><Relationship Id="rId18" Type="http://schemas.openxmlformats.org/officeDocument/2006/relationships/hyperlink" Target="https://www.law.cornell.edu/uscode/text/38/1160" TargetMode="External"/><Relationship Id="rId26" Type="http://schemas.openxmlformats.org/officeDocument/2006/relationships/hyperlink" Target="https://www.law.cornell.edu/uscode/text/38/1781" TargetMode="External"/><Relationship Id="rId3" Type="http://schemas.openxmlformats.org/officeDocument/2006/relationships/customXml" Target="../customXml/item3.xml"/><Relationship Id="rId21" Type="http://schemas.openxmlformats.org/officeDocument/2006/relationships/hyperlink" Target="http://vbaw.vba.va.gov/VBMS/Resources_Technical_Information.asp" TargetMode="External"/><Relationship Id="rId34"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s://www.law.cornell.edu/uscode/text/38/1160" TargetMode="External"/><Relationship Id="rId17" Type="http://schemas.openxmlformats.org/officeDocument/2006/relationships/hyperlink" Target="http://www.ecfr.gov/cgi-bin/text-idx?SID=83b8731e58b5f2dd6d95c2ee0c1e1b13&amp;mc=true&amp;node=se38.1.3_1383&amp;rgn=div8" TargetMode="External"/><Relationship Id="rId25" Type="http://schemas.openxmlformats.org/officeDocument/2006/relationships/hyperlink" Target="https://www.law.cornell.edu/uscode/text/38/1160"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aw.cornell.edu/uscode/text/38/1160" TargetMode="External"/><Relationship Id="rId20" Type="http://schemas.openxmlformats.org/officeDocument/2006/relationships/hyperlink" Target="http://vbaw.vba.va.gov/bl/21/Systems/awards.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law.cornell.edu/uscode/text/38/1160"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aw.cornell.edu/uscode/text/38/1160" TargetMode="External"/><Relationship Id="rId23" Type="http://schemas.openxmlformats.org/officeDocument/2006/relationships/hyperlink" Target="http://www.ecfr.gov/cgi-bin/text-idx?SID=97c9d34d899f31e34b432eaf3d01e099&amp;mc=true&amp;node=se38.1.3_1807&amp;rgn=div8" TargetMode="External"/><Relationship Id="rId28" Type="http://schemas.openxmlformats.org/officeDocument/2006/relationships/hyperlink" Target="http://vbaw.vba.va.gov/bl/21/advisory/CAVC/1993dec/Kimberli.doc"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law.cornell.edu/uscode/text/38/1160"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w.cornell.edu/uscode/text/38/1160" TargetMode="External"/><Relationship Id="rId22" Type="http://schemas.openxmlformats.org/officeDocument/2006/relationships/hyperlink" Target="https://www.law.cornell.edu/uscode/text/38/1160" TargetMode="External"/><Relationship Id="rId27" Type="http://schemas.openxmlformats.org/officeDocument/2006/relationships/hyperlink" Target="https://www.law.cornell.edu/uscode/text/38/1160" TargetMode="External"/><Relationship Id="rId30" Type="http://schemas.openxmlformats.org/officeDocument/2006/relationships/header" Target="header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73BCE-7181-4AA0-B889-1BB0CC7A60A2}">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 ds:uri="http://schemas.microsoft.com/office/2006/metadata/properties"/>
    <ds:schemaRef ds:uri="b438dcf7-3998-4283-b7fc-0ec6fa8e430f"/>
    <ds:schemaRef ds:uri="http://purl.org/dc/dcmitype/"/>
  </ds:schemaRefs>
</ds:datastoreItem>
</file>

<file path=customXml/itemProps2.xml><?xml version="1.0" encoding="utf-8"?>
<ds:datastoreItem xmlns:ds="http://schemas.openxmlformats.org/officeDocument/2006/customXml" ds:itemID="{34B2E006-DB7C-4BE0-B68F-5A530BB40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3153A-FEF6-497B-92EA-EF8B0FEA8E15}">
  <ds:schemaRefs>
    <ds:schemaRef ds:uri="http://schemas.microsoft.com/sharepoint/v3/contenttype/forms"/>
  </ds:schemaRefs>
</ds:datastoreItem>
</file>

<file path=customXml/itemProps4.xml><?xml version="1.0" encoding="utf-8"?>
<ds:datastoreItem xmlns:ds="http://schemas.openxmlformats.org/officeDocument/2006/customXml" ds:itemID="{19B572B8-38EC-4927-8708-1299E1B6E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1754</TotalTime>
  <Pages>7</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 (VA)</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Compensation for Certain Paired Organs and Extremities Under 38 CFR 3.383</dc:subject>
  <dc:creator>Crystal Reimonenq</dc:creator>
  <cp:lastModifiedBy>Chelgreen, Amy M.</cp:lastModifiedBy>
  <cp:revision>93</cp:revision>
  <cp:lastPrinted>2005-12-15T15:48:00Z</cp:lastPrinted>
  <dcterms:created xsi:type="dcterms:W3CDTF">2015-03-12T16:11:00Z</dcterms:created>
  <dcterms:modified xsi:type="dcterms:W3CDTF">2015-05-08T12:43:00Z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CODE">
    <vt:lpwstr>IV.ii.3.C</vt:lpwstr>
  </property>
  <property fmtid="{D5CDD505-2E9C-101B-9397-08002B2CF9AE}" pid="3" name="FILENAME">
    <vt:lpwstr>pt04_sp02_ch03_secC</vt:lpwstr>
  </property>
  <property fmtid="{D5CDD505-2E9C-101B-9397-08002B2CF9AE}" pid="4" name="DocLang">
    <vt:lpwstr>1033</vt:lpwstr>
  </property>
  <property fmtid="{D5CDD505-2E9C-101B-9397-08002B2CF9AE}" pid="5" name="TOCNAME">
    <vt:lpwstr>pt04_sp02_ch03_toc.doc</vt:lpwstr>
  </property>
  <property fmtid="{D5CDD505-2E9C-101B-9397-08002B2CF9AE}" pid="6" name="ContentTypeId">
    <vt:lpwstr>0x010100A3776AF772BF364D8E899CBB1EA8E540</vt:lpwstr>
  </property>
</Properties>
</file>