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1135" w14:textId="77777777" w:rsidR="000E5BF8" w:rsidRPr="003C3888" w:rsidRDefault="000E5BF8" w:rsidP="003B7F3D">
      <w:pPr>
        <w:pStyle w:val="Heading3"/>
      </w:pPr>
      <w:r w:rsidRPr="003C3888">
        <w:t>Section B.  Failure to Report for Review Examination</w:t>
      </w:r>
    </w:p>
    <w:p w14:paraId="00B51136" w14:textId="2EBBB45E" w:rsidR="000E5BF8" w:rsidRPr="003C3888" w:rsidRDefault="000E5BF8">
      <w:pPr>
        <w:pStyle w:val="Heading4"/>
      </w:pPr>
      <w:r w:rsidRPr="003C3888">
        <w:t>Overview</w:t>
      </w:r>
    </w:p>
    <w:p w14:paraId="00B51137" w14:textId="490A6D37" w:rsidR="000E5BF8" w:rsidRPr="003C3888" w:rsidRDefault="000E5BF8" w:rsidP="00B96E82">
      <w:pPr>
        <w:pStyle w:val="BlockLine"/>
        <w:pBdr>
          <w:top w:val="single" w:sz="6" w:space="2" w:color="000000"/>
        </w:pBdr>
      </w:pPr>
    </w:p>
    <w:tbl>
      <w:tblPr>
        <w:tblW w:w="0" w:type="auto"/>
        <w:tblLayout w:type="fixed"/>
        <w:tblLook w:val="0000" w:firstRow="0" w:lastRow="0" w:firstColumn="0" w:lastColumn="0" w:noHBand="0" w:noVBand="0"/>
      </w:tblPr>
      <w:tblGrid>
        <w:gridCol w:w="1728"/>
        <w:gridCol w:w="7740"/>
      </w:tblGrid>
      <w:tr w:rsidR="000E5BF8" w:rsidRPr="003C3888" w14:paraId="00B5113A" w14:textId="77777777" w:rsidTr="003B7F3D">
        <w:trPr>
          <w:cantSplit/>
        </w:trPr>
        <w:tc>
          <w:tcPr>
            <w:tcW w:w="1728" w:type="dxa"/>
            <w:shd w:val="clear" w:color="auto" w:fill="auto"/>
          </w:tcPr>
          <w:p w14:paraId="00B51138" w14:textId="23ED24FF" w:rsidR="000E5BF8" w:rsidRPr="003C3888" w:rsidRDefault="00D55026">
            <w:pPr>
              <w:pStyle w:val="Heading5"/>
            </w:pPr>
            <w:r w:rsidRPr="003C3888">
              <w:t>In T</w:t>
            </w:r>
            <w:r w:rsidR="000E5BF8" w:rsidRPr="003C3888">
              <w:t>his Section</w:t>
            </w:r>
          </w:p>
        </w:tc>
        <w:tc>
          <w:tcPr>
            <w:tcW w:w="7740" w:type="dxa"/>
            <w:shd w:val="clear" w:color="auto" w:fill="auto"/>
          </w:tcPr>
          <w:p w14:paraId="00B51139" w14:textId="77777777" w:rsidR="000E5BF8" w:rsidRPr="003C3888" w:rsidRDefault="000E5BF8" w:rsidP="003B7F3D">
            <w:pPr>
              <w:pStyle w:val="BlockText"/>
            </w:pPr>
            <w:r w:rsidRPr="003C3888">
              <w:t>This section contains the following topics:</w:t>
            </w:r>
          </w:p>
        </w:tc>
      </w:tr>
    </w:tbl>
    <w:p w14:paraId="00B5113B" w14:textId="77777777" w:rsidR="000E5BF8" w:rsidRPr="003C3888" w:rsidRDefault="000E5BF8"/>
    <w:tbl>
      <w:tblPr>
        <w:tblW w:w="7568" w:type="dxa"/>
        <w:tblInd w:w="1872" w:type="dxa"/>
        <w:tblLayout w:type="fixed"/>
        <w:tblCellMar>
          <w:left w:w="80" w:type="dxa"/>
          <w:right w:w="80" w:type="dxa"/>
        </w:tblCellMar>
        <w:tblLook w:val="0000" w:firstRow="0" w:lastRow="0" w:firstColumn="0" w:lastColumn="0" w:noHBand="0" w:noVBand="0"/>
      </w:tblPr>
      <w:tblGrid>
        <w:gridCol w:w="1302"/>
        <w:gridCol w:w="6266"/>
      </w:tblGrid>
      <w:tr w:rsidR="008B6018" w:rsidRPr="003C3888" w14:paraId="00B5113F" w14:textId="77777777" w:rsidTr="007B517C">
        <w:trPr>
          <w:cantSplit/>
        </w:trPr>
        <w:tc>
          <w:tcPr>
            <w:tcW w:w="1302" w:type="dxa"/>
            <w:tcBorders>
              <w:top w:val="single" w:sz="6" w:space="0" w:color="auto"/>
              <w:left w:val="single" w:sz="6" w:space="0" w:color="auto"/>
              <w:bottom w:val="single" w:sz="6" w:space="0" w:color="auto"/>
              <w:right w:val="single" w:sz="6" w:space="0" w:color="auto"/>
            </w:tcBorders>
            <w:shd w:val="clear" w:color="auto" w:fill="auto"/>
          </w:tcPr>
          <w:p w14:paraId="00B5113C" w14:textId="77777777" w:rsidR="008B6018" w:rsidRPr="003C3888" w:rsidRDefault="008B6018" w:rsidP="003B7F3D">
            <w:pPr>
              <w:pStyle w:val="TableHeaderText"/>
            </w:pPr>
            <w:r w:rsidRPr="003C3888">
              <w:t>Topic</w:t>
            </w:r>
          </w:p>
        </w:tc>
        <w:tc>
          <w:tcPr>
            <w:tcW w:w="6266" w:type="dxa"/>
            <w:tcBorders>
              <w:top w:val="single" w:sz="6" w:space="0" w:color="auto"/>
              <w:left w:val="single" w:sz="6" w:space="0" w:color="auto"/>
              <w:bottom w:val="single" w:sz="6" w:space="0" w:color="auto"/>
              <w:right w:val="single" w:sz="6" w:space="0" w:color="auto"/>
            </w:tcBorders>
            <w:shd w:val="clear" w:color="auto" w:fill="auto"/>
          </w:tcPr>
          <w:p w14:paraId="00B5113D" w14:textId="77777777" w:rsidR="008B6018" w:rsidRPr="003C3888" w:rsidRDefault="008B6018" w:rsidP="003B7F3D">
            <w:pPr>
              <w:pStyle w:val="TableHeaderText"/>
            </w:pPr>
            <w:r w:rsidRPr="003C3888">
              <w:t>Topic Name</w:t>
            </w:r>
          </w:p>
        </w:tc>
      </w:tr>
      <w:tr w:rsidR="001D5AAE" w:rsidRPr="003C3888" w14:paraId="73BE5BF8" w14:textId="77777777" w:rsidTr="007B517C">
        <w:trPr>
          <w:cantSplit/>
        </w:trPr>
        <w:tc>
          <w:tcPr>
            <w:tcW w:w="1302" w:type="dxa"/>
            <w:tcBorders>
              <w:top w:val="single" w:sz="6" w:space="0" w:color="auto"/>
              <w:left w:val="single" w:sz="6" w:space="0" w:color="auto"/>
              <w:bottom w:val="single" w:sz="6" w:space="0" w:color="auto"/>
              <w:right w:val="single" w:sz="6" w:space="0" w:color="auto"/>
            </w:tcBorders>
            <w:shd w:val="clear" w:color="auto" w:fill="auto"/>
          </w:tcPr>
          <w:p w14:paraId="21E8F284" w14:textId="0579E274" w:rsidR="001D5AAE" w:rsidRPr="003C3888" w:rsidRDefault="001D5AAE" w:rsidP="003B7F3D">
            <w:pPr>
              <w:pStyle w:val="TableHeaderText"/>
              <w:rPr>
                <w:b w:val="0"/>
              </w:rPr>
            </w:pPr>
            <w:r w:rsidRPr="003C3888">
              <w:rPr>
                <w:b w:val="0"/>
              </w:rPr>
              <w:t>1</w:t>
            </w:r>
          </w:p>
        </w:tc>
        <w:tc>
          <w:tcPr>
            <w:tcW w:w="6266" w:type="dxa"/>
            <w:tcBorders>
              <w:top w:val="single" w:sz="6" w:space="0" w:color="auto"/>
              <w:left w:val="single" w:sz="6" w:space="0" w:color="auto"/>
              <w:bottom w:val="single" w:sz="6" w:space="0" w:color="auto"/>
              <w:right w:val="single" w:sz="6" w:space="0" w:color="auto"/>
            </w:tcBorders>
            <w:shd w:val="clear" w:color="auto" w:fill="auto"/>
          </w:tcPr>
          <w:p w14:paraId="00AC7984" w14:textId="165571B4" w:rsidR="001D5AAE" w:rsidRPr="003C3888" w:rsidRDefault="001D5AAE" w:rsidP="001D5AAE">
            <w:pPr>
              <w:pStyle w:val="TableHeaderText"/>
              <w:jc w:val="left"/>
              <w:rPr>
                <w:b w:val="0"/>
              </w:rPr>
            </w:pPr>
            <w:r w:rsidRPr="003C3888">
              <w:rPr>
                <w:b w:val="0"/>
                <w:color w:val="auto"/>
              </w:rPr>
              <w:t>General Information on Handling a Veteran’s Failure to Report for a Scheduled Review Examination</w:t>
            </w:r>
          </w:p>
        </w:tc>
      </w:tr>
      <w:tr w:rsidR="00165686" w:rsidRPr="003C3888" w14:paraId="2AEB61D2" w14:textId="77777777" w:rsidTr="007B517C">
        <w:trPr>
          <w:cantSplit/>
        </w:trPr>
        <w:tc>
          <w:tcPr>
            <w:tcW w:w="1302" w:type="dxa"/>
            <w:tcBorders>
              <w:top w:val="single" w:sz="6" w:space="0" w:color="auto"/>
              <w:left w:val="single" w:sz="6" w:space="0" w:color="auto"/>
              <w:bottom w:val="single" w:sz="6" w:space="0" w:color="auto"/>
              <w:right w:val="single" w:sz="6" w:space="0" w:color="auto"/>
            </w:tcBorders>
            <w:shd w:val="clear" w:color="auto" w:fill="auto"/>
          </w:tcPr>
          <w:p w14:paraId="5874B03F" w14:textId="2F8CA7B4" w:rsidR="00165686" w:rsidRPr="003C3888" w:rsidRDefault="001D5AAE" w:rsidP="003B7F3D">
            <w:pPr>
              <w:pStyle w:val="TableHeaderText"/>
              <w:rPr>
                <w:b w:val="0"/>
              </w:rPr>
            </w:pPr>
            <w:r w:rsidRPr="003C3888">
              <w:rPr>
                <w:b w:val="0"/>
              </w:rPr>
              <w:t>2</w:t>
            </w:r>
          </w:p>
        </w:tc>
        <w:tc>
          <w:tcPr>
            <w:tcW w:w="6266" w:type="dxa"/>
            <w:tcBorders>
              <w:top w:val="single" w:sz="6" w:space="0" w:color="auto"/>
              <w:left w:val="single" w:sz="6" w:space="0" w:color="auto"/>
              <w:bottom w:val="single" w:sz="6" w:space="0" w:color="auto"/>
              <w:right w:val="single" w:sz="6" w:space="0" w:color="auto"/>
            </w:tcBorders>
            <w:shd w:val="clear" w:color="auto" w:fill="auto"/>
          </w:tcPr>
          <w:p w14:paraId="0F9A3B8E" w14:textId="3E0706C1" w:rsidR="00165686" w:rsidRPr="003C3888" w:rsidRDefault="004230BE" w:rsidP="004230BE">
            <w:pPr>
              <w:pStyle w:val="TableHeaderText"/>
              <w:jc w:val="left"/>
              <w:rPr>
                <w:b w:val="0"/>
                <w:color w:val="auto"/>
              </w:rPr>
            </w:pPr>
            <w:r w:rsidRPr="003C3888">
              <w:rPr>
                <w:b w:val="0"/>
                <w:color w:val="auto"/>
              </w:rPr>
              <w:t xml:space="preserve">Protocol for </w:t>
            </w:r>
            <w:r w:rsidR="004B6D01" w:rsidRPr="003C3888">
              <w:rPr>
                <w:b w:val="0"/>
                <w:color w:val="auto"/>
              </w:rPr>
              <w:t>S</w:t>
            </w:r>
            <w:r w:rsidRPr="003C3888">
              <w:rPr>
                <w:b w:val="0"/>
                <w:color w:val="auto"/>
              </w:rPr>
              <w:t xml:space="preserve">cheduling </w:t>
            </w:r>
            <w:r w:rsidR="004B6D01" w:rsidRPr="003C3888">
              <w:rPr>
                <w:b w:val="0"/>
                <w:color w:val="auto"/>
              </w:rPr>
              <w:t>E</w:t>
            </w:r>
            <w:r w:rsidRPr="003C3888">
              <w:rPr>
                <w:b w:val="0"/>
                <w:color w:val="auto"/>
              </w:rPr>
              <w:t xml:space="preserve">xams </w:t>
            </w:r>
            <w:r w:rsidR="004B6D01" w:rsidRPr="003C3888">
              <w:rPr>
                <w:b w:val="0"/>
                <w:color w:val="auto"/>
              </w:rPr>
              <w:t>U</w:t>
            </w:r>
            <w:r w:rsidR="00003FA1" w:rsidRPr="003C3888">
              <w:rPr>
                <w:b w:val="0"/>
                <w:color w:val="auto"/>
              </w:rPr>
              <w:t xml:space="preserve">sing </w:t>
            </w:r>
            <w:r w:rsidR="00165686" w:rsidRPr="003C3888">
              <w:rPr>
                <w:b w:val="0"/>
                <w:color w:val="auto"/>
              </w:rPr>
              <w:t xml:space="preserve">Veterans Health Administration (VHA) RSVP </w:t>
            </w:r>
            <w:r w:rsidR="000B13D8" w:rsidRPr="003C3888">
              <w:rPr>
                <w:b w:val="0"/>
                <w:color w:val="auto"/>
              </w:rPr>
              <w:t xml:space="preserve">Scheduling </w:t>
            </w:r>
            <w:r w:rsidR="00165686" w:rsidRPr="003C3888">
              <w:rPr>
                <w:b w:val="0"/>
                <w:color w:val="auto"/>
              </w:rPr>
              <w:t>Program</w:t>
            </w:r>
          </w:p>
        </w:tc>
      </w:tr>
      <w:tr w:rsidR="008B6018" w:rsidRPr="003C3888" w14:paraId="00B51147" w14:textId="77777777" w:rsidTr="007B517C">
        <w:trPr>
          <w:cantSplit/>
        </w:trPr>
        <w:tc>
          <w:tcPr>
            <w:tcW w:w="1302" w:type="dxa"/>
            <w:tcBorders>
              <w:top w:val="single" w:sz="6" w:space="0" w:color="auto"/>
              <w:left w:val="single" w:sz="6" w:space="0" w:color="auto"/>
              <w:bottom w:val="single" w:sz="6" w:space="0" w:color="auto"/>
              <w:right w:val="single" w:sz="6" w:space="0" w:color="auto"/>
            </w:tcBorders>
          </w:tcPr>
          <w:p w14:paraId="00B51144" w14:textId="4FF3DB90" w:rsidR="008B6018" w:rsidRPr="003C3888" w:rsidRDefault="00A90AA8" w:rsidP="009A17F5">
            <w:pPr>
              <w:pStyle w:val="TableText"/>
              <w:jc w:val="center"/>
            </w:pPr>
            <w:r w:rsidRPr="003C3888">
              <w:t>3</w:t>
            </w:r>
            <w:r w:rsidR="005F3CDF" w:rsidRPr="003C3888">
              <w:t xml:space="preserve"> </w:t>
            </w:r>
          </w:p>
        </w:tc>
        <w:tc>
          <w:tcPr>
            <w:tcW w:w="6266" w:type="dxa"/>
            <w:tcBorders>
              <w:top w:val="single" w:sz="6" w:space="0" w:color="auto"/>
              <w:left w:val="single" w:sz="6" w:space="0" w:color="auto"/>
              <w:bottom w:val="single" w:sz="6" w:space="0" w:color="auto"/>
              <w:right w:val="single" w:sz="6" w:space="0" w:color="auto"/>
            </w:tcBorders>
          </w:tcPr>
          <w:p w14:paraId="00B51145" w14:textId="38A9C7E8" w:rsidR="008B6018" w:rsidRPr="003C3888" w:rsidRDefault="008B6018" w:rsidP="000B13D8">
            <w:pPr>
              <w:pStyle w:val="TableText"/>
              <w:rPr>
                <w:color w:val="auto"/>
              </w:rPr>
            </w:pPr>
            <w:r w:rsidRPr="003C3888">
              <w:rPr>
                <w:color w:val="auto"/>
              </w:rPr>
              <w:t>Rating Activity Action After a Veteran Fails to Report for a Scheduled Review Examination</w:t>
            </w:r>
          </w:p>
        </w:tc>
      </w:tr>
      <w:tr w:rsidR="008B6018" w:rsidRPr="003C3888" w14:paraId="00B5114B" w14:textId="77777777" w:rsidTr="007B517C">
        <w:trPr>
          <w:cantSplit/>
        </w:trPr>
        <w:tc>
          <w:tcPr>
            <w:tcW w:w="1302" w:type="dxa"/>
            <w:tcBorders>
              <w:top w:val="single" w:sz="6" w:space="0" w:color="auto"/>
              <w:left w:val="single" w:sz="6" w:space="0" w:color="auto"/>
              <w:bottom w:val="single" w:sz="6" w:space="0" w:color="auto"/>
              <w:right w:val="single" w:sz="6" w:space="0" w:color="auto"/>
            </w:tcBorders>
          </w:tcPr>
          <w:p w14:paraId="00B51148" w14:textId="3130765C" w:rsidR="008B6018" w:rsidRPr="003C3888" w:rsidRDefault="00A90AA8" w:rsidP="009A17F5">
            <w:pPr>
              <w:pStyle w:val="TableText"/>
              <w:jc w:val="center"/>
            </w:pPr>
            <w:r w:rsidRPr="003C3888">
              <w:t>4</w:t>
            </w:r>
            <w:r w:rsidR="005F3CDF" w:rsidRPr="003C3888">
              <w:t xml:space="preserve"> </w:t>
            </w:r>
          </w:p>
        </w:tc>
        <w:tc>
          <w:tcPr>
            <w:tcW w:w="6266" w:type="dxa"/>
            <w:tcBorders>
              <w:top w:val="single" w:sz="6" w:space="0" w:color="auto"/>
              <w:left w:val="single" w:sz="6" w:space="0" w:color="auto"/>
              <w:bottom w:val="single" w:sz="6" w:space="0" w:color="auto"/>
              <w:right w:val="single" w:sz="6" w:space="0" w:color="auto"/>
            </w:tcBorders>
          </w:tcPr>
          <w:p w14:paraId="00B51149" w14:textId="0932DEA8" w:rsidR="008B6018" w:rsidRPr="003C3888" w:rsidRDefault="008B6018" w:rsidP="00566ADE">
            <w:pPr>
              <w:pStyle w:val="TableText"/>
            </w:pPr>
            <w:r w:rsidRPr="003C3888">
              <w:t xml:space="preserve">Award Action Taken After a Veteran Fails to Report for a </w:t>
            </w:r>
            <w:r w:rsidR="000B13D8" w:rsidRPr="003C3888">
              <w:t>Review Examination</w:t>
            </w:r>
          </w:p>
        </w:tc>
      </w:tr>
    </w:tbl>
    <w:p w14:paraId="00B5114C" w14:textId="5DCE512F" w:rsidR="002C04F3" w:rsidRPr="003C3888" w:rsidRDefault="002C04F3">
      <w:pPr>
        <w:pStyle w:val="BlockLine"/>
      </w:pPr>
    </w:p>
    <w:p w14:paraId="4F0D6D09" w14:textId="5122A3AF" w:rsidR="002C04F3" w:rsidRPr="003C3888" w:rsidRDefault="002C04F3">
      <w:pPr>
        <w:rPr>
          <w:szCs w:val="20"/>
        </w:rPr>
      </w:pPr>
      <w:r w:rsidRPr="003C3888">
        <w:br w:type="page"/>
      </w:r>
    </w:p>
    <w:p w14:paraId="420A6BA6" w14:textId="511AE423" w:rsidR="001D5AAE" w:rsidRPr="003C3888" w:rsidRDefault="004230BE" w:rsidP="00542BCE">
      <w:pPr>
        <w:spacing w:after="240"/>
        <w:outlineLvl w:val="3"/>
        <w:rPr>
          <w:rFonts w:ascii="Arial" w:hAnsi="Arial" w:cs="Arial"/>
          <w:b/>
          <w:sz w:val="32"/>
          <w:szCs w:val="20"/>
        </w:rPr>
      </w:pPr>
      <w:r w:rsidRPr="003C3888">
        <w:rPr>
          <w:rFonts w:ascii="Arial" w:hAnsi="Arial" w:cs="Arial"/>
          <w:b/>
          <w:sz w:val="32"/>
          <w:szCs w:val="20"/>
        </w:rPr>
        <w:lastRenderedPageBreak/>
        <w:t>1</w:t>
      </w:r>
      <w:r w:rsidR="00542BCE" w:rsidRPr="003C3888">
        <w:rPr>
          <w:rFonts w:ascii="Arial" w:hAnsi="Arial" w:cs="Arial"/>
          <w:b/>
          <w:sz w:val="32"/>
          <w:szCs w:val="20"/>
        </w:rPr>
        <w:t xml:space="preserve">. </w:t>
      </w:r>
      <w:r w:rsidR="000125D4" w:rsidRPr="003C3888">
        <w:rPr>
          <w:rFonts w:ascii="Arial" w:hAnsi="Arial" w:cs="Arial"/>
          <w:b/>
          <w:sz w:val="32"/>
          <w:szCs w:val="20"/>
        </w:rPr>
        <w:t xml:space="preserve"> </w:t>
      </w:r>
      <w:r w:rsidR="001D5AAE" w:rsidRPr="003C3888">
        <w:rPr>
          <w:rFonts w:ascii="Arial" w:hAnsi="Arial" w:cs="Arial"/>
          <w:b/>
          <w:sz w:val="32"/>
          <w:szCs w:val="32"/>
        </w:rPr>
        <w:t>General Information on Handling a Veteran’s Failure to Report for a Scheduled Review Examination</w:t>
      </w:r>
    </w:p>
    <w:p w14:paraId="3DE89EE3" w14:textId="410EB3DB" w:rsidR="001D5AAE" w:rsidRPr="003C3888" w:rsidRDefault="001D5AAE" w:rsidP="001D5AAE">
      <w:pPr>
        <w:pBdr>
          <w:top w:val="single" w:sz="6" w:space="1" w:color="000000"/>
          <w:between w:val="single" w:sz="6" w:space="1" w:color="auto"/>
        </w:pBdr>
        <w:spacing w:before="240"/>
        <w:ind w:left="1720"/>
        <w:rPr>
          <w:szCs w:val="20"/>
        </w:rPr>
      </w:pPr>
    </w:p>
    <w:tbl>
      <w:tblPr>
        <w:tblW w:w="0" w:type="auto"/>
        <w:tblLayout w:type="fixed"/>
        <w:tblLook w:val="0000" w:firstRow="0" w:lastRow="0" w:firstColumn="0" w:lastColumn="0" w:noHBand="0" w:noVBand="0"/>
      </w:tblPr>
      <w:tblGrid>
        <w:gridCol w:w="1682"/>
        <w:gridCol w:w="7471"/>
      </w:tblGrid>
      <w:tr w:rsidR="001D5AAE" w:rsidRPr="003C3888" w14:paraId="606B9444" w14:textId="77777777" w:rsidTr="00BB4DB2">
        <w:trPr>
          <w:cantSplit/>
          <w:trHeight w:val="2421"/>
        </w:trPr>
        <w:tc>
          <w:tcPr>
            <w:tcW w:w="1682" w:type="dxa"/>
            <w:shd w:val="clear" w:color="auto" w:fill="auto"/>
          </w:tcPr>
          <w:p w14:paraId="202444D5" w14:textId="77777777" w:rsidR="001D5AAE" w:rsidRPr="003C3888" w:rsidRDefault="001D5AAE" w:rsidP="001D5AAE">
            <w:pPr>
              <w:outlineLvl w:val="4"/>
              <w:rPr>
                <w:b/>
                <w:sz w:val="22"/>
                <w:szCs w:val="20"/>
              </w:rPr>
            </w:pPr>
            <w:r w:rsidRPr="003C3888">
              <w:rPr>
                <w:b/>
                <w:sz w:val="22"/>
                <w:szCs w:val="20"/>
              </w:rPr>
              <w:t>Introduction</w:t>
            </w:r>
          </w:p>
        </w:tc>
        <w:tc>
          <w:tcPr>
            <w:tcW w:w="7471" w:type="dxa"/>
            <w:shd w:val="clear" w:color="auto" w:fill="auto"/>
          </w:tcPr>
          <w:p w14:paraId="2A71551B" w14:textId="77777777" w:rsidR="001D5AAE" w:rsidRPr="003C3888" w:rsidRDefault="001D5AAE" w:rsidP="001D5AAE">
            <w:r w:rsidRPr="003C3888">
              <w:t>This topic contains information on handling a Veteran’s failure to report for a scheduled review examination.  It includes information on the</w:t>
            </w:r>
          </w:p>
          <w:p w14:paraId="58DAA959" w14:textId="77777777" w:rsidR="001D5AAE" w:rsidRPr="003C3888" w:rsidRDefault="001D5AAE" w:rsidP="001D5AAE"/>
          <w:p w14:paraId="7147C6BF" w14:textId="77777777" w:rsidR="004E1259" w:rsidRPr="003C3888" w:rsidRDefault="004E1259" w:rsidP="004E1259">
            <w:pPr>
              <w:pStyle w:val="BulletText1"/>
            </w:pPr>
            <w:r w:rsidRPr="003C3888">
              <w:t>required discontinuation or reduction of payments</w:t>
            </w:r>
          </w:p>
          <w:p w14:paraId="69A07C5A" w14:textId="54DD9D1A" w:rsidR="004E1259" w:rsidRPr="003C3888" w:rsidRDefault="004E1259" w:rsidP="004E1259">
            <w:pPr>
              <w:pStyle w:val="BulletText1"/>
            </w:pPr>
            <w:r w:rsidRPr="003C3888">
              <w:t>purpose and elements of a Department of Veterans Affairs (VA) disability examination</w:t>
            </w:r>
          </w:p>
          <w:p w14:paraId="4CCF8959" w14:textId="77777777" w:rsidR="004E1259" w:rsidRPr="003C3888" w:rsidRDefault="004E1259" w:rsidP="004E1259">
            <w:pPr>
              <w:pStyle w:val="BulletText1"/>
            </w:pPr>
            <w:r w:rsidRPr="003C3888">
              <w:t>initial review of returned mail, and</w:t>
            </w:r>
          </w:p>
          <w:p w14:paraId="48F454F2" w14:textId="3192B2C7" w:rsidR="003053DA" w:rsidRPr="003C3888" w:rsidRDefault="004E1259" w:rsidP="005245C1">
            <w:pPr>
              <w:numPr>
                <w:ilvl w:val="0"/>
                <w:numId w:val="2"/>
              </w:numPr>
              <w:rPr>
                <w:szCs w:val="20"/>
              </w:rPr>
            </w:pPr>
            <w:r w:rsidRPr="003C3888">
              <w:t>action to take after attempting to locate a better address.</w:t>
            </w:r>
          </w:p>
        </w:tc>
      </w:tr>
    </w:tbl>
    <w:p w14:paraId="1FEC5FD4" w14:textId="77777777" w:rsidR="001D5AAE" w:rsidRPr="003C3888" w:rsidRDefault="001D5AAE" w:rsidP="001D5AAE">
      <w:pPr>
        <w:pBdr>
          <w:top w:val="single" w:sz="6" w:space="1" w:color="000000"/>
          <w:between w:val="single" w:sz="6" w:space="1" w:color="auto"/>
        </w:pBdr>
        <w:spacing w:before="240"/>
        <w:ind w:left="1720"/>
        <w:rPr>
          <w:szCs w:val="20"/>
        </w:rPr>
      </w:pPr>
    </w:p>
    <w:tbl>
      <w:tblPr>
        <w:tblW w:w="0" w:type="auto"/>
        <w:tblLayout w:type="fixed"/>
        <w:tblLook w:val="0000" w:firstRow="0" w:lastRow="0" w:firstColumn="0" w:lastColumn="0" w:noHBand="0" w:noVBand="0"/>
      </w:tblPr>
      <w:tblGrid>
        <w:gridCol w:w="1728"/>
        <w:gridCol w:w="7740"/>
      </w:tblGrid>
      <w:tr w:rsidR="001D5AAE" w:rsidRPr="003C3888" w14:paraId="0E6ABBEA" w14:textId="77777777" w:rsidTr="00B53E30">
        <w:trPr>
          <w:cantSplit/>
          <w:trHeight w:val="234"/>
        </w:trPr>
        <w:tc>
          <w:tcPr>
            <w:tcW w:w="1728" w:type="dxa"/>
            <w:shd w:val="clear" w:color="auto" w:fill="auto"/>
          </w:tcPr>
          <w:p w14:paraId="4A251784" w14:textId="77777777" w:rsidR="001D5AAE" w:rsidRPr="003C3888" w:rsidRDefault="001D5AAE" w:rsidP="001D5AAE">
            <w:pPr>
              <w:outlineLvl w:val="4"/>
              <w:rPr>
                <w:b/>
                <w:sz w:val="22"/>
                <w:szCs w:val="20"/>
              </w:rPr>
            </w:pPr>
            <w:r w:rsidRPr="003C3888">
              <w:rPr>
                <w:b/>
                <w:sz w:val="22"/>
                <w:szCs w:val="20"/>
              </w:rPr>
              <w:t>Change Date</w:t>
            </w:r>
          </w:p>
        </w:tc>
        <w:tc>
          <w:tcPr>
            <w:tcW w:w="7740" w:type="dxa"/>
            <w:shd w:val="clear" w:color="auto" w:fill="auto"/>
          </w:tcPr>
          <w:p w14:paraId="0C03F215" w14:textId="2B396B3C" w:rsidR="001D5AAE" w:rsidRPr="003C3888" w:rsidRDefault="001B5325" w:rsidP="001D5AAE">
            <w:r w:rsidRPr="003C3888">
              <w:t>January 25, 2016</w:t>
            </w:r>
          </w:p>
        </w:tc>
      </w:tr>
    </w:tbl>
    <w:p w14:paraId="4BFF4429" w14:textId="6C16AE0D" w:rsidR="004E1259" w:rsidRPr="003C3888" w:rsidRDefault="004E1259" w:rsidP="003F3CA0">
      <w:pPr>
        <w:pBdr>
          <w:top w:val="single" w:sz="6" w:space="1" w:color="000000"/>
          <w:between w:val="single" w:sz="6" w:space="1" w:color="auto"/>
        </w:pBdr>
        <w:spacing w:before="240"/>
        <w:ind w:left="1720"/>
        <w:rPr>
          <w:szCs w:val="20"/>
        </w:rPr>
      </w:pPr>
    </w:p>
    <w:tbl>
      <w:tblPr>
        <w:tblW w:w="0" w:type="auto"/>
        <w:tblLayout w:type="fixed"/>
        <w:tblLook w:val="0000" w:firstRow="0" w:lastRow="0" w:firstColumn="0" w:lastColumn="0" w:noHBand="0" w:noVBand="0"/>
      </w:tblPr>
      <w:tblGrid>
        <w:gridCol w:w="1728"/>
        <w:gridCol w:w="7740"/>
      </w:tblGrid>
      <w:tr w:rsidR="004E1259" w:rsidRPr="003C3888" w14:paraId="61E5F34E" w14:textId="77777777" w:rsidTr="00082C21">
        <w:trPr>
          <w:cantSplit/>
        </w:trPr>
        <w:tc>
          <w:tcPr>
            <w:tcW w:w="1728" w:type="dxa"/>
            <w:tcBorders>
              <w:top w:val="nil"/>
              <w:left w:val="nil"/>
              <w:bottom w:val="nil"/>
              <w:right w:val="nil"/>
            </w:tcBorders>
            <w:shd w:val="clear" w:color="auto" w:fill="auto"/>
          </w:tcPr>
          <w:p w14:paraId="22B3A1D2" w14:textId="77777777" w:rsidR="004E1259" w:rsidRPr="003C3888" w:rsidRDefault="004E1259" w:rsidP="004E1259">
            <w:pPr>
              <w:outlineLvl w:val="4"/>
              <w:rPr>
                <w:b/>
                <w:sz w:val="22"/>
                <w:szCs w:val="20"/>
              </w:rPr>
            </w:pPr>
            <w:r w:rsidRPr="003C3888">
              <w:rPr>
                <w:b/>
                <w:sz w:val="22"/>
                <w:szCs w:val="20"/>
              </w:rPr>
              <w:t>a.  Required Discontinuation or Reduction of Payments</w:t>
            </w:r>
          </w:p>
        </w:tc>
        <w:tc>
          <w:tcPr>
            <w:tcW w:w="7740" w:type="dxa"/>
            <w:tcBorders>
              <w:top w:val="nil"/>
              <w:left w:val="nil"/>
              <w:bottom w:val="nil"/>
              <w:right w:val="nil"/>
            </w:tcBorders>
            <w:shd w:val="clear" w:color="auto" w:fill="auto"/>
          </w:tcPr>
          <w:p w14:paraId="6053B43A" w14:textId="55DE6B90" w:rsidR="004E1259" w:rsidRPr="003C3888" w:rsidRDefault="004E1259" w:rsidP="004E1259">
            <w:r w:rsidRPr="003C3888">
              <w:t xml:space="preserve">When a current examination is needed to confirm a Veteran’s continued entitlement to disability benefits, and the Veteran, without adequate reason, fails to report for the examination, the VA is required under </w:t>
            </w:r>
            <w:hyperlink r:id="rId12" w:history="1">
              <w:r w:rsidRPr="003C3888">
                <w:rPr>
                  <w:color w:val="0000FF"/>
                  <w:u w:val="single"/>
                </w:rPr>
                <w:t>38 CFR 3.655</w:t>
              </w:r>
            </w:hyperlink>
            <w:r w:rsidRPr="003C3888">
              <w:t xml:space="preserve"> to</w:t>
            </w:r>
          </w:p>
          <w:p w14:paraId="06360518" w14:textId="77777777" w:rsidR="004E1259" w:rsidRPr="003C3888" w:rsidRDefault="004E1259" w:rsidP="004E1259"/>
          <w:p w14:paraId="616E0C09" w14:textId="77777777" w:rsidR="004E1259" w:rsidRPr="003C3888" w:rsidRDefault="004E1259" w:rsidP="004E1259">
            <w:pPr>
              <w:numPr>
                <w:ilvl w:val="0"/>
                <w:numId w:val="2"/>
              </w:numPr>
              <w:rPr>
                <w:szCs w:val="20"/>
              </w:rPr>
            </w:pPr>
            <w:r w:rsidRPr="003C3888">
              <w:rPr>
                <w:szCs w:val="20"/>
              </w:rPr>
              <w:t>discontinue payment for the disability(ies) for which the examination was scheduled, or</w:t>
            </w:r>
          </w:p>
          <w:p w14:paraId="55D09673" w14:textId="77777777" w:rsidR="004E1259" w:rsidRPr="003C3888" w:rsidRDefault="004E1259" w:rsidP="004E1259">
            <w:pPr>
              <w:numPr>
                <w:ilvl w:val="0"/>
                <w:numId w:val="2"/>
              </w:numPr>
              <w:rPr>
                <w:szCs w:val="20"/>
              </w:rPr>
            </w:pPr>
            <w:r w:rsidRPr="003C3888">
              <w:rPr>
                <w:szCs w:val="20"/>
              </w:rPr>
              <w:t>reduce payment for the disability(ies) for which the examination was scheduled to a</w:t>
            </w:r>
          </w:p>
          <w:p w14:paraId="3E28AA2C" w14:textId="20040B80" w:rsidR="004E1259" w:rsidRPr="003C3888" w:rsidRDefault="004E1259" w:rsidP="004E1259">
            <w:pPr>
              <w:numPr>
                <w:ilvl w:val="0"/>
                <w:numId w:val="3"/>
              </w:numPr>
              <w:rPr>
                <w:szCs w:val="20"/>
              </w:rPr>
            </w:pPr>
            <w:r w:rsidRPr="003C3888">
              <w:rPr>
                <w:szCs w:val="20"/>
              </w:rPr>
              <w:t xml:space="preserve">minimum evaluation established under </w:t>
            </w:r>
            <w:hyperlink r:id="rId13" w:history="1">
              <w:r w:rsidRPr="003C3888">
                <w:rPr>
                  <w:color w:val="0000FF"/>
                  <w:szCs w:val="20"/>
                  <w:u w:val="single"/>
                </w:rPr>
                <w:t>38 CFR Part 4</w:t>
              </w:r>
            </w:hyperlink>
            <w:r w:rsidRPr="003C3888">
              <w:rPr>
                <w:szCs w:val="20"/>
              </w:rPr>
              <w:t>, or</w:t>
            </w:r>
          </w:p>
          <w:p w14:paraId="39151F25" w14:textId="6AA286ED" w:rsidR="004E1259" w:rsidRPr="003C3888" w:rsidRDefault="004E1259" w:rsidP="004E1259">
            <w:pPr>
              <w:numPr>
                <w:ilvl w:val="0"/>
                <w:numId w:val="3"/>
              </w:numPr>
              <w:rPr>
                <w:szCs w:val="20"/>
              </w:rPr>
            </w:pPr>
            <w:r w:rsidRPr="003C3888">
              <w:rPr>
                <w:szCs w:val="20"/>
              </w:rPr>
              <w:t xml:space="preserve">lower protected evaluation under </w:t>
            </w:r>
            <w:hyperlink r:id="rId14" w:history="1">
              <w:r w:rsidRPr="003C3888">
                <w:rPr>
                  <w:color w:val="0000FF"/>
                  <w:szCs w:val="20"/>
                  <w:u w:val="single"/>
                </w:rPr>
                <w:t>38 CFR 3.951(b)</w:t>
              </w:r>
            </w:hyperlink>
            <w:r w:rsidRPr="003C3888">
              <w:rPr>
                <w:szCs w:val="20"/>
              </w:rPr>
              <w:t>.</w:t>
            </w:r>
          </w:p>
          <w:p w14:paraId="7A589B04" w14:textId="76073E40" w:rsidR="004E1259" w:rsidRPr="003C3888" w:rsidRDefault="004E1259" w:rsidP="004E1259"/>
          <w:p w14:paraId="343FDAB8" w14:textId="31F23473" w:rsidR="004E1259" w:rsidRPr="003C3888" w:rsidRDefault="004E1259" w:rsidP="004E1259">
            <w:r w:rsidRPr="003C3888">
              <w:rPr>
                <w:b/>
                <w:bCs/>
                <w:i/>
                <w:iCs/>
              </w:rPr>
              <w:t>Note</w:t>
            </w:r>
            <w:r w:rsidRPr="003C3888">
              <w:t xml:space="preserve">:  Reduction or discontinuation of payments under </w:t>
            </w:r>
            <w:hyperlink r:id="rId15" w:history="1">
              <w:r w:rsidRPr="003C3888">
                <w:rPr>
                  <w:color w:val="0000FF"/>
                  <w:u w:val="single"/>
                </w:rPr>
                <w:t>38 CFR 3.655(c)</w:t>
              </w:r>
            </w:hyperlink>
            <w:r w:rsidRPr="003C3888">
              <w:t xml:space="preserve"> is </w:t>
            </w:r>
            <w:r w:rsidRPr="003C3888">
              <w:rPr>
                <w:i/>
                <w:iCs/>
              </w:rPr>
              <w:t>not</w:t>
            </w:r>
            <w:r w:rsidRPr="003C3888">
              <w:t xml:space="preserve"> required if the evidence of record is sufficient to justify continuation of a current disability evaluation.</w:t>
            </w:r>
          </w:p>
          <w:p w14:paraId="10B69ED6" w14:textId="77777777" w:rsidR="004E1259" w:rsidRPr="003C3888" w:rsidRDefault="004E1259" w:rsidP="004E1259"/>
          <w:p w14:paraId="48F830FD" w14:textId="5588E5A0" w:rsidR="004E1259" w:rsidRPr="003C3888" w:rsidRDefault="004E1259" w:rsidP="004E1259">
            <w:r w:rsidRPr="003C3888">
              <w:rPr>
                <w:b/>
                <w:bCs/>
                <w:i/>
                <w:iCs/>
              </w:rPr>
              <w:t>Reference</w:t>
            </w:r>
            <w:r w:rsidRPr="003C3888">
              <w:t xml:space="preserve">:  For information on handling a Veteran’s failure to report for </w:t>
            </w:r>
          </w:p>
          <w:p w14:paraId="06A74A49" w14:textId="44FECC86" w:rsidR="00F253BB" w:rsidRPr="003C3888" w:rsidRDefault="00F253BB" w:rsidP="004E1259">
            <w:pPr>
              <w:numPr>
                <w:ilvl w:val="0"/>
                <w:numId w:val="2"/>
              </w:numPr>
              <w:rPr>
                <w:b/>
                <w:szCs w:val="20"/>
              </w:rPr>
            </w:pPr>
            <w:r w:rsidRPr="003C3888">
              <w:rPr>
                <w:color w:val="auto"/>
                <w:szCs w:val="20"/>
              </w:rPr>
              <w:t>a reexamination scheduled in connection with a running award, see</w:t>
            </w:r>
          </w:p>
          <w:p w14:paraId="495DC902" w14:textId="77777777" w:rsidR="0044620F" w:rsidRPr="003C3888" w:rsidRDefault="003C3888" w:rsidP="00F253BB">
            <w:pPr>
              <w:pStyle w:val="ListParagraph"/>
              <w:numPr>
                <w:ilvl w:val="0"/>
                <w:numId w:val="21"/>
              </w:numPr>
              <w:ind w:left="346" w:hanging="187"/>
            </w:pPr>
            <w:hyperlink r:id="rId16" w:history="1">
              <w:r w:rsidR="00F253BB" w:rsidRPr="003C3888">
                <w:rPr>
                  <w:color w:val="0000FF"/>
                  <w:szCs w:val="20"/>
                  <w:u w:val="single"/>
                </w:rPr>
                <w:t>38 CFR 3.655(c)</w:t>
              </w:r>
            </w:hyperlink>
            <w:r w:rsidR="00F253BB" w:rsidRPr="003C3888">
              <w:rPr>
                <w:color w:val="auto"/>
                <w:szCs w:val="20"/>
              </w:rPr>
              <w:t xml:space="preserve">, </w:t>
            </w:r>
          </w:p>
          <w:p w14:paraId="071CEA97" w14:textId="592697AB" w:rsidR="00F253BB" w:rsidRPr="003C3888" w:rsidRDefault="003278E3" w:rsidP="00F253BB">
            <w:pPr>
              <w:pStyle w:val="ListParagraph"/>
              <w:numPr>
                <w:ilvl w:val="0"/>
                <w:numId w:val="21"/>
              </w:numPr>
              <w:ind w:left="346" w:hanging="187"/>
            </w:pPr>
            <w:r w:rsidRPr="003C3888">
              <w:rPr>
                <w:color w:val="auto"/>
                <w:szCs w:val="20"/>
              </w:rPr>
              <w:t xml:space="preserve">M21-1, Part I, 1.C.3.k-p, </w:t>
            </w:r>
            <w:r w:rsidR="00F253BB" w:rsidRPr="003C3888">
              <w:rPr>
                <w:color w:val="auto"/>
                <w:szCs w:val="20"/>
              </w:rPr>
              <w:t>and</w:t>
            </w:r>
          </w:p>
          <w:p w14:paraId="747C2B0E" w14:textId="3A2AA1C5" w:rsidR="004E1259" w:rsidRPr="003C3888" w:rsidRDefault="004E1259" w:rsidP="00F253BB">
            <w:pPr>
              <w:pStyle w:val="ListParagraph"/>
              <w:numPr>
                <w:ilvl w:val="0"/>
                <w:numId w:val="21"/>
              </w:numPr>
              <w:ind w:left="346" w:hanging="187"/>
              <w:rPr>
                <w:b/>
              </w:rPr>
            </w:pPr>
            <w:r w:rsidRPr="003C3888">
              <w:t>M21-1</w:t>
            </w:r>
            <w:r w:rsidR="001B1FEB" w:rsidRPr="003C3888">
              <w:t>, Part III, Subpart iv, 8.E.1</w:t>
            </w:r>
            <w:r w:rsidRPr="003C3888">
              <w:t>, and</w:t>
            </w:r>
          </w:p>
          <w:p w14:paraId="00E783D7" w14:textId="77777777" w:rsidR="0044620F" w:rsidRPr="003C3888" w:rsidRDefault="00F253BB" w:rsidP="004E1259">
            <w:pPr>
              <w:numPr>
                <w:ilvl w:val="0"/>
                <w:numId w:val="2"/>
              </w:numPr>
              <w:rPr>
                <w:szCs w:val="20"/>
              </w:rPr>
            </w:pPr>
            <w:r w:rsidRPr="003C3888">
              <w:t xml:space="preserve">an examination scheduled in connection with an original or reopened claim or a claim for increase, see </w:t>
            </w:r>
          </w:p>
          <w:p w14:paraId="30DF49AF" w14:textId="77777777" w:rsidR="004E1259" w:rsidRPr="003C3888" w:rsidRDefault="003C3888" w:rsidP="0044620F">
            <w:pPr>
              <w:pStyle w:val="BulletText2"/>
            </w:pPr>
            <w:hyperlink r:id="rId17" w:history="1">
              <w:r w:rsidR="004E1259" w:rsidRPr="003C3888">
                <w:rPr>
                  <w:color w:val="0000FF"/>
                  <w:u w:val="single"/>
                </w:rPr>
                <w:t>38 CFR 3.655(b)</w:t>
              </w:r>
            </w:hyperlink>
            <w:r w:rsidR="0044620F" w:rsidRPr="003C3888">
              <w:t>, and</w:t>
            </w:r>
          </w:p>
          <w:p w14:paraId="5A8CAD6C" w14:textId="38956765" w:rsidR="0044620F" w:rsidRPr="003C3888" w:rsidRDefault="0044620F" w:rsidP="0044620F">
            <w:pPr>
              <w:pStyle w:val="BulletText2"/>
            </w:pPr>
            <w:r w:rsidRPr="003C3888">
              <w:t>M21-1, Part I, 1.C.3.</w:t>
            </w:r>
            <w:r w:rsidR="003278E3" w:rsidRPr="003C3888">
              <w:t>k-p.</w:t>
            </w:r>
          </w:p>
        </w:tc>
      </w:tr>
    </w:tbl>
    <w:p w14:paraId="4DB3E6D4" w14:textId="404D1C3C" w:rsidR="004E1259" w:rsidRPr="003C3888" w:rsidRDefault="004E1259" w:rsidP="004E1259">
      <w:pPr>
        <w:pBdr>
          <w:top w:val="single" w:sz="6" w:space="1" w:color="000000"/>
          <w:between w:val="single" w:sz="6" w:space="1" w:color="auto"/>
        </w:pBdr>
        <w:spacing w:before="240"/>
        <w:ind w:left="1720"/>
        <w:rPr>
          <w:szCs w:val="20"/>
        </w:rPr>
      </w:pPr>
    </w:p>
    <w:tbl>
      <w:tblPr>
        <w:tblW w:w="0" w:type="auto"/>
        <w:tblLayout w:type="fixed"/>
        <w:tblLook w:val="0000" w:firstRow="0" w:lastRow="0" w:firstColumn="0" w:lastColumn="0" w:noHBand="0" w:noVBand="0"/>
      </w:tblPr>
      <w:tblGrid>
        <w:gridCol w:w="1728"/>
        <w:gridCol w:w="7740"/>
      </w:tblGrid>
      <w:tr w:rsidR="004E1259" w:rsidRPr="003C3888" w14:paraId="3F6F6FE0" w14:textId="77777777" w:rsidTr="00784463">
        <w:tc>
          <w:tcPr>
            <w:tcW w:w="1728" w:type="dxa"/>
            <w:shd w:val="clear" w:color="auto" w:fill="auto"/>
          </w:tcPr>
          <w:p w14:paraId="09AB37A6" w14:textId="77777777" w:rsidR="004E1259" w:rsidRPr="003C3888" w:rsidRDefault="004E1259" w:rsidP="004E1259">
            <w:pPr>
              <w:outlineLvl w:val="4"/>
              <w:rPr>
                <w:b/>
                <w:sz w:val="22"/>
                <w:szCs w:val="20"/>
              </w:rPr>
            </w:pPr>
            <w:r w:rsidRPr="003C3888">
              <w:rPr>
                <w:b/>
                <w:sz w:val="22"/>
                <w:szCs w:val="20"/>
              </w:rPr>
              <w:t>b.  Purpose and Elements of a VA Disability Examination</w:t>
            </w:r>
          </w:p>
        </w:tc>
        <w:tc>
          <w:tcPr>
            <w:tcW w:w="7740" w:type="dxa"/>
            <w:shd w:val="clear" w:color="auto" w:fill="auto"/>
          </w:tcPr>
          <w:p w14:paraId="08828C9C" w14:textId="77777777" w:rsidR="004E1259" w:rsidRPr="003C3888" w:rsidRDefault="004E1259" w:rsidP="004E1259">
            <w:r w:rsidRPr="003C3888">
              <w:t xml:space="preserve">A VA disability </w:t>
            </w:r>
            <w:r w:rsidRPr="003C3888">
              <w:rPr>
                <w:bCs/>
                <w:iCs/>
              </w:rPr>
              <w:t>examination</w:t>
            </w:r>
            <w:r w:rsidRPr="003C3888">
              <w:t xml:space="preserve"> is necessary to determine whether or not a claimed disability actually exists and its functional effects on the Veteran.</w:t>
            </w:r>
          </w:p>
          <w:p w14:paraId="13590415" w14:textId="77777777" w:rsidR="004E1259" w:rsidRPr="003C3888" w:rsidRDefault="004E1259" w:rsidP="004E1259"/>
          <w:p w14:paraId="58FE5113" w14:textId="77777777" w:rsidR="004E1259" w:rsidRPr="003C3888" w:rsidRDefault="004E1259" w:rsidP="004E1259">
            <w:r w:rsidRPr="003C3888">
              <w:t xml:space="preserve">The examination report typically consists of a medical history, physical </w:t>
            </w:r>
            <w:r w:rsidRPr="003C3888">
              <w:lastRenderedPageBreak/>
              <w:t>and/or mental assessment and laboratory tests to ascertain the state of health of the Veteran.</w:t>
            </w:r>
          </w:p>
          <w:p w14:paraId="2F792FA1" w14:textId="77777777" w:rsidR="004E1259" w:rsidRPr="003C3888" w:rsidRDefault="004E1259" w:rsidP="004E1259"/>
          <w:p w14:paraId="5724F247" w14:textId="77777777" w:rsidR="004E1259" w:rsidRPr="003C3888" w:rsidRDefault="004E1259" w:rsidP="004E1259">
            <w:r w:rsidRPr="003C3888">
              <w:rPr>
                <w:b/>
                <w:i/>
              </w:rPr>
              <w:t>Note</w:t>
            </w:r>
            <w:r w:rsidRPr="003C3888">
              <w:t>:  An examination may also include periods of hospital observation.</w:t>
            </w:r>
          </w:p>
        </w:tc>
      </w:tr>
    </w:tbl>
    <w:p w14:paraId="3123B54C" w14:textId="6940F64C" w:rsidR="004E1259" w:rsidRPr="003C3888" w:rsidRDefault="004E1259" w:rsidP="004E1259">
      <w:pPr>
        <w:pBdr>
          <w:top w:val="single" w:sz="6" w:space="1" w:color="000000"/>
          <w:between w:val="single" w:sz="6" w:space="1" w:color="auto"/>
        </w:pBdr>
        <w:spacing w:before="240"/>
        <w:ind w:left="1720"/>
        <w:rPr>
          <w:szCs w:val="20"/>
        </w:rPr>
      </w:pPr>
    </w:p>
    <w:tbl>
      <w:tblPr>
        <w:tblW w:w="0" w:type="auto"/>
        <w:tblLayout w:type="fixed"/>
        <w:tblLook w:val="0000" w:firstRow="0" w:lastRow="0" w:firstColumn="0" w:lastColumn="0" w:noHBand="0" w:noVBand="0"/>
      </w:tblPr>
      <w:tblGrid>
        <w:gridCol w:w="1728"/>
        <w:gridCol w:w="7740"/>
      </w:tblGrid>
      <w:tr w:rsidR="004E1259" w:rsidRPr="003C3888" w14:paraId="219A04B7" w14:textId="77777777" w:rsidTr="00082C21">
        <w:trPr>
          <w:cantSplit/>
        </w:trPr>
        <w:tc>
          <w:tcPr>
            <w:tcW w:w="1728" w:type="dxa"/>
            <w:shd w:val="clear" w:color="auto" w:fill="auto"/>
          </w:tcPr>
          <w:p w14:paraId="41EF050B" w14:textId="77777777" w:rsidR="004E1259" w:rsidRPr="003C3888" w:rsidRDefault="004E1259" w:rsidP="004E1259">
            <w:pPr>
              <w:outlineLvl w:val="4"/>
              <w:rPr>
                <w:b/>
                <w:sz w:val="22"/>
                <w:szCs w:val="20"/>
              </w:rPr>
            </w:pPr>
            <w:r w:rsidRPr="003C3888">
              <w:rPr>
                <w:b/>
                <w:sz w:val="22"/>
                <w:szCs w:val="20"/>
              </w:rPr>
              <w:t>c.  Review of Returned Mail Notifying the Veteran of a Scheduled Examination</w:t>
            </w:r>
          </w:p>
        </w:tc>
        <w:tc>
          <w:tcPr>
            <w:tcW w:w="7740" w:type="dxa"/>
            <w:shd w:val="clear" w:color="auto" w:fill="auto"/>
          </w:tcPr>
          <w:p w14:paraId="09A14812" w14:textId="108CE7B9" w:rsidR="004E1259" w:rsidRPr="003C3888" w:rsidRDefault="004E1259" w:rsidP="004E1259">
            <w:r w:rsidRPr="003C3888">
              <w:t xml:space="preserve">If a VA medical facility advises that mail notifying a Veteran of a scheduled VA examination has been returned because the Postal Service reported the letter was undeliverable at the address provided, review the claims folder and </w:t>
            </w:r>
            <w:r w:rsidR="00082C21" w:rsidRPr="003C3888">
              <w:t>Share</w:t>
            </w:r>
            <w:r w:rsidRPr="003C3888">
              <w:t xml:space="preserve"> to determine whether</w:t>
            </w:r>
          </w:p>
          <w:p w14:paraId="0B56A28C" w14:textId="77777777" w:rsidR="004E1259" w:rsidRPr="003C3888" w:rsidRDefault="004E1259" w:rsidP="004E1259"/>
          <w:p w14:paraId="15A69DB1" w14:textId="77777777" w:rsidR="004E1259" w:rsidRPr="003C3888" w:rsidRDefault="004E1259" w:rsidP="004E1259">
            <w:pPr>
              <w:numPr>
                <w:ilvl w:val="0"/>
                <w:numId w:val="2"/>
              </w:numPr>
              <w:rPr>
                <w:szCs w:val="20"/>
              </w:rPr>
            </w:pPr>
            <w:r w:rsidRPr="003C3888">
              <w:rPr>
                <w:szCs w:val="20"/>
              </w:rPr>
              <w:t>the mail was erroneously addressed</w:t>
            </w:r>
          </w:p>
          <w:p w14:paraId="33FC580F" w14:textId="77777777" w:rsidR="004E1259" w:rsidRPr="003C3888" w:rsidRDefault="004E1259" w:rsidP="004E1259">
            <w:pPr>
              <w:numPr>
                <w:ilvl w:val="0"/>
                <w:numId w:val="2"/>
              </w:numPr>
              <w:rPr>
                <w:szCs w:val="20"/>
              </w:rPr>
            </w:pPr>
            <w:r w:rsidRPr="003C3888">
              <w:rPr>
                <w:szCs w:val="20"/>
              </w:rPr>
              <w:t xml:space="preserve">a more recent address is of record, or </w:t>
            </w:r>
          </w:p>
          <w:p w14:paraId="72CAF93C" w14:textId="77777777" w:rsidR="004E1259" w:rsidRPr="003C3888" w:rsidRDefault="004E1259" w:rsidP="004E1259">
            <w:pPr>
              <w:numPr>
                <w:ilvl w:val="0"/>
                <w:numId w:val="2"/>
              </w:numPr>
              <w:rPr>
                <w:szCs w:val="20"/>
              </w:rPr>
            </w:pPr>
            <w:r w:rsidRPr="003C3888">
              <w:rPr>
                <w:szCs w:val="20"/>
              </w:rPr>
              <w:t xml:space="preserve">a valid address is available from non-VA sources, such as the Internet or telephone directory assistance.  </w:t>
            </w:r>
          </w:p>
          <w:p w14:paraId="6FC85F11" w14:textId="77777777" w:rsidR="004E1259" w:rsidRPr="003C3888" w:rsidRDefault="004E1259" w:rsidP="004E1259"/>
          <w:p w14:paraId="74F3FB25" w14:textId="0C66765B" w:rsidR="004E1259" w:rsidRPr="003C3888" w:rsidRDefault="004E1259" w:rsidP="004E1259">
            <w:r w:rsidRPr="003C3888">
              <w:rPr>
                <w:b/>
                <w:i/>
              </w:rPr>
              <w:t>Notes</w:t>
            </w:r>
            <w:r w:rsidRPr="003C3888">
              <w:t>:</w:t>
            </w:r>
          </w:p>
          <w:p w14:paraId="737EBA7C" w14:textId="7AE14F3E" w:rsidR="00D06993" w:rsidRPr="003C3888" w:rsidRDefault="003F3CA0" w:rsidP="00ED15E1">
            <w:pPr>
              <w:pStyle w:val="BulletText1"/>
            </w:pPr>
            <w:r w:rsidRPr="003C3888">
              <w:t xml:space="preserve">VA is authorized to </w:t>
            </w:r>
            <w:r w:rsidR="00D06993" w:rsidRPr="003C3888">
              <w:t>use an approved</w:t>
            </w:r>
            <w:r w:rsidR="00ED15E1" w:rsidRPr="003C3888">
              <w:t xml:space="preserve"> </w:t>
            </w:r>
            <w:r w:rsidR="00D06993" w:rsidRPr="003C3888">
              <w:t>Internet address locator service</w:t>
            </w:r>
            <w:r w:rsidR="00ED15E1" w:rsidRPr="003C3888">
              <w:t xml:space="preserve"> </w:t>
            </w:r>
            <w:r w:rsidR="00D06993" w:rsidRPr="003C3888">
              <w:t xml:space="preserve">to obtain contact information for claimants. </w:t>
            </w:r>
          </w:p>
          <w:p w14:paraId="31A8492F" w14:textId="10F14BBE" w:rsidR="00685FB8" w:rsidRPr="003C3888" w:rsidRDefault="003F3CA0" w:rsidP="003F3CA0">
            <w:pPr>
              <w:numPr>
                <w:ilvl w:val="0"/>
                <w:numId w:val="2"/>
              </w:numPr>
              <w:rPr>
                <w:szCs w:val="20"/>
              </w:rPr>
            </w:pPr>
            <w:r w:rsidRPr="003C3888">
              <w:rPr>
                <w:szCs w:val="20"/>
              </w:rPr>
              <w:t xml:space="preserve">The </w:t>
            </w:r>
            <w:r w:rsidR="00381E75" w:rsidRPr="003C3888">
              <w:rPr>
                <w:szCs w:val="20"/>
              </w:rPr>
              <w:t>Director</w:t>
            </w:r>
            <w:r w:rsidR="00360806" w:rsidRPr="003C3888">
              <w:rPr>
                <w:szCs w:val="20"/>
              </w:rPr>
              <w:t xml:space="preserve"> or Veteran Service Center Manager (</w:t>
            </w:r>
            <w:r w:rsidR="00381E75" w:rsidRPr="003C3888">
              <w:rPr>
                <w:szCs w:val="20"/>
              </w:rPr>
              <w:t>VSCM</w:t>
            </w:r>
            <w:r w:rsidR="00CB2574" w:rsidRPr="003C3888">
              <w:rPr>
                <w:szCs w:val="20"/>
              </w:rPr>
              <w:t>) of a</w:t>
            </w:r>
            <w:r w:rsidR="00360806" w:rsidRPr="003C3888">
              <w:rPr>
                <w:szCs w:val="20"/>
              </w:rPr>
              <w:t xml:space="preserve"> regional office (RO) will</w:t>
            </w:r>
            <w:r w:rsidR="00381E75" w:rsidRPr="003C3888">
              <w:rPr>
                <w:szCs w:val="20"/>
              </w:rPr>
              <w:t xml:space="preserve"> </w:t>
            </w:r>
            <w:r w:rsidR="00360806" w:rsidRPr="003C3888">
              <w:rPr>
                <w:szCs w:val="20"/>
              </w:rPr>
              <w:t>assign designated employees</w:t>
            </w:r>
            <w:r w:rsidRPr="003C3888">
              <w:rPr>
                <w:szCs w:val="20"/>
              </w:rPr>
              <w:t xml:space="preserve"> </w:t>
            </w:r>
            <w:r w:rsidR="00360806" w:rsidRPr="003C3888">
              <w:rPr>
                <w:szCs w:val="20"/>
              </w:rPr>
              <w:t>to</w:t>
            </w:r>
            <w:r w:rsidRPr="003C3888">
              <w:rPr>
                <w:szCs w:val="20"/>
              </w:rPr>
              <w:t xml:space="preserve"> have access to the </w:t>
            </w:r>
            <w:r w:rsidR="00D06993" w:rsidRPr="003C3888">
              <w:rPr>
                <w:szCs w:val="20"/>
              </w:rPr>
              <w:t xml:space="preserve">approved </w:t>
            </w:r>
            <w:r w:rsidR="00360806" w:rsidRPr="003C3888">
              <w:rPr>
                <w:szCs w:val="20"/>
              </w:rPr>
              <w:t xml:space="preserve">address locator service. </w:t>
            </w:r>
          </w:p>
          <w:p w14:paraId="68ED6E80" w14:textId="77777777" w:rsidR="004E1259" w:rsidRPr="003C3888" w:rsidRDefault="004E1259" w:rsidP="0089440B">
            <w:pPr>
              <w:pStyle w:val="ListParagraph"/>
              <w:numPr>
                <w:ilvl w:val="0"/>
                <w:numId w:val="14"/>
              </w:numPr>
              <w:ind w:left="158" w:hanging="187"/>
              <w:rPr>
                <w:szCs w:val="20"/>
              </w:rPr>
            </w:pPr>
            <w:r w:rsidRPr="003C3888">
              <w:rPr>
                <w:szCs w:val="20"/>
              </w:rPr>
              <w:t>If the Veteran receives VA benefits via direct deposit/electronic funds transfer (DD/EFT), send a letter to the Veteran’s financial institution (FI) asking for a current mailing address.</w:t>
            </w:r>
          </w:p>
          <w:p w14:paraId="77B50382" w14:textId="77777777" w:rsidR="004E1259" w:rsidRPr="003C3888" w:rsidRDefault="004E1259" w:rsidP="004E1259"/>
          <w:p w14:paraId="7654785A" w14:textId="6EB30946" w:rsidR="00B2717C" w:rsidRPr="003C3888" w:rsidRDefault="004E1259" w:rsidP="004E1259">
            <w:r w:rsidRPr="003C3888">
              <w:rPr>
                <w:b/>
                <w:i/>
              </w:rPr>
              <w:t>Reference</w:t>
            </w:r>
            <w:r w:rsidRPr="003C3888">
              <w:t xml:space="preserve">:  For sample language for the letter to the FI, see </w:t>
            </w:r>
            <w:r w:rsidR="00ED15E1" w:rsidRPr="003C3888">
              <w:t>M21-1, Part X, 8.5</w:t>
            </w:r>
            <w:r w:rsidRPr="003C3888">
              <w:t>.</w:t>
            </w:r>
          </w:p>
        </w:tc>
      </w:tr>
    </w:tbl>
    <w:p w14:paraId="2CB3A93D" w14:textId="7C35ACE7" w:rsidR="004E1259" w:rsidRPr="003C3888" w:rsidRDefault="004E1259" w:rsidP="004E1259">
      <w:pPr>
        <w:pBdr>
          <w:top w:val="single" w:sz="6" w:space="1" w:color="000000"/>
          <w:between w:val="single" w:sz="6" w:space="1" w:color="auto"/>
        </w:pBdr>
        <w:spacing w:before="240"/>
        <w:ind w:left="1720"/>
        <w:rPr>
          <w:szCs w:val="20"/>
        </w:rPr>
      </w:pPr>
    </w:p>
    <w:tbl>
      <w:tblPr>
        <w:tblW w:w="0" w:type="auto"/>
        <w:tblLayout w:type="fixed"/>
        <w:tblLook w:val="0000" w:firstRow="0" w:lastRow="0" w:firstColumn="0" w:lastColumn="0" w:noHBand="0" w:noVBand="0"/>
      </w:tblPr>
      <w:tblGrid>
        <w:gridCol w:w="1728"/>
        <w:gridCol w:w="7740"/>
      </w:tblGrid>
      <w:tr w:rsidR="004E1259" w:rsidRPr="003C3888" w14:paraId="18DE80F9" w14:textId="77777777" w:rsidTr="00082C21">
        <w:trPr>
          <w:cantSplit/>
        </w:trPr>
        <w:tc>
          <w:tcPr>
            <w:tcW w:w="1728" w:type="dxa"/>
            <w:shd w:val="clear" w:color="auto" w:fill="auto"/>
          </w:tcPr>
          <w:p w14:paraId="03704AF4" w14:textId="77777777" w:rsidR="004E1259" w:rsidRPr="003C3888" w:rsidRDefault="004E1259" w:rsidP="004E1259">
            <w:pPr>
              <w:outlineLvl w:val="4"/>
              <w:rPr>
                <w:b/>
                <w:sz w:val="22"/>
                <w:szCs w:val="20"/>
              </w:rPr>
            </w:pPr>
            <w:r w:rsidRPr="003C3888">
              <w:rPr>
                <w:b/>
                <w:sz w:val="22"/>
                <w:szCs w:val="20"/>
              </w:rPr>
              <w:t>d.  Action Taken After Attempting to Locate a Better Address</w:t>
            </w:r>
          </w:p>
        </w:tc>
        <w:tc>
          <w:tcPr>
            <w:tcW w:w="7740" w:type="dxa"/>
            <w:shd w:val="clear" w:color="auto" w:fill="auto"/>
          </w:tcPr>
          <w:p w14:paraId="05F81230" w14:textId="77777777" w:rsidR="004E1259" w:rsidRPr="003C3888" w:rsidRDefault="004E1259" w:rsidP="004E1259">
            <w:r w:rsidRPr="003C3888">
              <w:t>Use the table below to determine the action to take after attempting to locate a better address.</w:t>
            </w:r>
          </w:p>
        </w:tc>
      </w:tr>
    </w:tbl>
    <w:p w14:paraId="2B069984" w14:textId="77777777" w:rsidR="004E1259" w:rsidRPr="003C3888" w:rsidRDefault="004E1259" w:rsidP="004E1259"/>
    <w:tbl>
      <w:tblPr>
        <w:tblW w:w="7596" w:type="dxa"/>
        <w:tblInd w:w="1872" w:type="dxa"/>
        <w:tblLayout w:type="fixed"/>
        <w:tblCellMar>
          <w:left w:w="80" w:type="dxa"/>
          <w:right w:w="80" w:type="dxa"/>
        </w:tblCellMar>
        <w:tblLook w:val="0000" w:firstRow="0" w:lastRow="0" w:firstColumn="0" w:lastColumn="0" w:noHBand="0" w:noVBand="0"/>
      </w:tblPr>
      <w:tblGrid>
        <w:gridCol w:w="2884"/>
        <w:gridCol w:w="4712"/>
      </w:tblGrid>
      <w:tr w:rsidR="004E1259" w:rsidRPr="003C3888" w14:paraId="6C37C1AA" w14:textId="77777777" w:rsidTr="00B53E30">
        <w:tc>
          <w:tcPr>
            <w:tcW w:w="2870" w:type="dxa"/>
            <w:tcBorders>
              <w:top w:val="single" w:sz="6" w:space="0" w:color="auto"/>
              <w:left w:val="single" w:sz="6" w:space="0" w:color="auto"/>
              <w:bottom w:val="single" w:sz="6" w:space="0" w:color="auto"/>
              <w:right w:val="single" w:sz="6" w:space="0" w:color="auto"/>
            </w:tcBorders>
            <w:shd w:val="clear" w:color="auto" w:fill="auto"/>
          </w:tcPr>
          <w:p w14:paraId="373C1440" w14:textId="77777777" w:rsidR="004E1259" w:rsidRPr="003C3888" w:rsidRDefault="004E1259" w:rsidP="004E1259">
            <w:pPr>
              <w:rPr>
                <w:b/>
                <w:szCs w:val="20"/>
              </w:rPr>
            </w:pPr>
            <w:r w:rsidRPr="003C3888">
              <w:rPr>
                <w:b/>
                <w:szCs w:val="20"/>
              </w:rPr>
              <w:t>If a better address is …</w:t>
            </w:r>
          </w:p>
        </w:tc>
        <w:tc>
          <w:tcPr>
            <w:tcW w:w="4690" w:type="dxa"/>
            <w:tcBorders>
              <w:top w:val="single" w:sz="6" w:space="0" w:color="auto"/>
              <w:left w:val="single" w:sz="6" w:space="0" w:color="auto"/>
              <w:bottom w:val="single" w:sz="6" w:space="0" w:color="auto"/>
              <w:right w:val="single" w:sz="6" w:space="0" w:color="auto"/>
            </w:tcBorders>
            <w:shd w:val="clear" w:color="auto" w:fill="auto"/>
          </w:tcPr>
          <w:p w14:paraId="16E1B70A" w14:textId="77777777" w:rsidR="004E1259" w:rsidRPr="003C3888" w:rsidRDefault="004E1259" w:rsidP="004E1259">
            <w:pPr>
              <w:rPr>
                <w:b/>
                <w:szCs w:val="20"/>
              </w:rPr>
            </w:pPr>
            <w:r w:rsidRPr="003C3888">
              <w:rPr>
                <w:b/>
                <w:szCs w:val="20"/>
              </w:rPr>
              <w:t>Then …</w:t>
            </w:r>
          </w:p>
        </w:tc>
      </w:tr>
      <w:tr w:rsidR="004E1259" w:rsidRPr="003C3888" w14:paraId="797B19C9" w14:textId="77777777" w:rsidTr="00B53E30">
        <w:tc>
          <w:tcPr>
            <w:tcW w:w="2870" w:type="dxa"/>
            <w:tcBorders>
              <w:top w:val="single" w:sz="6" w:space="0" w:color="auto"/>
              <w:left w:val="single" w:sz="6" w:space="0" w:color="auto"/>
              <w:bottom w:val="single" w:sz="6" w:space="0" w:color="auto"/>
              <w:right w:val="single" w:sz="6" w:space="0" w:color="auto"/>
            </w:tcBorders>
          </w:tcPr>
          <w:p w14:paraId="320D7817" w14:textId="77777777" w:rsidR="004E1259" w:rsidRPr="003C3888" w:rsidRDefault="004E1259" w:rsidP="004E1259">
            <w:pPr>
              <w:rPr>
                <w:szCs w:val="20"/>
              </w:rPr>
            </w:pPr>
            <w:r w:rsidRPr="003C3888">
              <w:rPr>
                <w:szCs w:val="20"/>
              </w:rPr>
              <w:t>identified</w:t>
            </w:r>
          </w:p>
        </w:tc>
        <w:tc>
          <w:tcPr>
            <w:tcW w:w="4690" w:type="dxa"/>
            <w:tcBorders>
              <w:top w:val="single" w:sz="6" w:space="0" w:color="auto"/>
              <w:left w:val="single" w:sz="6" w:space="0" w:color="auto"/>
              <w:bottom w:val="single" w:sz="6" w:space="0" w:color="auto"/>
              <w:right w:val="single" w:sz="6" w:space="0" w:color="auto"/>
            </w:tcBorders>
          </w:tcPr>
          <w:p w14:paraId="49C4E265" w14:textId="77777777" w:rsidR="004E1259" w:rsidRPr="003C3888" w:rsidRDefault="004E1259" w:rsidP="004E1259">
            <w:pPr>
              <w:numPr>
                <w:ilvl w:val="0"/>
                <w:numId w:val="2"/>
              </w:numPr>
              <w:rPr>
                <w:szCs w:val="20"/>
              </w:rPr>
            </w:pPr>
            <w:r w:rsidRPr="003C3888">
              <w:rPr>
                <w:szCs w:val="20"/>
              </w:rPr>
              <w:t>provide the new address to the VA medical facility</w:t>
            </w:r>
          </w:p>
          <w:p w14:paraId="212E26F1" w14:textId="77777777" w:rsidR="004E1259" w:rsidRPr="003C3888" w:rsidRDefault="004E1259" w:rsidP="004E1259">
            <w:pPr>
              <w:numPr>
                <w:ilvl w:val="0"/>
                <w:numId w:val="2"/>
              </w:numPr>
              <w:rPr>
                <w:szCs w:val="20"/>
              </w:rPr>
            </w:pPr>
            <w:r w:rsidRPr="003C3888">
              <w:rPr>
                <w:szCs w:val="20"/>
              </w:rPr>
              <w:t xml:space="preserve">request that the VA medical facility </w:t>
            </w:r>
          </w:p>
          <w:p w14:paraId="0298B4C3" w14:textId="77777777" w:rsidR="004E1259" w:rsidRPr="003C3888" w:rsidRDefault="004E1259" w:rsidP="004E1259">
            <w:pPr>
              <w:numPr>
                <w:ilvl w:val="0"/>
                <w:numId w:val="3"/>
              </w:numPr>
              <w:rPr>
                <w:szCs w:val="20"/>
              </w:rPr>
            </w:pPr>
            <w:r w:rsidRPr="003C3888">
              <w:rPr>
                <w:szCs w:val="20"/>
              </w:rPr>
              <w:t>reschedule the examination, and</w:t>
            </w:r>
          </w:p>
          <w:p w14:paraId="375B3BB6" w14:textId="77777777" w:rsidR="004E1259" w:rsidRPr="003C3888" w:rsidRDefault="004E1259" w:rsidP="004E1259">
            <w:pPr>
              <w:numPr>
                <w:ilvl w:val="0"/>
                <w:numId w:val="3"/>
              </w:numPr>
              <w:rPr>
                <w:szCs w:val="20"/>
              </w:rPr>
            </w:pPr>
            <w:r w:rsidRPr="003C3888">
              <w:rPr>
                <w:szCs w:val="20"/>
              </w:rPr>
              <w:t>notify the Veteran at the new address of the pending examination, and</w:t>
            </w:r>
          </w:p>
          <w:p w14:paraId="420E88AA" w14:textId="77777777" w:rsidR="004E1259" w:rsidRPr="003C3888" w:rsidRDefault="004E1259" w:rsidP="004E1259">
            <w:pPr>
              <w:numPr>
                <w:ilvl w:val="0"/>
                <w:numId w:val="2"/>
              </w:numPr>
              <w:rPr>
                <w:szCs w:val="20"/>
              </w:rPr>
            </w:pPr>
            <w:r w:rsidRPr="003C3888">
              <w:rPr>
                <w:szCs w:val="20"/>
              </w:rPr>
              <w:t>update</w:t>
            </w:r>
          </w:p>
          <w:p w14:paraId="429DC08B" w14:textId="016C9D4B" w:rsidR="004E1259" w:rsidRPr="003C3888" w:rsidRDefault="004E1259" w:rsidP="004E1259">
            <w:pPr>
              <w:numPr>
                <w:ilvl w:val="0"/>
                <w:numId w:val="3"/>
              </w:numPr>
              <w:rPr>
                <w:szCs w:val="20"/>
              </w:rPr>
            </w:pPr>
            <w:r w:rsidRPr="003C3888">
              <w:rPr>
                <w:szCs w:val="20"/>
              </w:rPr>
              <w:t xml:space="preserve">the pending issue file (PIF) (which also updates </w:t>
            </w:r>
            <w:r w:rsidR="00F153B0" w:rsidRPr="003C3888">
              <w:rPr>
                <w:szCs w:val="20"/>
              </w:rPr>
              <w:t>the corporate record in Share</w:t>
            </w:r>
            <w:r w:rsidRPr="003C3888">
              <w:rPr>
                <w:szCs w:val="20"/>
              </w:rPr>
              <w:t>), and</w:t>
            </w:r>
          </w:p>
          <w:p w14:paraId="38F065B8" w14:textId="6577B897" w:rsidR="004E1259" w:rsidRPr="003C3888" w:rsidRDefault="004E1259" w:rsidP="004E1259">
            <w:pPr>
              <w:numPr>
                <w:ilvl w:val="0"/>
                <w:numId w:val="3"/>
              </w:numPr>
              <w:rPr>
                <w:szCs w:val="20"/>
              </w:rPr>
            </w:pPr>
            <w:r w:rsidRPr="003C3888">
              <w:rPr>
                <w:szCs w:val="20"/>
              </w:rPr>
              <w:t>Modern Awards Processing-Development (MAP-D)</w:t>
            </w:r>
            <w:r w:rsidR="001B1FEB" w:rsidRPr="003C3888">
              <w:rPr>
                <w:szCs w:val="20"/>
              </w:rPr>
              <w:t xml:space="preserve"> or </w:t>
            </w:r>
            <w:r w:rsidR="00CB2574" w:rsidRPr="003C3888">
              <w:rPr>
                <w:szCs w:val="20"/>
              </w:rPr>
              <w:t xml:space="preserve">the </w:t>
            </w:r>
            <w:r w:rsidR="001B1FEB" w:rsidRPr="003C3888">
              <w:rPr>
                <w:szCs w:val="20"/>
              </w:rPr>
              <w:t>Veterans Benefits Management System (VBMS)</w:t>
            </w:r>
            <w:r w:rsidRPr="003C3888">
              <w:rPr>
                <w:szCs w:val="20"/>
              </w:rPr>
              <w:t>.</w:t>
            </w:r>
          </w:p>
        </w:tc>
      </w:tr>
      <w:tr w:rsidR="004E1259" w:rsidRPr="003C3888" w14:paraId="2F1C12D0" w14:textId="77777777" w:rsidTr="00B53E30">
        <w:tc>
          <w:tcPr>
            <w:tcW w:w="2870" w:type="dxa"/>
            <w:tcBorders>
              <w:top w:val="single" w:sz="6" w:space="0" w:color="auto"/>
              <w:left w:val="single" w:sz="6" w:space="0" w:color="auto"/>
              <w:bottom w:val="single" w:sz="6" w:space="0" w:color="auto"/>
              <w:right w:val="single" w:sz="6" w:space="0" w:color="auto"/>
            </w:tcBorders>
          </w:tcPr>
          <w:p w14:paraId="02991AFA" w14:textId="77777777" w:rsidR="004E1259" w:rsidRPr="003C3888" w:rsidRDefault="004E1259" w:rsidP="004E1259">
            <w:pPr>
              <w:rPr>
                <w:szCs w:val="20"/>
              </w:rPr>
            </w:pPr>
            <w:r w:rsidRPr="003C3888">
              <w:rPr>
                <w:szCs w:val="20"/>
              </w:rPr>
              <w:lastRenderedPageBreak/>
              <w:t>not identified</w:t>
            </w:r>
          </w:p>
        </w:tc>
        <w:tc>
          <w:tcPr>
            <w:tcW w:w="4690" w:type="dxa"/>
            <w:tcBorders>
              <w:top w:val="single" w:sz="6" w:space="0" w:color="auto"/>
              <w:left w:val="single" w:sz="6" w:space="0" w:color="auto"/>
              <w:bottom w:val="single" w:sz="6" w:space="0" w:color="auto"/>
              <w:right w:val="single" w:sz="6" w:space="0" w:color="auto"/>
            </w:tcBorders>
          </w:tcPr>
          <w:p w14:paraId="46AC8BF6" w14:textId="77777777" w:rsidR="004E1259" w:rsidRPr="003C3888" w:rsidRDefault="004E1259" w:rsidP="004E1259">
            <w:pPr>
              <w:rPr>
                <w:szCs w:val="20"/>
              </w:rPr>
            </w:pPr>
            <w:r w:rsidRPr="003C3888">
              <w:rPr>
                <w:szCs w:val="20"/>
              </w:rPr>
              <w:t xml:space="preserve">take the action shown in </w:t>
            </w:r>
          </w:p>
          <w:p w14:paraId="64823D7A" w14:textId="77777777" w:rsidR="004E1259" w:rsidRPr="003C3888" w:rsidRDefault="004E1259" w:rsidP="004E1259">
            <w:pPr>
              <w:rPr>
                <w:szCs w:val="20"/>
              </w:rPr>
            </w:pPr>
          </w:p>
          <w:p w14:paraId="737D4B62" w14:textId="723D9948" w:rsidR="004E1259" w:rsidRPr="003C3888" w:rsidRDefault="00BB3664" w:rsidP="004E1259">
            <w:pPr>
              <w:numPr>
                <w:ilvl w:val="0"/>
                <w:numId w:val="2"/>
              </w:numPr>
              <w:rPr>
                <w:color w:val="auto"/>
                <w:szCs w:val="20"/>
              </w:rPr>
            </w:pPr>
            <w:r w:rsidRPr="003C3888">
              <w:rPr>
                <w:color w:val="auto"/>
                <w:szCs w:val="20"/>
              </w:rPr>
              <w:t>M21-1, Part IV, Subpart ii, 3.B.3.e</w:t>
            </w:r>
            <w:r w:rsidR="004E1259" w:rsidRPr="003C3888">
              <w:rPr>
                <w:color w:val="auto"/>
                <w:szCs w:val="20"/>
              </w:rPr>
              <w:t>, and</w:t>
            </w:r>
          </w:p>
          <w:p w14:paraId="28C1D52E" w14:textId="402E5804" w:rsidR="004E1259" w:rsidRPr="003C3888" w:rsidRDefault="003C3888" w:rsidP="00BB3664">
            <w:pPr>
              <w:numPr>
                <w:ilvl w:val="0"/>
                <w:numId w:val="2"/>
              </w:numPr>
              <w:rPr>
                <w:szCs w:val="20"/>
              </w:rPr>
            </w:pPr>
            <w:hyperlink r:id="rId18" w:history="1">
              <w:r w:rsidR="004E1259" w:rsidRPr="003C3888">
                <w:rPr>
                  <w:color w:val="auto"/>
                  <w:szCs w:val="20"/>
                </w:rPr>
                <w:t>M21-1</w:t>
              </w:r>
              <w:r w:rsidR="001B1FEB" w:rsidRPr="003C3888">
                <w:rPr>
                  <w:color w:val="auto"/>
                  <w:szCs w:val="20"/>
                </w:rPr>
                <w:t>, Part IV, Subpart ii, 3.B.3</w:t>
              </w:r>
              <w:r w:rsidR="004E1259" w:rsidRPr="003C3888">
                <w:rPr>
                  <w:color w:val="auto"/>
                  <w:szCs w:val="20"/>
                </w:rPr>
                <w:t>.f</w:t>
              </w:r>
            </w:hyperlink>
            <w:r w:rsidR="004E1259" w:rsidRPr="003C3888">
              <w:rPr>
                <w:color w:val="auto"/>
                <w:szCs w:val="20"/>
              </w:rPr>
              <w:t>.</w:t>
            </w:r>
          </w:p>
        </w:tc>
      </w:tr>
    </w:tbl>
    <w:p w14:paraId="7275C561" w14:textId="4EB66CFC" w:rsidR="005245C1" w:rsidRPr="003C3888" w:rsidRDefault="003F3CA0" w:rsidP="003F3CA0">
      <w:pPr>
        <w:tabs>
          <w:tab w:val="left" w:pos="9360"/>
        </w:tabs>
        <w:ind w:left="1714"/>
      </w:pPr>
      <w:r w:rsidRPr="003C3888">
        <w:rPr>
          <w:u w:val="single"/>
        </w:rPr>
        <w:tab/>
      </w:r>
    </w:p>
    <w:p w14:paraId="0820E682" w14:textId="77777777" w:rsidR="00EC3038" w:rsidRPr="003C3888" w:rsidRDefault="00EC3038">
      <w:pPr>
        <w:rPr>
          <w:rFonts w:ascii="Arial" w:hAnsi="Arial" w:cs="Arial"/>
          <w:b/>
          <w:sz w:val="32"/>
          <w:szCs w:val="20"/>
        </w:rPr>
      </w:pPr>
      <w:r w:rsidRPr="003C3888">
        <w:rPr>
          <w:rFonts w:ascii="Arial" w:hAnsi="Arial" w:cs="Arial"/>
          <w:b/>
          <w:sz w:val="32"/>
          <w:szCs w:val="20"/>
        </w:rPr>
        <w:br w:type="page"/>
      </w:r>
    </w:p>
    <w:p w14:paraId="526AAD66" w14:textId="332AB2FA" w:rsidR="00542BCE" w:rsidRPr="003C3888" w:rsidRDefault="001D5AAE" w:rsidP="00542BCE">
      <w:pPr>
        <w:spacing w:after="240"/>
        <w:outlineLvl w:val="3"/>
        <w:rPr>
          <w:rFonts w:ascii="Arial" w:hAnsi="Arial" w:cs="Arial"/>
          <w:b/>
          <w:sz w:val="32"/>
          <w:szCs w:val="20"/>
        </w:rPr>
      </w:pPr>
      <w:r w:rsidRPr="003C3888">
        <w:rPr>
          <w:rFonts w:ascii="Arial" w:hAnsi="Arial" w:cs="Arial"/>
          <w:b/>
          <w:sz w:val="32"/>
          <w:szCs w:val="20"/>
        </w:rPr>
        <w:lastRenderedPageBreak/>
        <w:t xml:space="preserve">2.  </w:t>
      </w:r>
      <w:r w:rsidR="004230BE" w:rsidRPr="003C3888">
        <w:rPr>
          <w:rFonts w:ascii="Arial" w:hAnsi="Arial" w:cs="Arial"/>
          <w:b/>
          <w:sz w:val="32"/>
          <w:szCs w:val="20"/>
        </w:rPr>
        <w:t xml:space="preserve">Protocol for </w:t>
      </w:r>
      <w:r w:rsidR="00D40F74" w:rsidRPr="003C3888">
        <w:rPr>
          <w:rFonts w:ascii="Arial" w:hAnsi="Arial" w:cs="Arial"/>
          <w:b/>
          <w:sz w:val="32"/>
          <w:szCs w:val="20"/>
        </w:rPr>
        <w:t>S</w:t>
      </w:r>
      <w:r w:rsidR="004230BE" w:rsidRPr="003C3888">
        <w:rPr>
          <w:rFonts w:ascii="Arial" w:hAnsi="Arial" w:cs="Arial"/>
          <w:b/>
          <w:sz w:val="32"/>
          <w:szCs w:val="20"/>
        </w:rPr>
        <w:t xml:space="preserve">cheduling </w:t>
      </w:r>
      <w:r w:rsidR="00D40F74" w:rsidRPr="003C3888">
        <w:rPr>
          <w:rFonts w:ascii="Arial" w:hAnsi="Arial" w:cs="Arial"/>
          <w:b/>
          <w:sz w:val="32"/>
          <w:szCs w:val="20"/>
        </w:rPr>
        <w:t>E</w:t>
      </w:r>
      <w:r w:rsidR="004230BE" w:rsidRPr="003C3888">
        <w:rPr>
          <w:rFonts w:ascii="Arial" w:hAnsi="Arial" w:cs="Arial"/>
          <w:b/>
          <w:sz w:val="32"/>
          <w:szCs w:val="20"/>
        </w:rPr>
        <w:t xml:space="preserve">xams </w:t>
      </w:r>
      <w:r w:rsidR="00D40F74" w:rsidRPr="003C3888">
        <w:rPr>
          <w:rFonts w:ascii="Arial" w:hAnsi="Arial" w:cs="Arial"/>
          <w:b/>
          <w:sz w:val="32"/>
          <w:szCs w:val="20"/>
        </w:rPr>
        <w:t>U</w:t>
      </w:r>
      <w:r w:rsidR="004230BE" w:rsidRPr="003C3888">
        <w:rPr>
          <w:rFonts w:ascii="Arial" w:hAnsi="Arial" w:cs="Arial"/>
          <w:b/>
          <w:sz w:val="32"/>
          <w:szCs w:val="20"/>
        </w:rPr>
        <w:t xml:space="preserve">sing Veteran’s Health Care Administration (VHA) RSVP </w:t>
      </w:r>
      <w:r w:rsidR="000B13D8" w:rsidRPr="003C3888">
        <w:rPr>
          <w:rFonts w:ascii="Arial" w:hAnsi="Arial" w:cs="Arial"/>
          <w:b/>
          <w:sz w:val="32"/>
          <w:szCs w:val="20"/>
        </w:rPr>
        <w:t xml:space="preserve">Scheduling </w:t>
      </w:r>
      <w:r w:rsidR="004230BE" w:rsidRPr="003C3888">
        <w:rPr>
          <w:rFonts w:ascii="Arial" w:hAnsi="Arial" w:cs="Arial"/>
          <w:b/>
          <w:sz w:val="32"/>
          <w:szCs w:val="20"/>
        </w:rPr>
        <w:t>Program</w:t>
      </w:r>
    </w:p>
    <w:p w14:paraId="618B09C1" w14:textId="32371E51" w:rsidR="00542BCE" w:rsidRPr="003C3888" w:rsidRDefault="00542BCE" w:rsidP="00542BCE">
      <w:pPr>
        <w:pBdr>
          <w:top w:val="single" w:sz="6" w:space="1" w:color="000000"/>
          <w:between w:val="single" w:sz="6" w:space="1" w:color="auto"/>
        </w:pBdr>
        <w:spacing w:before="240"/>
        <w:ind w:left="1720"/>
        <w:rPr>
          <w:szCs w:val="20"/>
        </w:rPr>
      </w:pPr>
    </w:p>
    <w:tbl>
      <w:tblPr>
        <w:tblW w:w="0" w:type="auto"/>
        <w:tblLayout w:type="fixed"/>
        <w:tblLook w:val="0000" w:firstRow="0" w:lastRow="0" w:firstColumn="0" w:lastColumn="0" w:noHBand="0" w:noVBand="0"/>
      </w:tblPr>
      <w:tblGrid>
        <w:gridCol w:w="1728"/>
        <w:gridCol w:w="7740"/>
      </w:tblGrid>
      <w:tr w:rsidR="00542BCE" w:rsidRPr="003C3888" w14:paraId="73BB781D" w14:textId="77777777" w:rsidTr="0089440B">
        <w:trPr>
          <w:cantSplit/>
          <w:trHeight w:val="1773"/>
        </w:trPr>
        <w:tc>
          <w:tcPr>
            <w:tcW w:w="1728" w:type="dxa"/>
            <w:shd w:val="clear" w:color="auto" w:fill="auto"/>
          </w:tcPr>
          <w:p w14:paraId="2E0219F0" w14:textId="77777777" w:rsidR="00542BCE" w:rsidRPr="003C3888" w:rsidRDefault="00542BCE" w:rsidP="00542BCE">
            <w:pPr>
              <w:outlineLvl w:val="4"/>
              <w:rPr>
                <w:b/>
                <w:sz w:val="22"/>
                <w:szCs w:val="20"/>
              </w:rPr>
            </w:pPr>
            <w:r w:rsidRPr="003C3888">
              <w:rPr>
                <w:b/>
                <w:sz w:val="22"/>
                <w:szCs w:val="20"/>
              </w:rPr>
              <w:t>Introduction</w:t>
            </w:r>
          </w:p>
        </w:tc>
        <w:tc>
          <w:tcPr>
            <w:tcW w:w="7740" w:type="dxa"/>
            <w:shd w:val="clear" w:color="auto" w:fill="auto"/>
          </w:tcPr>
          <w:p w14:paraId="102CF105" w14:textId="0D76537B" w:rsidR="00D40F74" w:rsidRPr="003C3888" w:rsidRDefault="00542BCE" w:rsidP="00542BCE">
            <w:r w:rsidRPr="003C3888">
              <w:t xml:space="preserve">This topic contains </w:t>
            </w:r>
            <w:r w:rsidR="007122EC" w:rsidRPr="003C3888">
              <w:t xml:space="preserve">procedures </w:t>
            </w:r>
            <w:r w:rsidR="00473671" w:rsidRPr="003C3888">
              <w:t>the</w:t>
            </w:r>
            <w:r w:rsidR="00CB2574" w:rsidRPr="003C3888">
              <w:t xml:space="preserve"> </w:t>
            </w:r>
            <w:r w:rsidR="0089440B" w:rsidRPr="003C3888">
              <w:t>ROs</w:t>
            </w:r>
            <w:r w:rsidR="007122EC" w:rsidRPr="003C3888">
              <w:t xml:space="preserve"> are to follow when scheduling exams </w:t>
            </w:r>
            <w:r w:rsidR="00E2125E" w:rsidRPr="003C3888">
              <w:t xml:space="preserve">at </w:t>
            </w:r>
            <w:r w:rsidR="00473671" w:rsidRPr="003C3888">
              <w:t xml:space="preserve">VHA </w:t>
            </w:r>
            <w:r w:rsidR="00E2125E" w:rsidRPr="003C3888">
              <w:t>facilities that</w:t>
            </w:r>
            <w:r w:rsidR="00473671" w:rsidRPr="003C3888">
              <w:t xml:space="preserve"> participate </w:t>
            </w:r>
            <w:r w:rsidR="00D55026" w:rsidRPr="003C3888">
              <w:t xml:space="preserve">in </w:t>
            </w:r>
            <w:r w:rsidR="0024701D" w:rsidRPr="003C3888">
              <w:t xml:space="preserve">the </w:t>
            </w:r>
            <w:r w:rsidR="00473671" w:rsidRPr="003C3888">
              <w:t>RSVP p</w:t>
            </w:r>
            <w:r w:rsidR="007319F8" w:rsidRPr="003C3888">
              <w:t>rogram</w:t>
            </w:r>
            <w:r w:rsidR="0089440B" w:rsidRPr="003C3888">
              <w:t>, including</w:t>
            </w:r>
            <w:r w:rsidRPr="003C3888">
              <w:t xml:space="preserve">  </w:t>
            </w:r>
          </w:p>
          <w:p w14:paraId="00D1B467" w14:textId="77777777" w:rsidR="007319F8" w:rsidRPr="003C3888" w:rsidRDefault="007319F8" w:rsidP="00542BCE"/>
          <w:p w14:paraId="06E045B3" w14:textId="193D0C27" w:rsidR="00A90AA8" w:rsidRPr="003C3888" w:rsidRDefault="00EA2438" w:rsidP="0089440B">
            <w:pPr>
              <w:pStyle w:val="ListParagraph"/>
              <w:numPr>
                <w:ilvl w:val="0"/>
                <w:numId w:val="9"/>
              </w:numPr>
              <w:ind w:left="158" w:hanging="187"/>
            </w:pPr>
            <w:r w:rsidRPr="003C3888">
              <w:t>VHA RSVP</w:t>
            </w:r>
            <w:r w:rsidR="004C370B" w:rsidRPr="003C3888">
              <w:t xml:space="preserve"> scheduling</w:t>
            </w:r>
            <w:r w:rsidRPr="003C3888">
              <w:t xml:space="preserve"> </w:t>
            </w:r>
            <w:r w:rsidR="00C77D1C" w:rsidRPr="003C3888">
              <w:t>p</w:t>
            </w:r>
            <w:r w:rsidRPr="003C3888">
              <w:t>rogram</w:t>
            </w:r>
          </w:p>
          <w:p w14:paraId="645D71F6" w14:textId="7FDDFE4B" w:rsidR="004C370B" w:rsidRPr="003C3888" w:rsidRDefault="001E7C4C" w:rsidP="0089440B">
            <w:pPr>
              <w:pStyle w:val="ListParagraph"/>
              <w:numPr>
                <w:ilvl w:val="0"/>
                <w:numId w:val="10"/>
              </w:numPr>
              <w:ind w:left="158" w:hanging="187"/>
            </w:pPr>
            <w:r w:rsidRPr="003C3888">
              <w:t xml:space="preserve">VHA RSVP </w:t>
            </w:r>
            <w:r w:rsidR="00FF1718" w:rsidRPr="003C3888">
              <w:t>examination cancellations</w:t>
            </w:r>
            <w:r w:rsidRPr="003C3888">
              <w:t>, and</w:t>
            </w:r>
          </w:p>
          <w:p w14:paraId="1BE678F8" w14:textId="4CF36AD8" w:rsidR="001E7C4C" w:rsidRPr="003C3888" w:rsidRDefault="0024701D" w:rsidP="0089440B">
            <w:pPr>
              <w:pStyle w:val="ListParagraph"/>
              <w:numPr>
                <w:ilvl w:val="0"/>
                <w:numId w:val="11"/>
              </w:numPr>
              <w:ind w:left="158" w:hanging="187"/>
              <w:rPr>
                <w:szCs w:val="20"/>
              </w:rPr>
            </w:pPr>
            <w:r w:rsidRPr="003C3888">
              <w:t>steps to take when a</w:t>
            </w:r>
            <w:r w:rsidR="001E7C4C" w:rsidRPr="003C3888">
              <w:t xml:space="preserve"> </w:t>
            </w:r>
            <w:r w:rsidR="00A90AA8" w:rsidRPr="003C3888">
              <w:t xml:space="preserve">Veteran </w:t>
            </w:r>
            <w:r w:rsidR="00E2125E" w:rsidRPr="003C3888">
              <w:t>has failed</w:t>
            </w:r>
            <w:r w:rsidR="00A90AA8" w:rsidRPr="003C3888">
              <w:t xml:space="preserve"> to RSVP</w:t>
            </w:r>
            <w:r w:rsidR="00D40F74" w:rsidRPr="003C3888">
              <w:t>.</w:t>
            </w:r>
          </w:p>
        </w:tc>
      </w:tr>
    </w:tbl>
    <w:p w14:paraId="79FBEF50" w14:textId="77777777" w:rsidR="00542BCE" w:rsidRPr="003C3888" w:rsidRDefault="00542BCE" w:rsidP="00542BCE">
      <w:pPr>
        <w:pBdr>
          <w:top w:val="single" w:sz="6" w:space="1" w:color="000000"/>
          <w:between w:val="single" w:sz="6" w:space="1" w:color="auto"/>
        </w:pBdr>
        <w:spacing w:before="240"/>
        <w:ind w:left="1720"/>
        <w:rPr>
          <w:szCs w:val="20"/>
        </w:rPr>
      </w:pPr>
    </w:p>
    <w:tbl>
      <w:tblPr>
        <w:tblW w:w="0" w:type="auto"/>
        <w:tblLayout w:type="fixed"/>
        <w:tblLook w:val="0000" w:firstRow="0" w:lastRow="0" w:firstColumn="0" w:lastColumn="0" w:noHBand="0" w:noVBand="0"/>
      </w:tblPr>
      <w:tblGrid>
        <w:gridCol w:w="1728"/>
        <w:gridCol w:w="7740"/>
      </w:tblGrid>
      <w:tr w:rsidR="00542BCE" w:rsidRPr="003C3888" w14:paraId="154C8350" w14:textId="77777777" w:rsidTr="00046AF7">
        <w:trPr>
          <w:cantSplit/>
        </w:trPr>
        <w:tc>
          <w:tcPr>
            <w:tcW w:w="1728" w:type="dxa"/>
            <w:shd w:val="clear" w:color="auto" w:fill="auto"/>
          </w:tcPr>
          <w:p w14:paraId="5118B6CA" w14:textId="77777777" w:rsidR="00542BCE" w:rsidRPr="003C3888" w:rsidRDefault="00542BCE" w:rsidP="00542BCE">
            <w:pPr>
              <w:outlineLvl w:val="4"/>
              <w:rPr>
                <w:b/>
                <w:sz w:val="22"/>
                <w:szCs w:val="20"/>
              </w:rPr>
            </w:pPr>
            <w:r w:rsidRPr="003C3888">
              <w:rPr>
                <w:b/>
                <w:sz w:val="22"/>
                <w:szCs w:val="20"/>
              </w:rPr>
              <w:t>Change Date</w:t>
            </w:r>
          </w:p>
        </w:tc>
        <w:tc>
          <w:tcPr>
            <w:tcW w:w="7740" w:type="dxa"/>
            <w:shd w:val="clear" w:color="auto" w:fill="auto"/>
          </w:tcPr>
          <w:p w14:paraId="3C293E6C" w14:textId="027174EB" w:rsidR="00542BCE" w:rsidRPr="003C3888" w:rsidRDefault="006A5977" w:rsidP="00542BCE">
            <w:r w:rsidRPr="003C3888">
              <w:t>January 25, 2016</w:t>
            </w:r>
          </w:p>
        </w:tc>
      </w:tr>
    </w:tbl>
    <w:p w14:paraId="335651E1" w14:textId="0792E1C5" w:rsidR="00542BCE" w:rsidRPr="003C3888" w:rsidRDefault="00542BCE" w:rsidP="00542BCE">
      <w:pPr>
        <w:pBdr>
          <w:top w:val="single" w:sz="6" w:space="1" w:color="000000"/>
          <w:between w:val="single" w:sz="6" w:space="1" w:color="auto"/>
        </w:pBdr>
        <w:spacing w:before="240"/>
        <w:ind w:left="1720"/>
        <w:rPr>
          <w:szCs w:val="20"/>
        </w:rPr>
      </w:pPr>
    </w:p>
    <w:tbl>
      <w:tblPr>
        <w:tblW w:w="0" w:type="auto"/>
        <w:tblLayout w:type="fixed"/>
        <w:tblLook w:val="0000" w:firstRow="0" w:lastRow="0" w:firstColumn="0" w:lastColumn="0" w:noHBand="0" w:noVBand="0"/>
      </w:tblPr>
      <w:tblGrid>
        <w:gridCol w:w="1728"/>
        <w:gridCol w:w="7740"/>
      </w:tblGrid>
      <w:tr w:rsidR="00542BCE" w:rsidRPr="003C3888" w14:paraId="7BC7C1DE" w14:textId="77777777" w:rsidTr="00046AF7">
        <w:trPr>
          <w:cantSplit/>
        </w:trPr>
        <w:tc>
          <w:tcPr>
            <w:tcW w:w="1728" w:type="dxa"/>
            <w:tcBorders>
              <w:top w:val="nil"/>
              <w:left w:val="nil"/>
              <w:bottom w:val="nil"/>
              <w:right w:val="nil"/>
            </w:tcBorders>
            <w:shd w:val="clear" w:color="auto" w:fill="auto"/>
          </w:tcPr>
          <w:p w14:paraId="118FF8F6" w14:textId="6BD9AFE0" w:rsidR="00542BCE" w:rsidRPr="003C3888" w:rsidRDefault="00542BCE" w:rsidP="007319F8">
            <w:pPr>
              <w:outlineLvl w:val="4"/>
              <w:rPr>
                <w:b/>
                <w:sz w:val="22"/>
                <w:szCs w:val="20"/>
              </w:rPr>
            </w:pPr>
            <w:r w:rsidRPr="003C3888">
              <w:rPr>
                <w:b/>
                <w:sz w:val="22"/>
                <w:szCs w:val="20"/>
              </w:rPr>
              <w:t xml:space="preserve">a.  </w:t>
            </w:r>
            <w:r w:rsidR="007319F8" w:rsidRPr="003C3888">
              <w:rPr>
                <w:b/>
                <w:sz w:val="22"/>
                <w:szCs w:val="20"/>
              </w:rPr>
              <w:t xml:space="preserve">VHA RSVP </w:t>
            </w:r>
            <w:r w:rsidR="004C370B" w:rsidRPr="003C3888">
              <w:rPr>
                <w:b/>
                <w:sz w:val="22"/>
                <w:szCs w:val="20"/>
              </w:rPr>
              <w:t xml:space="preserve">Scheduling </w:t>
            </w:r>
            <w:r w:rsidR="007319F8" w:rsidRPr="003C3888">
              <w:rPr>
                <w:b/>
                <w:sz w:val="22"/>
                <w:szCs w:val="20"/>
              </w:rPr>
              <w:t>Program</w:t>
            </w:r>
          </w:p>
        </w:tc>
        <w:tc>
          <w:tcPr>
            <w:tcW w:w="7740" w:type="dxa"/>
            <w:tcBorders>
              <w:top w:val="nil"/>
              <w:left w:val="nil"/>
              <w:bottom w:val="nil"/>
              <w:right w:val="nil"/>
            </w:tcBorders>
            <w:shd w:val="clear" w:color="auto" w:fill="auto"/>
          </w:tcPr>
          <w:p w14:paraId="629F1A00" w14:textId="559EFD9D" w:rsidR="00EA5B16" w:rsidRPr="003C3888" w:rsidRDefault="005A2CC5" w:rsidP="00EA5B16">
            <w:r w:rsidRPr="003C3888">
              <w:rPr>
                <w:color w:val="auto"/>
              </w:rPr>
              <w:t xml:space="preserve">Based on </w:t>
            </w:r>
            <w:r w:rsidR="0061122B" w:rsidRPr="003C3888">
              <w:rPr>
                <w:color w:val="auto"/>
              </w:rPr>
              <w:t xml:space="preserve">historical data, </w:t>
            </w:r>
            <w:r w:rsidRPr="003C3888">
              <w:rPr>
                <w:color w:val="auto"/>
              </w:rPr>
              <w:t xml:space="preserve">when </w:t>
            </w:r>
            <w:r w:rsidR="00EA5B16" w:rsidRPr="003C3888">
              <w:t xml:space="preserve">Veterans do not have the opportunity to participate in the scheduling process, there is a higher rate of </w:t>
            </w:r>
            <w:r w:rsidR="003F3CA0" w:rsidRPr="003C3888">
              <w:t xml:space="preserve">a </w:t>
            </w:r>
            <w:r w:rsidR="00EA5B16" w:rsidRPr="003C3888">
              <w:t>failure to report for the scheduled examination</w:t>
            </w:r>
            <w:r w:rsidR="0024701D" w:rsidRPr="003C3888">
              <w:t>.  This results in u</w:t>
            </w:r>
            <w:r w:rsidR="00EA5B16" w:rsidRPr="003C3888">
              <w:t xml:space="preserve">nused examination slots which could have been filled with appointments for other Veterans. </w:t>
            </w:r>
          </w:p>
          <w:p w14:paraId="6758A7BD" w14:textId="77777777" w:rsidR="00604024" w:rsidRPr="003C3888" w:rsidRDefault="00604024" w:rsidP="00BA7A4B">
            <w:pPr>
              <w:rPr>
                <w:color w:val="auto"/>
              </w:rPr>
            </w:pPr>
          </w:p>
          <w:p w14:paraId="57E750CD" w14:textId="32670805" w:rsidR="00604024" w:rsidRPr="003C3888" w:rsidRDefault="00E2125E" w:rsidP="00BA7A4B">
            <w:pPr>
              <w:rPr>
                <w:color w:val="auto"/>
              </w:rPr>
            </w:pPr>
            <w:r w:rsidRPr="003C3888">
              <w:rPr>
                <w:color w:val="auto"/>
              </w:rPr>
              <w:t xml:space="preserve">Consequently, the </w:t>
            </w:r>
            <w:r w:rsidR="00EA5B16" w:rsidRPr="003C3888">
              <w:rPr>
                <w:color w:val="auto"/>
              </w:rPr>
              <w:t xml:space="preserve">Veterans Health Administration (VHA) </w:t>
            </w:r>
            <w:r w:rsidR="00604024" w:rsidRPr="003C3888">
              <w:rPr>
                <w:color w:val="auto"/>
              </w:rPr>
              <w:t>established a</w:t>
            </w:r>
            <w:r w:rsidRPr="003C3888">
              <w:rPr>
                <w:color w:val="auto"/>
              </w:rPr>
              <w:t>n</w:t>
            </w:r>
            <w:r w:rsidR="003E419D" w:rsidRPr="003C3888">
              <w:rPr>
                <w:color w:val="auto"/>
              </w:rPr>
              <w:t xml:space="preserve"> RSVP p</w:t>
            </w:r>
            <w:r w:rsidR="0024701D" w:rsidRPr="003C3888">
              <w:rPr>
                <w:color w:val="auto"/>
              </w:rPr>
              <w:t>rogram to help e</w:t>
            </w:r>
            <w:r w:rsidR="003507D9" w:rsidRPr="003C3888">
              <w:rPr>
                <w:color w:val="auto"/>
              </w:rPr>
              <w:t xml:space="preserve">nsure Veterans </w:t>
            </w:r>
            <w:r w:rsidRPr="003C3888">
              <w:rPr>
                <w:color w:val="auto"/>
              </w:rPr>
              <w:t>attend</w:t>
            </w:r>
            <w:r w:rsidR="003507D9" w:rsidRPr="003C3888">
              <w:rPr>
                <w:color w:val="auto"/>
              </w:rPr>
              <w:t xml:space="preserve"> their scheduled exams. </w:t>
            </w:r>
            <w:r w:rsidR="00C42551" w:rsidRPr="003C3888">
              <w:rPr>
                <w:color w:val="auto"/>
              </w:rPr>
              <w:t xml:space="preserve"> This program </w:t>
            </w:r>
            <w:r w:rsidR="00604024" w:rsidRPr="003C3888">
              <w:rPr>
                <w:color w:val="auto"/>
              </w:rPr>
              <w:t>e</w:t>
            </w:r>
            <w:r w:rsidR="00C42551" w:rsidRPr="003C3888">
              <w:rPr>
                <w:color w:val="auto"/>
              </w:rPr>
              <w:t>ntail</w:t>
            </w:r>
            <w:r w:rsidR="00604024" w:rsidRPr="003C3888">
              <w:rPr>
                <w:color w:val="auto"/>
              </w:rPr>
              <w:t>s</w:t>
            </w:r>
            <w:r w:rsidR="00C42551" w:rsidRPr="003C3888">
              <w:rPr>
                <w:color w:val="auto"/>
              </w:rPr>
              <w:t xml:space="preserve"> VHA attempting to </w:t>
            </w:r>
            <w:r w:rsidR="00BA7A4B" w:rsidRPr="003C3888">
              <w:rPr>
                <w:color w:val="auto"/>
              </w:rPr>
              <w:t>reach the Veteran by phone and through the mail in order to schedule</w:t>
            </w:r>
            <w:r w:rsidR="00905A08" w:rsidRPr="003C3888">
              <w:rPr>
                <w:color w:val="auto"/>
              </w:rPr>
              <w:t xml:space="preserve"> an </w:t>
            </w:r>
            <w:r w:rsidR="00BA7A4B" w:rsidRPr="003C3888">
              <w:rPr>
                <w:color w:val="auto"/>
              </w:rPr>
              <w:t xml:space="preserve">examination.  </w:t>
            </w:r>
          </w:p>
          <w:p w14:paraId="3A5D2432" w14:textId="77777777" w:rsidR="00E403D3" w:rsidRPr="003C3888" w:rsidRDefault="00E403D3" w:rsidP="00E403D3"/>
          <w:p w14:paraId="6B38C418" w14:textId="7B12F621" w:rsidR="001E7C4C" w:rsidRPr="003C3888" w:rsidRDefault="00E403D3" w:rsidP="001E7C4C">
            <w:pPr>
              <w:rPr>
                <w:szCs w:val="20"/>
              </w:rPr>
            </w:pPr>
            <w:r w:rsidRPr="003C3888">
              <w:rPr>
                <w:b/>
                <w:i/>
              </w:rPr>
              <w:t>Important</w:t>
            </w:r>
            <w:r w:rsidRPr="003C3888">
              <w:t xml:space="preserve">: </w:t>
            </w:r>
            <w:r w:rsidR="008A3D75" w:rsidRPr="003C3888">
              <w:t xml:space="preserve">VHA examining facilities </w:t>
            </w:r>
            <w:r w:rsidR="0047642F" w:rsidRPr="003C3888">
              <w:t xml:space="preserve">are not required to participate in the RSVP scheduling program. </w:t>
            </w:r>
          </w:p>
        </w:tc>
      </w:tr>
    </w:tbl>
    <w:p w14:paraId="7B407291" w14:textId="20E7200C" w:rsidR="004C370B" w:rsidRPr="003C3888" w:rsidRDefault="003F7145" w:rsidP="003F7145">
      <w:pPr>
        <w:tabs>
          <w:tab w:val="left" w:pos="9360"/>
        </w:tabs>
        <w:ind w:left="1714"/>
      </w:pPr>
      <w:r w:rsidRPr="003C3888">
        <w:rPr>
          <w:u w:val="single"/>
        </w:rPr>
        <w:tab/>
      </w:r>
    </w:p>
    <w:p w14:paraId="5DC52D9F" w14:textId="70740E9E" w:rsidR="003F7145" w:rsidRPr="003C3888" w:rsidRDefault="003F7145" w:rsidP="003F714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C370B" w:rsidRPr="003C3888" w14:paraId="2A6D8D5C" w14:textId="77777777" w:rsidTr="004C370B">
        <w:tc>
          <w:tcPr>
            <w:tcW w:w="1728" w:type="dxa"/>
            <w:shd w:val="clear" w:color="auto" w:fill="auto"/>
          </w:tcPr>
          <w:p w14:paraId="543118F8" w14:textId="3B515E67" w:rsidR="004C370B" w:rsidRPr="003C3888" w:rsidRDefault="004C370B" w:rsidP="00FF1718">
            <w:pPr>
              <w:rPr>
                <w:b/>
                <w:sz w:val="22"/>
              </w:rPr>
            </w:pPr>
            <w:r w:rsidRPr="003C3888">
              <w:rPr>
                <w:b/>
                <w:sz w:val="22"/>
              </w:rPr>
              <w:t xml:space="preserve">b.  VHA RSVP </w:t>
            </w:r>
            <w:r w:rsidR="00FF1718" w:rsidRPr="003C3888">
              <w:rPr>
                <w:b/>
                <w:sz w:val="22"/>
              </w:rPr>
              <w:t>Examination Cancellations</w:t>
            </w:r>
          </w:p>
        </w:tc>
        <w:tc>
          <w:tcPr>
            <w:tcW w:w="7740" w:type="dxa"/>
            <w:shd w:val="clear" w:color="auto" w:fill="auto"/>
          </w:tcPr>
          <w:p w14:paraId="567D3133" w14:textId="1F263507" w:rsidR="0089440B" w:rsidRPr="003C3888" w:rsidRDefault="004C370B" w:rsidP="00CB2574">
            <w:r w:rsidRPr="003C3888">
              <w:t xml:space="preserve">When VHA receives </w:t>
            </w:r>
            <w:r w:rsidRPr="003C3888">
              <w:rPr>
                <w:i/>
              </w:rPr>
              <w:t>VA Form 21-250</w:t>
            </w:r>
            <w:r w:rsidR="001B1FEB" w:rsidRPr="003C3888">
              <w:rPr>
                <w:i/>
              </w:rPr>
              <w:t xml:space="preserve">7, Request for Physical </w:t>
            </w:r>
            <w:r w:rsidR="00D72965" w:rsidRPr="003C3888">
              <w:rPr>
                <w:i/>
              </w:rPr>
              <w:t>E</w:t>
            </w:r>
            <w:r w:rsidR="001B1FEB" w:rsidRPr="003C3888">
              <w:rPr>
                <w:i/>
              </w:rPr>
              <w:t xml:space="preserve">xamination, </w:t>
            </w:r>
            <w:r w:rsidRPr="003C3888">
              <w:t>from a</w:t>
            </w:r>
            <w:r w:rsidR="00CB2574" w:rsidRPr="003C3888">
              <w:t>n</w:t>
            </w:r>
            <w:r w:rsidRPr="003C3888">
              <w:t xml:space="preserve"> </w:t>
            </w:r>
            <w:r w:rsidR="00CB2574" w:rsidRPr="003C3888">
              <w:t>RO</w:t>
            </w:r>
            <w:r w:rsidRPr="003C3888">
              <w:t xml:space="preserve"> that includes </w:t>
            </w:r>
            <w:r w:rsidR="00B82B70" w:rsidRPr="003C3888">
              <w:t xml:space="preserve">the Veteran’s telephone number and address, they will make several attempts to contact the Veteran and schedule the examination.  </w:t>
            </w:r>
          </w:p>
          <w:p w14:paraId="79C408E5" w14:textId="77777777" w:rsidR="00FF1718" w:rsidRPr="003C3888" w:rsidRDefault="00FF1718" w:rsidP="00CB2574"/>
          <w:p w14:paraId="70963605" w14:textId="3E8B4BCB" w:rsidR="00FF1718" w:rsidRPr="003C3888" w:rsidRDefault="00FF1718" w:rsidP="00CB2574">
            <w:r w:rsidRPr="003C3888">
              <w:t xml:space="preserve">If a claimant fails to respond to the attempts to schedule the examination in the RSVP program, VHA will cancel the examination request.  The </w:t>
            </w:r>
            <w:r w:rsidR="0044620F" w:rsidRPr="003C3888">
              <w:t xml:space="preserve">cancellation </w:t>
            </w:r>
            <w:r w:rsidRPr="003C3888">
              <w:t xml:space="preserve">notification will reflect that the cancellation was due to the claimant’s failure to respond to the RSVP scheduling process.  </w:t>
            </w:r>
          </w:p>
          <w:p w14:paraId="73C885E4" w14:textId="77777777" w:rsidR="00FF1718" w:rsidRPr="003C3888" w:rsidRDefault="00FF1718" w:rsidP="00CB2574"/>
          <w:p w14:paraId="286AD9B5" w14:textId="3BC39664" w:rsidR="00FF1718" w:rsidRPr="003C3888" w:rsidRDefault="00FF1718" w:rsidP="00CB2574">
            <w:r w:rsidRPr="003C3888">
              <w:t xml:space="preserve">The documented information indicating the Veteran failed to RSVP to schedule an examination at a mutually convenient time is considered the same as a failure to report for an examination for the purpose of claims processing.  </w:t>
            </w:r>
          </w:p>
          <w:p w14:paraId="2B051894" w14:textId="77777777" w:rsidR="0088743D" w:rsidRPr="003C3888" w:rsidRDefault="0088743D" w:rsidP="00CB2574"/>
          <w:p w14:paraId="7D0EDEEE" w14:textId="77777777" w:rsidR="0044620F" w:rsidRPr="003C3888" w:rsidRDefault="0044620F" w:rsidP="0044620F">
            <w:r w:rsidRPr="003C3888">
              <w:t>VHA is responsible for ensuring that all procedures and timelines required in the RSVP process were followed.</w:t>
            </w:r>
          </w:p>
          <w:p w14:paraId="69BBABD7" w14:textId="77777777" w:rsidR="0044620F" w:rsidRPr="003C3888" w:rsidRDefault="0044620F" w:rsidP="00CB2574"/>
          <w:p w14:paraId="7A97BE54" w14:textId="6BB6D0BA" w:rsidR="00C8453B" w:rsidRPr="003C3888" w:rsidRDefault="0088743D" w:rsidP="00FF1718">
            <w:r w:rsidRPr="003C3888">
              <w:rPr>
                <w:b/>
                <w:i/>
              </w:rPr>
              <w:t>Reference</w:t>
            </w:r>
            <w:r w:rsidRPr="003C3888">
              <w:t xml:space="preserve">:  For more information </w:t>
            </w:r>
            <w:r w:rsidR="00243F5F" w:rsidRPr="003C3888">
              <w:t xml:space="preserve">on the VHA RSVP scheduling procedure, </w:t>
            </w:r>
            <w:r w:rsidRPr="003C3888">
              <w:t xml:space="preserve">see the Office of Disability and Medical Assessment (DMA) </w:t>
            </w:r>
            <w:hyperlink r:id="rId19" w:history="1">
              <w:r w:rsidRPr="003C3888">
                <w:rPr>
                  <w:rStyle w:val="Hyperlink"/>
                </w:rPr>
                <w:t>Fact Sheet</w:t>
              </w:r>
              <w:r w:rsidR="00243F5F" w:rsidRPr="003C3888">
                <w:rPr>
                  <w:rStyle w:val="Hyperlink"/>
                </w:rPr>
                <w:t xml:space="preserve"> 15-0033-Revised</w:t>
              </w:r>
            </w:hyperlink>
            <w:r w:rsidR="00243F5F" w:rsidRPr="003C3888">
              <w:t>.</w:t>
            </w:r>
          </w:p>
        </w:tc>
      </w:tr>
    </w:tbl>
    <w:p w14:paraId="1EA94B76" w14:textId="479C80DC" w:rsidR="00CB2574" w:rsidRPr="003C3888" w:rsidRDefault="00CB2574" w:rsidP="00CB2574">
      <w:pPr>
        <w:tabs>
          <w:tab w:val="left" w:pos="9360"/>
        </w:tabs>
        <w:ind w:left="1714"/>
      </w:pPr>
      <w:r w:rsidRPr="003C3888">
        <w:rPr>
          <w:u w:val="single"/>
        </w:rPr>
        <w:lastRenderedPageBreak/>
        <w:tab/>
      </w:r>
    </w:p>
    <w:p w14:paraId="72780F99" w14:textId="77777777" w:rsidR="004C370B" w:rsidRPr="003C3888" w:rsidRDefault="004C370B" w:rsidP="004C37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30"/>
      </w:tblGrid>
      <w:tr w:rsidR="00A90AA8" w:rsidRPr="003C3888" w14:paraId="23094A4A" w14:textId="77777777" w:rsidTr="00876107">
        <w:tc>
          <w:tcPr>
            <w:tcW w:w="1728" w:type="dxa"/>
            <w:shd w:val="clear" w:color="auto" w:fill="auto"/>
          </w:tcPr>
          <w:p w14:paraId="7625D708" w14:textId="5EA86959" w:rsidR="00A90AA8" w:rsidRPr="003C3888" w:rsidRDefault="002A06FD" w:rsidP="00F52927">
            <w:pPr>
              <w:rPr>
                <w:b/>
                <w:sz w:val="22"/>
              </w:rPr>
            </w:pPr>
            <w:r w:rsidRPr="003C3888">
              <w:rPr>
                <w:b/>
                <w:sz w:val="22"/>
              </w:rPr>
              <w:t>c</w:t>
            </w:r>
            <w:r w:rsidR="00A90AA8" w:rsidRPr="003C3888">
              <w:rPr>
                <w:b/>
                <w:sz w:val="22"/>
              </w:rPr>
              <w:t xml:space="preserve">.  </w:t>
            </w:r>
            <w:r w:rsidR="0024701D" w:rsidRPr="003C3888">
              <w:rPr>
                <w:b/>
                <w:sz w:val="22"/>
              </w:rPr>
              <w:t xml:space="preserve">Steps to Take When a </w:t>
            </w:r>
            <w:r w:rsidR="00A90AA8" w:rsidRPr="003C3888">
              <w:rPr>
                <w:b/>
                <w:sz w:val="22"/>
              </w:rPr>
              <w:t xml:space="preserve">Veteran </w:t>
            </w:r>
            <w:r w:rsidR="00F52927" w:rsidRPr="003C3888">
              <w:rPr>
                <w:b/>
                <w:sz w:val="22"/>
              </w:rPr>
              <w:t>has Failed</w:t>
            </w:r>
            <w:r w:rsidR="00A90AA8" w:rsidRPr="003C3888">
              <w:rPr>
                <w:b/>
                <w:sz w:val="22"/>
              </w:rPr>
              <w:t xml:space="preserve"> to RSVP</w:t>
            </w:r>
          </w:p>
        </w:tc>
        <w:tc>
          <w:tcPr>
            <w:tcW w:w="7830" w:type="dxa"/>
            <w:shd w:val="clear" w:color="auto" w:fill="auto"/>
          </w:tcPr>
          <w:p w14:paraId="6D36BFB7" w14:textId="2C91CABB" w:rsidR="00A90AA8" w:rsidRPr="003C3888" w:rsidRDefault="00D55026" w:rsidP="00A90AA8">
            <w:pPr>
              <w:rPr>
                <w:color w:val="auto"/>
              </w:rPr>
            </w:pPr>
            <w:r w:rsidRPr="003C3888">
              <w:rPr>
                <w:color w:val="auto"/>
              </w:rPr>
              <w:t>When VHA provides notification that</w:t>
            </w:r>
            <w:r w:rsidR="00FC23C4" w:rsidRPr="003C3888">
              <w:rPr>
                <w:color w:val="auto"/>
              </w:rPr>
              <w:t xml:space="preserve"> the Veteran</w:t>
            </w:r>
            <w:r w:rsidRPr="003C3888">
              <w:rPr>
                <w:color w:val="auto"/>
              </w:rPr>
              <w:t xml:space="preserve"> </w:t>
            </w:r>
            <w:r w:rsidR="008E771F" w:rsidRPr="003C3888">
              <w:rPr>
                <w:color w:val="auto"/>
              </w:rPr>
              <w:t>failed</w:t>
            </w:r>
            <w:r w:rsidR="00FC23C4" w:rsidRPr="003C3888">
              <w:rPr>
                <w:color w:val="auto"/>
              </w:rPr>
              <w:t xml:space="preserve"> to RSVP, </w:t>
            </w:r>
            <w:r w:rsidRPr="003C3888">
              <w:rPr>
                <w:color w:val="auto"/>
              </w:rPr>
              <w:t xml:space="preserve">the </w:t>
            </w:r>
          </w:p>
          <w:p w14:paraId="24B73216" w14:textId="61550E1A" w:rsidR="00FC23C4" w:rsidRPr="003C3888" w:rsidRDefault="00D55026" w:rsidP="00EC3038">
            <w:pPr>
              <w:rPr>
                <w:color w:val="auto"/>
              </w:rPr>
            </w:pPr>
            <w:r w:rsidRPr="003C3888">
              <w:rPr>
                <w:color w:val="auto"/>
              </w:rPr>
              <w:t>RO</w:t>
            </w:r>
            <w:r w:rsidR="00EC3038" w:rsidRPr="003C3888">
              <w:rPr>
                <w:color w:val="auto"/>
              </w:rPr>
              <w:t xml:space="preserve"> and</w:t>
            </w:r>
            <w:r w:rsidRPr="003C3888">
              <w:rPr>
                <w:color w:val="auto"/>
              </w:rPr>
              <w:t xml:space="preserve"> Appeals Management Center (AMC)</w:t>
            </w:r>
            <w:r w:rsidR="00A90AA8" w:rsidRPr="003C3888">
              <w:rPr>
                <w:color w:val="auto"/>
              </w:rPr>
              <w:t xml:space="preserve"> must follow the instruction</w:t>
            </w:r>
            <w:r w:rsidR="00CB2574" w:rsidRPr="003C3888">
              <w:rPr>
                <w:color w:val="auto"/>
              </w:rPr>
              <w:t>s</w:t>
            </w:r>
            <w:r w:rsidR="00A90AA8" w:rsidRPr="003C3888">
              <w:rPr>
                <w:color w:val="auto"/>
              </w:rPr>
              <w:t xml:space="preserve"> below</w:t>
            </w:r>
            <w:r w:rsidR="0089440B" w:rsidRPr="003C3888">
              <w:rPr>
                <w:color w:val="auto"/>
              </w:rPr>
              <w:t>.</w:t>
            </w:r>
          </w:p>
        </w:tc>
      </w:tr>
    </w:tbl>
    <w:p w14:paraId="51A12DE1" w14:textId="1395156D" w:rsidR="00876107" w:rsidRPr="003C3888" w:rsidRDefault="00876107" w:rsidP="00876107"/>
    <w:tbl>
      <w:tblPr>
        <w:tblStyle w:val="TableGrid"/>
        <w:tblW w:w="7650" w:type="dxa"/>
        <w:tblInd w:w="1818" w:type="dxa"/>
        <w:tblLook w:val="04A0" w:firstRow="1" w:lastRow="0" w:firstColumn="1" w:lastColumn="0" w:noHBand="0" w:noVBand="1"/>
      </w:tblPr>
      <w:tblGrid>
        <w:gridCol w:w="3960"/>
        <w:gridCol w:w="3690"/>
      </w:tblGrid>
      <w:tr w:rsidR="007402CC" w:rsidRPr="003C3888" w14:paraId="02A69CA8" w14:textId="77777777" w:rsidTr="00CB2574">
        <w:tc>
          <w:tcPr>
            <w:tcW w:w="3960" w:type="dxa"/>
          </w:tcPr>
          <w:p w14:paraId="3B188183" w14:textId="27DA0A16" w:rsidR="00876107" w:rsidRPr="003C3888" w:rsidRDefault="00876107" w:rsidP="00B2717C">
            <w:pPr>
              <w:rPr>
                <w:b/>
              </w:rPr>
            </w:pPr>
            <w:r w:rsidRPr="003C3888">
              <w:rPr>
                <w:b/>
              </w:rPr>
              <w:t>If</w:t>
            </w:r>
            <w:r w:rsidRPr="003C3888">
              <w:t xml:space="preserve"> </w:t>
            </w:r>
            <w:r w:rsidRPr="003C3888">
              <w:rPr>
                <w:b/>
              </w:rPr>
              <w:t>the Veteran has failed to RSVP ...</w:t>
            </w:r>
          </w:p>
        </w:tc>
        <w:tc>
          <w:tcPr>
            <w:tcW w:w="3690" w:type="dxa"/>
          </w:tcPr>
          <w:p w14:paraId="362D4B18" w14:textId="47035E6F" w:rsidR="00876107" w:rsidRPr="003C3888" w:rsidRDefault="00876107" w:rsidP="004D46AB">
            <w:pPr>
              <w:rPr>
                <w:b/>
              </w:rPr>
            </w:pPr>
            <w:r w:rsidRPr="003C3888">
              <w:rPr>
                <w:b/>
              </w:rPr>
              <w:t>Then ...</w:t>
            </w:r>
          </w:p>
        </w:tc>
      </w:tr>
      <w:tr w:rsidR="007402CC" w:rsidRPr="003C3888" w14:paraId="12D819D4" w14:textId="77777777" w:rsidTr="00CB2574">
        <w:tc>
          <w:tcPr>
            <w:tcW w:w="3960" w:type="dxa"/>
          </w:tcPr>
          <w:p w14:paraId="223193E7" w14:textId="77777777" w:rsidR="00CB2574" w:rsidRPr="003C3888" w:rsidRDefault="00876107" w:rsidP="0089440B">
            <w:pPr>
              <w:pStyle w:val="ListParagraph"/>
              <w:numPr>
                <w:ilvl w:val="0"/>
                <w:numId w:val="16"/>
              </w:numPr>
              <w:ind w:left="158" w:hanging="187"/>
            </w:pPr>
            <w:r w:rsidRPr="003C3888">
              <w:t>verify the Veteran’s address and telephone numbers are current</w:t>
            </w:r>
            <w:r w:rsidR="007402CC" w:rsidRPr="003C3888">
              <w:t xml:space="preserve">, and </w:t>
            </w:r>
          </w:p>
          <w:p w14:paraId="4CD490B4" w14:textId="6303B745" w:rsidR="00876107" w:rsidRPr="003C3888" w:rsidRDefault="007402CC" w:rsidP="0089440B">
            <w:pPr>
              <w:pStyle w:val="ListParagraph"/>
              <w:numPr>
                <w:ilvl w:val="0"/>
                <w:numId w:val="16"/>
              </w:numPr>
              <w:ind w:left="158" w:hanging="187"/>
            </w:pPr>
            <w:r w:rsidRPr="003C3888">
              <w:t>update the contact information in Share or VBMS, if there is a change</w:t>
            </w:r>
          </w:p>
        </w:tc>
        <w:tc>
          <w:tcPr>
            <w:tcW w:w="3690" w:type="dxa"/>
          </w:tcPr>
          <w:p w14:paraId="11C021A9" w14:textId="215317C1" w:rsidR="00876107" w:rsidRPr="003C3888" w:rsidRDefault="00876107" w:rsidP="007402CC">
            <w:r w:rsidRPr="003C3888">
              <w:t xml:space="preserve">resubmit the examination request </w:t>
            </w:r>
            <w:r w:rsidR="007402CC" w:rsidRPr="003C3888">
              <w:t xml:space="preserve">to the appropriate examination facility </w:t>
            </w:r>
            <w:r w:rsidRPr="003C3888">
              <w:t>that includes the current address and/or phone number.</w:t>
            </w:r>
          </w:p>
        </w:tc>
      </w:tr>
      <w:tr w:rsidR="007402CC" w:rsidRPr="003C3888" w14:paraId="6290525D" w14:textId="77777777" w:rsidTr="00CB2574">
        <w:tc>
          <w:tcPr>
            <w:tcW w:w="3960" w:type="dxa"/>
          </w:tcPr>
          <w:p w14:paraId="07638DCB" w14:textId="2116DF9E" w:rsidR="00876107" w:rsidRPr="003C3888" w:rsidRDefault="00876107" w:rsidP="00876107">
            <w:r w:rsidRPr="003C3888">
              <w:t>and there is no new address and/or phone number</w:t>
            </w:r>
          </w:p>
        </w:tc>
        <w:tc>
          <w:tcPr>
            <w:tcW w:w="3690" w:type="dxa"/>
          </w:tcPr>
          <w:p w14:paraId="11436BEE" w14:textId="0F272341" w:rsidR="00876107" w:rsidRPr="003C3888" w:rsidRDefault="00876107" w:rsidP="00876107">
            <w:r w:rsidRPr="003C3888">
              <w:t xml:space="preserve">refer the case to the rating activity so a decision can be made on the claim. </w:t>
            </w:r>
          </w:p>
        </w:tc>
      </w:tr>
    </w:tbl>
    <w:p w14:paraId="53D88FFF" w14:textId="1A5F5431" w:rsidR="00876107" w:rsidRPr="003C3888" w:rsidRDefault="00876107" w:rsidP="0089440B">
      <w:r w:rsidRPr="003C3888">
        <w:tab/>
      </w: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89440B" w:rsidRPr="003C3888" w14:paraId="38E41670" w14:textId="77777777" w:rsidTr="0089440B">
        <w:tc>
          <w:tcPr>
            <w:tcW w:w="7740" w:type="dxa"/>
            <w:shd w:val="clear" w:color="auto" w:fill="auto"/>
          </w:tcPr>
          <w:p w14:paraId="4861EED1" w14:textId="77777777" w:rsidR="0089440B" w:rsidRPr="003C3888" w:rsidRDefault="0089440B" w:rsidP="0089440B">
            <w:r w:rsidRPr="003C3888">
              <w:rPr>
                <w:b/>
                <w:i/>
              </w:rPr>
              <w:t>References</w:t>
            </w:r>
            <w:r w:rsidRPr="003C3888">
              <w:t>:</w:t>
            </w:r>
            <w:r w:rsidRPr="003C3888">
              <w:rPr>
                <w:b/>
                <w:i/>
              </w:rPr>
              <w:t xml:space="preserve"> </w:t>
            </w:r>
            <w:r w:rsidRPr="003C3888">
              <w:t xml:space="preserve">For more information on </w:t>
            </w:r>
          </w:p>
          <w:p w14:paraId="7013AAE7" w14:textId="079EF255" w:rsidR="0089440B" w:rsidRPr="003C3888" w:rsidRDefault="0089440B" w:rsidP="0089440B">
            <w:pPr>
              <w:pStyle w:val="ListParagraph"/>
              <w:numPr>
                <w:ilvl w:val="0"/>
                <w:numId w:val="5"/>
              </w:numPr>
              <w:ind w:left="158" w:hanging="187"/>
            </w:pPr>
            <w:r w:rsidRPr="003C3888">
              <w:t>returned mail notifying the Veteran of a scheduled examination, see M21-1, Part III, Subpart ii, 3.B.1.b, and</w:t>
            </w:r>
          </w:p>
          <w:p w14:paraId="3FBFB734" w14:textId="2997DEBC" w:rsidR="0089440B" w:rsidRPr="003C3888" w:rsidRDefault="0089440B" w:rsidP="0089440B">
            <w:pPr>
              <w:pStyle w:val="ListParagraph"/>
              <w:numPr>
                <w:ilvl w:val="0"/>
                <w:numId w:val="18"/>
              </w:numPr>
              <w:ind w:left="158" w:hanging="187"/>
            </w:pPr>
            <w:r w:rsidRPr="003C3888">
              <w:t>referring the case to rating activity, see M21-1, Part III, Subpart ii, 3.B.2.a.</w:t>
            </w:r>
          </w:p>
        </w:tc>
      </w:tr>
    </w:tbl>
    <w:p w14:paraId="562D9A8D" w14:textId="024E219D" w:rsidR="0089440B" w:rsidRPr="003C3888" w:rsidRDefault="0089440B" w:rsidP="0089440B">
      <w:pPr>
        <w:tabs>
          <w:tab w:val="left" w:pos="9360"/>
        </w:tabs>
        <w:ind w:left="1714"/>
      </w:pPr>
      <w:r w:rsidRPr="003C3888">
        <w:rPr>
          <w:u w:val="single"/>
        </w:rPr>
        <w:tab/>
      </w:r>
    </w:p>
    <w:p w14:paraId="4DA03B2A" w14:textId="77777777" w:rsidR="0089440B" w:rsidRPr="003C3888" w:rsidRDefault="0089440B" w:rsidP="0089440B"/>
    <w:p w14:paraId="41250EDC" w14:textId="77777777" w:rsidR="001E7C4C" w:rsidRPr="003C3888" w:rsidRDefault="001E7C4C">
      <w:pPr>
        <w:rPr>
          <w:i/>
          <w:sz w:val="20"/>
          <w:szCs w:val="20"/>
        </w:rPr>
      </w:pPr>
      <w:r w:rsidRPr="003C3888">
        <w:br w:type="page"/>
      </w:r>
    </w:p>
    <w:p w14:paraId="00B5119F" w14:textId="6578AE6A" w:rsidR="000E5BF8" w:rsidRPr="003C3888" w:rsidRDefault="007C32CE" w:rsidP="004230BE">
      <w:pPr>
        <w:pStyle w:val="Heading4"/>
        <w:tabs>
          <w:tab w:val="left" w:pos="9360"/>
        </w:tabs>
      </w:pPr>
      <w:r w:rsidRPr="003C3888">
        <w:lastRenderedPageBreak/>
        <w:t>3</w:t>
      </w:r>
      <w:r w:rsidR="004B08C2" w:rsidRPr="003C3888">
        <w:t>.</w:t>
      </w:r>
      <w:r w:rsidR="000E5BF8" w:rsidRPr="003C3888">
        <w:t xml:space="preserve">  Rating Activity Action</w:t>
      </w:r>
      <w:r w:rsidR="00B50645" w:rsidRPr="003C3888">
        <w:t xml:space="preserve"> </w:t>
      </w:r>
      <w:r w:rsidR="000E5BF8" w:rsidRPr="003C3888">
        <w:t xml:space="preserve">After a </w:t>
      </w:r>
      <w:r w:rsidR="0093603E" w:rsidRPr="003C3888">
        <w:t>Veteran</w:t>
      </w:r>
      <w:r w:rsidR="000E5BF8" w:rsidRPr="003C3888">
        <w:t xml:space="preserve"> Fails to Report for a Scheduled Review Examination</w:t>
      </w:r>
    </w:p>
    <w:p w14:paraId="00B511A0" w14:textId="53791F24"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1AF" w14:textId="77777777" w:rsidTr="003B7F3D">
        <w:trPr>
          <w:cantSplit/>
        </w:trPr>
        <w:tc>
          <w:tcPr>
            <w:tcW w:w="1728" w:type="dxa"/>
            <w:shd w:val="clear" w:color="auto" w:fill="auto"/>
          </w:tcPr>
          <w:p w14:paraId="00B511A1" w14:textId="77777777" w:rsidR="000E5BF8" w:rsidRPr="003C3888" w:rsidRDefault="000E5BF8">
            <w:pPr>
              <w:pStyle w:val="Heading5"/>
            </w:pPr>
            <w:r w:rsidRPr="003C3888">
              <w:t>Introduction</w:t>
            </w:r>
          </w:p>
        </w:tc>
        <w:tc>
          <w:tcPr>
            <w:tcW w:w="7740" w:type="dxa"/>
            <w:shd w:val="clear" w:color="auto" w:fill="auto"/>
          </w:tcPr>
          <w:p w14:paraId="00B511A2" w14:textId="4941DD9F" w:rsidR="000E5BF8" w:rsidRPr="003C3888" w:rsidRDefault="000E5BF8" w:rsidP="003B7F3D">
            <w:pPr>
              <w:pStyle w:val="BlockText"/>
            </w:pPr>
            <w:r w:rsidRPr="003C3888">
              <w:t xml:space="preserve">This topic contains information on rating activity action after a </w:t>
            </w:r>
            <w:r w:rsidR="0093603E" w:rsidRPr="003C3888">
              <w:t>Veteran</w:t>
            </w:r>
            <w:r w:rsidRPr="003C3888">
              <w:t xml:space="preserve"> fails to report for a scheduled review examination</w:t>
            </w:r>
            <w:r w:rsidR="00CB2574" w:rsidRPr="003C3888">
              <w:t>, including</w:t>
            </w:r>
          </w:p>
          <w:p w14:paraId="00B511A3" w14:textId="77777777" w:rsidR="000E5BF8" w:rsidRPr="003C3888" w:rsidRDefault="000E5BF8" w:rsidP="003B7F3D">
            <w:pPr>
              <w:pStyle w:val="BlockText"/>
            </w:pPr>
          </w:p>
          <w:p w14:paraId="00B511A4" w14:textId="796DB10C" w:rsidR="000E5BF8" w:rsidRPr="003C3888" w:rsidRDefault="000E5BF8">
            <w:pPr>
              <w:pStyle w:val="BulletText1"/>
            </w:pPr>
            <w:r w:rsidRPr="003C3888">
              <w:t>referring cases to rating activity</w:t>
            </w:r>
          </w:p>
          <w:p w14:paraId="41AFF110" w14:textId="77777777" w:rsidR="00B847CB" w:rsidRPr="003C3888" w:rsidRDefault="00B847CB" w:rsidP="00B847CB">
            <w:pPr>
              <w:pStyle w:val="BulletText1"/>
            </w:pPr>
            <w:r w:rsidRPr="003C3888">
              <w:t>the preparation of a “Failure to Report” rating</w:t>
            </w:r>
          </w:p>
          <w:p w14:paraId="2979C39C" w14:textId="18BA56D9" w:rsidR="00E403D3" w:rsidRPr="003C3888" w:rsidRDefault="00E403D3" w:rsidP="00E403D3">
            <w:pPr>
              <w:pStyle w:val="BulletText1"/>
            </w:pPr>
            <w:r w:rsidRPr="003C3888">
              <w:t>definition</w:t>
            </w:r>
            <w:r w:rsidR="00CB2574" w:rsidRPr="003C3888">
              <w:t xml:space="preserve"> of a</w:t>
            </w:r>
            <w:r w:rsidR="007402CC" w:rsidRPr="003C3888">
              <w:t xml:space="preserve"> </w:t>
            </w:r>
            <w:r w:rsidRPr="003C3888">
              <w:t>static disability</w:t>
            </w:r>
          </w:p>
          <w:p w14:paraId="00B511A7" w14:textId="77777777" w:rsidR="000E5BF8" w:rsidRPr="003C3888" w:rsidRDefault="000E5BF8">
            <w:pPr>
              <w:pStyle w:val="BulletText1"/>
            </w:pPr>
            <w:r w:rsidRPr="003C3888">
              <w:t xml:space="preserve">the general action taken when a </w:t>
            </w:r>
            <w:r w:rsidR="0093603E" w:rsidRPr="003C3888">
              <w:t>Veteran</w:t>
            </w:r>
            <w:r w:rsidRPr="003C3888">
              <w:t xml:space="preserve"> fails to report for an examination</w:t>
            </w:r>
          </w:p>
          <w:p w14:paraId="00B511A8" w14:textId="77777777" w:rsidR="000E5BF8" w:rsidRPr="003C3888" w:rsidRDefault="000E5BF8">
            <w:pPr>
              <w:pStyle w:val="BulletText1"/>
            </w:pPr>
            <w:r w:rsidRPr="003C3888">
              <w:t xml:space="preserve">notifying the </w:t>
            </w:r>
            <w:r w:rsidR="0093603E" w:rsidRPr="003C3888">
              <w:t>Veteran</w:t>
            </w:r>
            <w:r w:rsidRPr="003C3888">
              <w:t xml:space="preserve"> of a “Failure to Report” rating without static disabilities or protected evaluations</w:t>
            </w:r>
          </w:p>
          <w:p w14:paraId="00B511A9" w14:textId="77777777" w:rsidR="000E5BF8" w:rsidRPr="003C3888" w:rsidRDefault="000E5BF8">
            <w:pPr>
              <w:pStyle w:val="BulletText1"/>
            </w:pPr>
            <w:r w:rsidRPr="003C3888">
              <w:t xml:space="preserve">the notice of proposed adverse action when the </w:t>
            </w:r>
            <w:r w:rsidR="0093603E" w:rsidRPr="003C3888">
              <w:t>Veteran</w:t>
            </w:r>
            <w:r w:rsidRPr="003C3888">
              <w:t xml:space="preserve"> has non-static and static disabilities or protected evaluations</w:t>
            </w:r>
          </w:p>
          <w:p w14:paraId="00B511AA" w14:textId="5D0042CB" w:rsidR="000E5BF8" w:rsidRPr="003C3888" w:rsidRDefault="000E5BF8">
            <w:pPr>
              <w:pStyle w:val="BulletText1"/>
            </w:pPr>
            <w:r w:rsidRPr="003C3888">
              <w:t xml:space="preserve">action to take when the </w:t>
            </w:r>
            <w:r w:rsidR="0093603E" w:rsidRPr="003C3888">
              <w:t>Veteran</w:t>
            </w:r>
            <w:r w:rsidRPr="003C3888">
              <w:t xml:space="preserve"> is ready to report for an examination</w:t>
            </w:r>
          </w:p>
          <w:p w14:paraId="00B511AC" w14:textId="77777777" w:rsidR="000E5BF8" w:rsidRPr="003C3888" w:rsidRDefault="000E5BF8">
            <w:pPr>
              <w:pStyle w:val="BulletText1"/>
            </w:pPr>
            <w:r w:rsidRPr="003C3888">
              <w:t xml:space="preserve">the action to take if a </w:t>
            </w:r>
            <w:r w:rsidR="0093603E" w:rsidRPr="003C3888">
              <w:t>Veteran</w:t>
            </w:r>
            <w:r w:rsidRPr="003C3888">
              <w:t xml:space="preserve"> requests a hearing</w:t>
            </w:r>
          </w:p>
          <w:p w14:paraId="00B511AD" w14:textId="4CA285FF" w:rsidR="000E5BF8" w:rsidRPr="003C3888" w:rsidRDefault="000E5BF8">
            <w:pPr>
              <w:pStyle w:val="BulletText1"/>
            </w:pPr>
            <w:r w:rsidRPr="003C3888">
              <w:t>the action to take</w:t>
            </w:r>
            <w:r w:rsidR="00BC78F7" w:rsidRPr="003C3888">
              <w:t xml:space="preserve"> if </w:t>
            </w:r>
            <w:r w:rsidRPr="003C3888">
              <w:t xml:space="preserve">the </w:t>
            </w:r>
            <w:r w:rsidR="0093603E" w:rsidRPr="003C3888">
              <w:t>Veteran</w:t>
            </w:r>
            <w:r w:rsidRPr="003C3888">
              <w:t xml:space="preserve"> fails to respond to a “Failure to Report” rating proposing termination of compensation payments, and</w:t>
            </w:r>
          </w:p>
          <w:p w14:paraId="00B511AE" w14:textId="77777777" w:rsidR="000E5BF8" w:rsidRPr="003C3888" w:rsidRDefault="000E5BF8">
            <w:pPr>
              <w:pStyle w:val="BulletText1"/>
            </w:pPr>
            <w:r w:rsidRPr="003C3888">
              <w:t xml:space="preserve">the action to take when the </w:t>
            </w:r>
            <w:r w:rsidR="0093603E" w:rsidRPr="003C3888">
              <w:t>Veteran</w:t>
            </w:r>
            <w:r w:rsidRPr="003C3888">
              <w:t xml:space="preserve"> fails to respond to a “Failure to Report” rating proposing a reduction in compensation.</w:t>
            </w:r>
          </w:p>
        </w:tc>
      </w:tr>
    </w:tbl>
    <w:p w14:paraId="00B511B0" w14:textId="77777777"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1B3" w14:textId="77777777" w:rsidTr="003B7F3D">
        <w:trPr>
          <w:cantSplit/>
        </w:trPr>
        <w:tc>
          <w:tcPr>
            <w:tcW w:w="1728" w:type="dxa"/>
            <w:shd w:val="clear" w:color="auto" w:fill="auto"/>
          </w:tcPr>
          <w:p w14:paraId="00B511B1" w14:textId="77777777" w:rsidR="000E5BF8" w:rsidRPr="003C3888" w:rsidRDefault="000E5BF8">
            <w:pPr>
              <w:pStyle w:val="Heading5"/>
            </w:pPr>
            <w:r w:rsidRPr="003C3888">
              <w:t>Change Date</w:t>
            </w:r>
          </w:p>
        </w:tc>
        <w:tc>
          <w:tcPr>
            <w:tcW w:w="7740" w:type="dxa"/>
            <w:shd w:val="clear" w:color="auto" w:fill="auto"/>
          </w:tcPr>
          <w:p w14:paraId="00B511B2" w14:textId="1F7C6568" w:rsidR="000E5BF8" w:rsidRPr="003C3888" w:rsidRDefault="00CB2574" w:rsidP="003B7F3D">
            <w:pPr>
              <w:pStyle w:val="BlockText"/>
            </w:pPr>
            <w:r w:rsidRPr="003C3888">
              <w:t>August 26, 2015</w:t>
            </w:r>
          </w:p>
        </w:tc>
      </w:tr>
    </w:tbl>
    <w:p w14:paraId="00B511B4" w14:textId="68AC7E18"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1BC" w14:textId="77777777" w:rsidTr="003B7F3D">
        <w:trPr>
          <w:cantSplit/>
        </w:trPr>
        <w:tc>
          <w:tcPr>
            <w:tcW w:w="1728" w:type="dxa"/>
            <w:shd w:val="clear" w:color="auto" w:fill="auto"/>
          </w:tcPr>
          <w:p w14:paraId="00B511B5" w14:textId="41DA9407" w:rsidR="000E5BF8" w:rsidRPr="003C3888" w:rsidRDefault="000E5BF8" w:rsidP="0049233E">
            <w:pPr>
              <w:pStyle w:val="Heading5"/>
            </w:pPr>
            <w:r w:rsidRPr="003C3888">
              <w:t>a.  Referring Cases to Rating Activity</w:t>
            </w:r>
          </w:p>
        </w:tc>
        <w:tc>
          <w:tcPr>
            <w:tcW w:w="7740" w:type="dxa"/>
            <w:shd w:val="clear" w:color="auto" w:fill="auto"/>
          </w:tcPr>
          <w:p w14:paraId="00B511B6" w14:textId="525507B7" w:rsidR="000E5BF8" w:rsidRPr="003C3888" w:rsidRDefault="000E5BF8" w:rsidP="003B7F3D">
            <w:pPr>
              <w:pStyle w:val="BlockText"/>
            </w:pPr>
            <w:r w:rsidRPr="003C3888">
              <w:t xml:space="preserve">Promptly refer any notice that a </w:t>
            </w:r>
            <w:r w:rsidR="0093603E" w:rsidRPr="003C3888">
              <w:t>Veteran</w:t>
            </w:r>
            <w:r w:rsidRPr="003C3888">
              <w:t xml:space="preserve"> failed to report for a scheduled examination to the rating activity </w:t>
            </w:r>
            <w:r w:rsidRPr="003C3888">
              <w:rPr>
                <w:i/>
              </w:rPr>
              <w:t>except</w:t>
            </w:r>
            <w:r w:rsidRPr="003C3888">
              <w:t xml:space="preserve"> when a better address is found, as described in M21</w:t>
            </w:r>
            <w:r w:rsidR="00024391" w:rsidRPr="003C3888">
              <w:t>-1</w:t>
            </w:r>
            <w:r w:rsidR="00FC23C4" w:rsidRPr="003C3888">
              <w:t xml:space="preserve"> Par</w:t>
            </w:r>
            <w:r w:rsidR="003053DA" w:rsidRPr="003C3888">
              <w:t>t IV, Subpart ii, 3.B.</w:t>
            </w:r>
            <w:r w:rsidR="00C93BB2" w:rsidRPr="003C3888">
              <w:t>1</w:t>
            </w:r>
            <w:r w:rsidR="003053DA" w:rsidRPr="003C3888">
              <w:t>.d</w:t>
            </w:r>
            <w:r w:rsidRPr="003C3888">
              <w:t>.</w:t>
            </w:r>
          </w:p>
          <w:p w14:paraId="00B511B7" w14:textId="77777777" w:rsidR="000E5BF8" w:rsidRPr="003C3888" w:rsidRDefault="000E5BF8" w:rsidP="003B7F3D">
            <w:pPr>
              <w:pStyle w:val="BlockText"/>
            </w:pPr>
          </w:p>
          <w:p w14:paraId="00B511B8" w14:textId="77777777" w:rsidR="000E5BF8" w:rsidRPr="003C3888" w:rsidRDefault="000E5BF8" w:rsidP="003B7F3D">
            <w:pPr>
              <w:pStyle w:val="BlockText"/>
            </w:pPr>
            <w:r w:rsidRPr="003C3888">
              <w:t xml:space="preserve">Based on the evidence of record, the rating activity will either </w:t>
            </w:r>
          </w:p>
          <w:p w14:paraId="00B511B9" w14:textId="77777777" w:rsidR="000E5BF8" w:rsidRPr="003C3888" w:rsidRDefault="000E5BF8" w:rsidP="003B7F3D">
            <w:pPr>
              <w:pStyle w:val="BlockText"/>
            </w:pPr>
          </w:p>
          <w:p w14:paraId="256BB316" w14:textId="77777777" w:rsidR="00402300" w:rsidRPr="003C3888" w:rsidRDefault="000E5BF8" w:rsidP="00402300">
            <w:pPr>
              <w:pStyle w:val="BulletText1"/>
            </w:pPr>
            <w:r w:rsidRPr="003C3888">
              <w:t>prepare a rating proposing to reduce the evaluation, or</w:t>
            </w:r>
          </w:p>
          <w:p w14:paraId="00B511BB" w14:textId="2FC2275D" w:rsidR="00402300" w:rsidRPr="003C3888" w:rsidRDefault="000E5BF8" w:rsidP="00402300">
            <w:pPr>
              <w:pStyle w:val="BulletText1"/>
            </w:pPr>
            <w:r w:rsidRPr="003C3888">
              <w:t>make a formal final decision on this issue.</w:t>
            </w:r>
          </w:p>
        </w:tc>
      </w:tr>
    </w:tbl>
    <w:p w14:paraId="39E1F7DF" w14:textId="3836EFE0" w:rsidR="00B847CB" w:rsidRPr="003C3888" w:rsidRDefault="00B847CB" w:rsidP="00CB2574">
      <w:pPr>
        <w:tabs>
          <w:tab w:val="left" w:pos="1714"/>
          <w:tab w:val="right" w:pos="9360"/>
        </w:tabs>
        <w:ind w:left="1714"/>
      </w:pPr>
      <w:r w:rsidRPr="003C3888">
        <w:rPr>
          <w:u w:val="single"/>
        </w:rPr>
        <w:tab/>
      </w:r>
    </w:p>
    <w:p w14:paraId="67310510" w14:textId="3921F90B" w:rsidR="00283A5C" w:rsidRPr="003C3888" w:rsidRDefault="00283A5C" w:rsidP="0047642F">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B2574" w:rsidRPr="003C3888" w14:paraId="72B070A6" w14:textId="77777777" w:rsidTr="00CB2574">
        <w:tc>
          <w:tcPr>
            <w:tcW w:w="1728" w:type="dxa"/>
            <w:shd w:val="clear" w:color="auto" w:fill="auto"/>
          </w:tcPr>
          <w:p w14:paraId="1BF5072F" w14:textId="77AE8522" w:rsidR="00CB2574" w:rsidRPr="003C3888" w:rsidRDefault="00CB2574" w:rsidP="00CB2574">
            <w:pPr>
              <w:pStyle w:val="Heading5"/>
            </w:pPr>
            <w:r w:rsidRPr="003C3888">
              <w:t>b.  Preparation of a “Failure to Report” Rating</w:t>
            </w:r>
          </w:p>
        </w:tc>
        <w:tc>
          <w:tcPr>
            <w:tcW w:w="7740" w:type="dxa"/>
            <w:shd w:val="clear" w:color="auto" w:fill="auto"/>
          </w:tcPr>
          <w:p w14:paraId="0B5B7190" w14:textId="77777777" w:rsidR="00CB2574" w:rsidRPr="003C3888" w:rsidRDefault="00CB2574" w:rsidP="00CB2574">
            <w:pPr>
              <w:pStyle w:val="BlockText"/>
            </w:pPr>
            <w:r w:rsidRPr="003C3888">
              <w:t>The rating activity prepares a “Failure to Report” rating if a Veteran fails to report for a scheduled Department of Veterans Affairs (VA) examination without good cause.</w:t>
            </w:r>
          </w:p>
          <w:p w14:paraId="4E204C9F" w14:textId="77777777" w:rsidR="00CB2574" w:rsidRPr="003C3888" w:rsidRDefault="00CB2574" w:rsidP="00CB2574">
            <w:pPr>
              <w:pStyle w:val="BlockText"/>
            </w:pPr>
          </w:p>
          <w:p w14:paraId="48284927" w14:textId="77777777" w:rsidR="00CB2574" w:rsidRPr="003C3888" w:rsidRDefault="00CB2574" w:rsidP="00CB2574">
            <w:pPr>
              <w:pStyle w:val="BlockText"/>
            </w:pPr>
            <w:r w:rsidRPr="003C3888">
              <w:t>VA’s precise course of action depends on the nature of the remaining disabilities.</w:t>
            </w:r>
          </w:p>
          <w:p w14:paraId="4C8B2B65" w14:textId="77777777" w:rsidR="00CB2574" w:rsidRPr="003C3888" w:rsidRDefault="00CB2574" w:rsidP="00CB2574">
            <w:pPr>
              <w:pStyle w:val="BlockText"/>
            </w:pPr>
          </w:p>
          <w:p w14:paraId="120C8D72" w14:textId="77777777" w:rsidR="00CB2574" w:rsidRPr="003C3888" w:rsidRDefault="00CB2574" w:rsidP="00CB2574">
            <w:pPr>
              <w:pStyle w:val="BlockText"/>
            </w:pPr>
            <w:r w:rsidRPr="003C3888">
              <w:t>No remaining static disabilities = proposal to terminate.</w:t>
            </w:r>
          </w:p>
          <w:p w14:paraId="069B1A65" w14:textId="77777777" w:rsidR="00CB2574" w:rsidRPr="003C3888" w:rsidRDefault="00CB2574" w:rsidP="00CB2574">
            <w:pPr>
              <w:pStyle w:val="BlockText"/>
            </w:pPr>
            <w:r w:rsidRPr="003C3888">
              <w:t>Remaining static disabilities = proposal to reduce.</w:t>
            </w:r>
          </w:p>
          <w:p w14:paraId="07504F37" w14:textId="77777777" w:rsidR="00CB2574" w:rsidRPr="003C3888" w:rsidRDefault="00CB2574" w:rsidP="00CB2574">
            <w:pPr>
              <w:pStyle w:val="BlockText"/>
            </w:pPr>
          </w:p>
          <w:p w14:paraId="2EFB9F23" w14:textId="77777777" w:rsidR="00CB2574" w:rsidRPr="003C3888" w:rsidRDefault="00CB2574" w:rsidP="00CB2574">
            <w:pPr>
              <w:pStyle w:val="BlockText"/>
            </w:pPr>
            <w:r w:rsidRPr="003C3888">
              <w:rPr>
                <w:b/>
                <w:i/>
              </w:rPr>
              <w:t>Notes</w:t>
            </w:r>
            <w:r w:rsidRPr="003C3888">
              <w:t xml:space="preserve">:  </w:t>
            </w:r>
          </w:p>
          <w:p w14:paraId="0614D75D" w14:textId="77777777" w:rsidR="00CB2574" w:rsidRPr="003C3888" w:rsidRDefault="00CB2574" w:rsidP="0089440B">
            <w:pPr>
              <w:pStyle w:val="ListParagraph"/>
              <w:numPr>
                <w:ilvl w:val="0"/>
                <w:numId w:val="8"/>
              </w:numPr>
              <w:ind w:left="158" w:hanging="187"/>
            </w:pPr>
            <w:r w:rsidRPr="003C3888">
              <w:t xml:space="preserve">If the Veteran has no static disabilities or protected evaluations, then the </w:t>
            </w:r>
            <w:r w:rsidRPr="003C3888">
              <w:lastRenderedPageBreak/>
              <w:t xml:space="preserve">rating will propose reduction of the evaluation assigned to the disability(ies) for which the review examination was scheduled to the minimum or noncompensable level.  In the </w:t>
            </w:r>
            <w:r w:rsidRPr="003C3888">
              <w:rPr>
                <w:i/>
                <w:iCs/>
              </w:rPr>
              <w:t>Reasons for Decision</w:t>
            </w:r>
            <w:r w:rsidRPr="003C3888">
              <w:t xml:space="preserve"> section of the rating decision, state that “</w:t>
            </w:r>
            <w:r w:rsidRPr="003C3888">
              <w:rPr>
                <w:i/>
              </w:rPr>
              <w:t>The Veteran failed to report for a review examination and there are no static disabilities</w:t>
            </w:r>
            <w:r w:rsidRPr="003C3888">
              <w:t>.”</w:t>
            </w:r>
          </w:p>
          <w:p w14:paraId="22214DC0" w14:textId="6896AF7F" w:rsidR="00CB2574" w:rsidRPr="003C3888" w:rsidRDefault="00CB2574" w:rsidP="0089440B">
            <w:pPr>
              <w:pStyle w:val="ListParagraph"/>
              <w:numPr>
                <w:ilvl w:val="0"/>
                <w:numId w:val="17"/>
              </w:numPr>
              <w:ind w:left="158" w:hanging="187"/>
            </w:pPr>
            <w:r w:rsidRPr="003C3888">
              <w:t xml:space="preserve">If the Veteran </w:t>
            </w:r>
            <w:r w:rsidRPr="003C3888">
              <w:rPr>
                <w:iCs/>
              </w:rPr>
              <w:t>has</w:t>
            </w:r>
            <w:r w:rsidRPr="003C3888">
              <w:t xml:space="preserve"> other static disabilities or protected evaluations, then reduce the evaluation of the disability(ies) for which the review examination was scheduled and pay compensation based on the combined evaluation of all disabilities.</w:t>
            </w:r>
          </w:p>
        </w:tc>
      </w:tr>
    </w:tbl>
    <w:p w14:paraId="421BA1FB" w14:textId="77777777" w:rsidR="00CB2574" w:rsidRPr="003C3888" w:rsidRDefault="00CB2574" w:rsidP="0047642F">
      <w:pPr>
        <w:ind w:left="1714"/>
      </w:pPr>
    </w:p>
    <w:tbl>
      <w:tblPr>
        <w:tblW w:w="0" w:type="auto"/>
        <w:tblLayout w:type="fixed"/>
        <w:tblLook w:val="0000" w:firstRow="0" w:lastRow="0" w:firstColumn="0" w:lastColumn="0" w:noHBand="0" w:noVBand="0"/>
      </w:tblPr>
      <w:tblGrid>
        <w:gridCol w:w="1728"/>
        <w:gridCol w:w="7740"/>
      </w:tblGrid>
      <w:tr w:rsidR="00283A5C" w:rsidRPr="003C3888" w14:paraId="1B89C8C1" w14:textId="68D8A693" w:rsidTr="00EC598B">
        <w:trPr>
          <w:cantSplit/>
          <w:trHeight w:val="153"/>
        </w:trPr>
        <w:tc>
          <w:tcPr>
            <w:tcW w:w="1728" w:type="dxa"/>
            <w:tcBorders>
              <w:top w:val="nil"/>
              <w:left w:val="nil"/>
              <w:bottom w:val="nil"/>
              <w:right w:val="nil"/>
            </w:tcBorders>
            <w:shd w:val="clear" w:color="auto" w:fill="auto"/>
          </w:tcPr>
          <w:p w14:paraId="76C5BB2C" w14:textId="3FA361CE" w:rsidR="00283A5C" w:rsidRPr="003C3888" w:rsidRDefault="00283A5C" w:rsidP="00EC598B">
            <w:pPr>
              <w:pStyle w:val="Heading5"/>
            </w:pPr>
            <w:r w:rsidRPr="003C3888">
              <w:t>c.  Definition: Static Disability</w:t>
            </w:r>
          </w:p>
        </w:tc>
        <w:tc>
          <w:tcPr>
            <w:tcW w:w="7740" w:type="dxa"/>
            <w:tcBorders>
              <w:top w:val="nil"/>
              <w:left w:val="nil"/>
              <w:bottom w:val="nil"/>
              <w:right w:val="nil"/>
            </w:tcBorders>
            <w:shd w:val="clear" w:color="auto" w:fill="auto"/>
          </w:tcPr>
          <w:p w14:paraId="1AAA8A56" w14:textId="79EBDF0B" w:rsidR="00283A5C" w:rsidRPr="003C3888" w:rsidRDefault="00283A5C" w:rsidP="00EC598B">
            <w:pPr>
              <w:pStyle w:val="BlockText"/>
            </w:pPr>
            <w:r w:rsidRPr="003C3888">
              <w:t xml:space="preserve">A </w:t>
            </w:r>
            <w:r w:rsidRPr="003C3888">
              <w:rPr>
                <w:b/>
                <w:i/>
              </w:rPr>
              <w:t>static disability</w:t>
            </w:r>
            <w:r w:rsidRPr="003C3888">
              <w:t xml:space="preserve"> is a disability that is considered permanent by its nature, history and severity.  It is assigned a permanent evaluation without the need for future examinations to determine whether or not the disability has improved.</w:t>
            </w:r>
          </w:p>
        </w:tc>
      </w:tr>
    </w:tbl>
    <w:p w14:paraId="26AD2C05" w14:textId="77777777" w:rsidR="00283A5C" w:rsidRPr="003C3888" w:rsidRDefault="00283A5C" w:rsidP="0047642F">
      <w:pPr>
        <w:ind w:left="1714"/>
      </w:pPr>
    </w:p>
    <w:tbl>
      <w:tblPr>
        <w:tblW w:w="0" w:type="auto"/>
        <w:tblLayout w:type="fixed"/>
        <w:tblLook w:val="0000" w:firstRow="0" w:lastRow="0" w:firstColumn="0" w:lastColumn="0" w:noHBand="0" w:noVBand="0"/>
      </w:tblPr>
      <w:tblGrid>
        <w:gridCol w:w="1728"/>
        <w:gridCol w:w="7740"/>
      </w:tblGrid>
      <w:tr w:rsidR="000E5BF8" w:rsidRPr="003C3888" w14:paraId="00B511DC" w14:textId="77777777" w:rsidTr="003B7F3D">
        <w:trPr>
          <w:cantSplit/>
        </w:trPr>
        <w:tc>
          <w:tcPr>
            <w:tcW w:w="1728" w:type="dxa"/>
            <w:shd w:val="clear" w:color="auto" w:fill="auto"/>
          </w:tcPr>
          <w:p w14:paraId="00B511D3" w14:textId="2547B5F8" w:rsidR="000E5BF8" w:rsidRPr="003C3888" w:rsidRDefault="00E403D3">
            <w:pPr>
              <w:pStyle w:val="Heading5"/>
            </w:pPr>
            <w:r w:rsidRPr="003C3888">
              <w:t>d</w:t>
            </w:r>
            <w:r w:rsidR="00870262" w:rsidRPr="003C3888">
              <w:t xml:space="preserve">.  </w:t>
            </w:r>
            <w:r w:rsidR="000E5BF8" w:rsidRPr="003C3888">
              <w:t xml:space="preserve">General Action Taken When a </w:t>
            </w:r>
            <w:r w:rsidR="0093603E" w:rsidRPr="003C3888">
              <w:t>Veteran</w:t>
            </w:r>
            <w:r w:rsidR="000E5BF8" w:rsidRPr="003C3888">
              <w:t xml:space="preserve"> Fails to Report for an Examination</w:t>
            </w:r>
          </w:p>
        </w:tc>
        <w:tc>
          <w:tcPr>
            <w:tcW w:w="7740" w:type="dxa"/>
            <w:shd w:val="clear" w:color="auto" w:fill="auto"/>
          </w:tcPr>
          <w:p w14:paraId="00B511D4" w14:textId="77777777" w:rsidR="000E5BF8" w:rsidRPr="003C3888" w:rsidRDefault="000E5BF8" w:rsidP="003B7F3D">
            <w:pPr>
              <w:pStyle w:val="BlockText"/>
            </w:pPr>
            <w:r w:rsidRPr="003C3888">
              <w:t xml:space="preserve">If the rating activity determines that the evidence of record is insufficient to justify continuation of a current disability evaluation because a </w:t>
            </w:r>
            <w:r w:rsidR="0093603E" w:rsidRPr="003C3888">
              <w:t>Veteran</w:t>
            </w:r>
            <w:r w:rsidRPr="003C3888">
              <w:t xml:space="preserve"> failed to report for an examination</w:t>
            </w:r>
          </w:p>
          <w:p w14:paraId="00B511D5" w14:textId="77777777" w:rsidR="000E5BF8" w:rsidRPr="003C3888" w:rsidRDefault="000E5BF8" w:rsidP="003B7F3D">
            <w:pPr>
              <w:pStyle w:val="BlockText"/>
            </w:pPr>
          </w:p>
          <w:p w14:paraId="00B511D6" w14:textId="77777777" w:rsidR="000E5BF8" w:rsidRPr="003C3888" w:rsidRDefault="000E5BF8">
            <w:pPr>
              <w:pStyle w:val="BulletText1"/>
            </w:pPr>
            <w:r w:rsidRPr="003C3888">
              <w:t>the rating activity prepares a rating proposing a reduced evaluation, possibly to a noncompensable level, and</w:t>
            </w:r>
          </w:p>
          <w:p w14:paraId="00B511D7" w14:textId="77777777" w:rsidR="000E5BF8" w:rsidRPr="003C3888" w:rsidRDefault="000E5BF8">
            <w:pPr>
              <w:pStyle w:val="BulletText1"/>
            </w:pPr>
            <w:r w:rsidRPr="003C3888">
              <w:t>the authorization activity</w:t>
            </w:r>
          </w:p>
          <w:p w14:paraId="00B511D8" w14:textId="77777777" w:rsidR="000E5BF8" w:rsidRPr="003C3888" w:rsidRDefault="000E5BF8">
            <w:pPr>
              <w:pStyle w:val="BulletText2"/>
            </w:pPr>
            <w:r w:rsidRPr="003C3888">
              <w:t>clears (PCLR) an end product (EP) 310, using the date that the examination request was issued as the date of claim</w:t>
            </w:r>
          </w:p>
          <w:p w14:paraId="00B511D9" w14:textId="77777777" w:rsidR="000E5BF8" w:rsidRPr="003C3888" w:rsidRDefault="000E5BF8">
            <w:pPr>
              <w:pStyle w:val="BulletText2"/>
            </w:pPr>
            <w:r w:rsidRPr="003C3888">
              <w:t xml:space="preserve">establishes EP 600 with a suspense date 65 days from the date notice of the proposed reduction is sent to the </w:t>
            </w:r>
            <w:r w:rsidR="0093603E" w:rsidRPr="003C3888">
              <w:t>Veteran</w:t>
            </w:r>
          </w:p>
          <w:p w14:paraId="7A1B57D2" w14:textId="789287C3" w:rsidR="00A914BF" w:rsidRPr="003C3888" w:rsidRDefault="000E5BF8">
            <w:pPr>
              <w:pStyle w:val="BulletText2"/>
            </w:pPr>
            <w:r w:rsidRPr="003C3888">
              <w:t xml:space="preserve">sends the </w:t>
            </w:r>
            <w:r w:rsidR="0093603E" w:rsidRPr="003C3888">
              <w:t>Veteran</w:t>
            </w:r>
            <w:r w:rsidRPr="003C3888">
              <w:t xml:space="preserve"> a notice of proposed adverse action under </w:t>
            </w:r>
            <w:hyperlink r:id="rId20" w:history="1">
              <w:r w:rsidR="00A914BF" w:rsidRPr="003C3888">
                <w:rPr>
                  <w:rStyle w:val="Hyperlink"/>
                </w:rPr>
                <w:t>38 CFR 3.103(b)</w:t>
              </w:r>
            </w:hyperlink>
            <w:r w:rsidR="00A914BF" w:rsidRPr="003C3888">
              <w:t>, and</w:t>
            </w:r>
          </w:p>
          <w:p w14:paraId="00B511DB" w14:textId="4D9AA151" w:rsidR="000E5BF8" w:rsidRPr="003C3888" w:rsidRDefault="000E5BF8">
            <w:pPr>
              <w:pStyle w:val="BulletText2"/>
            </w:pPr>
            <w:r w:rsidRPr="003C3888">
              <w:t>continues current payments.</w:t>
            </w:r>
          </w:p>
        </w:tc>
      </w:tr>
    </w:tbl>
    <w:p w14:paraId="00B511DD" w14:textId="3C6E4CA4" w:rsidR="000E5BF8" w:rsidRPr="003C3888" w:rsidRDefault="000E5BF8" w:rsidP="003B7F3D">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1E5" w14:textId="77777777" w:rsidTr="0061264E">
        <w:trPr>
          <w:trHeight w:val="3510"/>
        </w:trPr>
        <w:tc>
          <w:tcPr>
            <w:tcW w:w="1728" w:type="dxa"/>
            <w:tcBorders>
              <w:top w:val="nil"/>
              <w:left w:val="nil"/>
              <w:bottom w:val="nil"/>
              <w:right w:val="nil"/>
            </w:tcBorders>
            <w:shd w:val="clear" w:color="auto" w:fill="auto"/>
          </w:tcPr>
          <w:p w14:paraId="00B511DE" w14:textId="366D311E" w:rsidR="000E5BF8" w:rsidRPr="003C3888" w:rsidRDefault="0047642F" w:rsidP="00110F4D">
            <w:pPr>
              <w:pStyle w:val="Heading5"/>
            </w:pPr>
            <w:r w:rsidRPr="003C3888">
              <w:t>e</w:t>
            </w:r>
            <w:r w:rsidR="000E5BF8" w:rsidRPr="003C3888">
              <w:t xml:space="preserve">.  Notification of a “Failure to Report” Rating Without Static Disabilities or Protected Evaluations </w:t>
            </w:r>
            <w:r w:rsidR="00443A20" w:rsidRPr="003C3888">
              <w:t xml:space="preserve"> </w:t>
            </w:r>
          </w:p>
        </w:tc>
        <w:tc>
          <w:tcPr>
            <w:tcW w:w="7740" w:type="dxa"/>
            <w:tcBorders>
              <w:top w:val="nil"/>
              <w:left w:val="nil"/>
              <w:bottom w:val="nil"/>
              <w:right w:val="nil"/>
            </w:tcBorders>
            <w:shd w:val="clear" w:color="auto" w:fill="auto"/>
          </w:tcPr>
          <w:p w14:paraId="00B511DF" w14:textId="6DDB1246" w:rsidR="000E5BF8" w:rsidRPr="003C3888" w:rsidRDefault="000E5BF8" w:rsidP="003B7F3D">
            <w:pPr>
              <w:pStyle w:val="BlockText"/>
            </w:pPr>
            <w:r w:rsidRPr="003C3888">
              <w:t xml:space="preserve">If the rating activity prepares a “Failure to Report” rating and there are no static disabilities or protected evaluations, send the </w:t>
            </w:r>
            <w:r w:rsidR="0093603E" w:rsidRPr="003C3888">
              <w:t>Veteran</w:t>
            </w:r>
            <w:r w:rsidRPr="003C3888">
              <w:t xml:space="preserve"> a notice of proposed adverse action </w:t>
            </w:r>
          </w:p>
          <w:p w14:paraId="00B511E0" w14:textId="77777777" w:rsidR="000E5BF8" w:rsidRPr="003C3888" w:rsidRDefault="000E5BF8" w:rsidP="003B7F3D">
            <w:pPr>
              <w:pStyle w:val="BlockText"/>
            </w:pPr>
          </w:p>
          <w:p w14:paraId="00B511E1" w14:textId="2315CC00" w:rsidR="000E5BF8" w:rsidRPr="003C3888" w:rsidRDefault="000E5BF8">
            <w:pPr>
              <w:pStyle w:val="BulletText1"/>
            </w:pPr>
            <w:r w:rsidRPr="003C3888">
              <w:t xml:space="preserve">advising that VA must </w:t>
            </w:r>
            <w:r w:rsidR="00D92743" w:rsidRPr="003C3888">
              <w:t xml:space="preserve">discontinue </w:t>
            </w:r>
            <w:r w:rsidRPr="003C3888">
              <w:t>compensation payments because he/she did not report for the scheduled examination and the evidence of record is not sufficient to justify continued entitlement</w:t>
            </w:r>
          </w:p>
          <w:p w14:paraId="00B511E2" w14:textId="163FF1A5" w:rsidR="000E5BF8" w:rsidRPr="003C3888" w:rsidRDefault="000E5BF8">
            <w:pPr>
              <w:pStyle w:val="BulletText1"/>
            </w:pPr>
            <w:r w:rsidRPr="003C3888">
              <w:t xml:space="preserve">including the proposed </w:t>
            </w:r>
            <w:r w:rsidR="004D46AB" w:rsidRPr="003C3888">
              <w:t xml:space="preserve">discontinue </w:t>
            </w:r>
            <w:r w:rsidRPr="003C3888">
              <w:t xml:space="preserve">date, which is no earlier than the first day of the month 60 days after the </w:t>
            </w:r>
            <w:r w:rsidR="0093603E" w:rsidRPr="003C3888">
              <w:t>Veteran</w:t>
            </w:r>
            <w:r w:rsidRPr="003C3888">
              <w:t xml:space="preserve"> is notified of the proposed adverse action </w:t>
            </w:r>
          </w:p>
          <w:p w14:paraId="00B511E3" w14:textId="77777777" w:rsidR="000E5BF8" w:rsidRPr="003C3888" w:rsidRDefault="000E5BF8">
            <w:pPr>
              <w:pStyle w:val="BulletText1"/>
            </w:pPr>
            <w:r w:rsidRPr="003C3888">
              <w:t xml:space="preserve">furnishing due process rights, and </w:t>
            </w:r>
          </w:p>
          <w:p w14:paraId="00B511E4" w14:textId="5280E936" w:rsidR="00EC598B" w:rsidRPr="003C3888" w:rsidRDefault="000E5BF8" w:rsidP="00CB2574">
            <w:pPr>
              <w:pStyle w:val="BulletText1"/>
            </w:pPr>
            <w:r w:rsidRPr="003C3888">
              <w:t xml:space="preserve">asking the </w:t>
            </w:r>
            <w:r w:rsidR="0093603E" w:rsidRPr="003C3888">
              <w:t>Veteran</w:t>
            </w:r>
            <w:r w:rsidRPr="003C3888">
              <w:t xml:space="preserve"> to respond promptly if he/she is now ready to report for the examination.</w:t>
            </w:r>
          </w:p>
        </w:tc>
      </w:tr>
    </w:tbl>
    <w:p w14:paraId="00B511E8" w14:textId="6E7EF4F6"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1F1" w14:textId="77777777" w:rsidTr="00CB2574">
        <w:tc>
          <w:tcPr>
            <w:tcW w:w="1728" w:type="dxa"/>
            <w:tcBorders>
              <w:top w:val="nil"/>
              <w:left w:val="nil"/>
              <w:bottom w:val="nil"/>
              <w:right w:val="nil"/>
            </w:tcBorders>
            <w:shd w:val="clear" w:color="auto" w:fill="auto"/>
          </w:tcPr>
          <w:p w14:paraId="00B511E9" w14:textId="6DB73725" w:rsidR="000E5BF8" w:rsidRPr="003C3888" w:rsidRDefault="0047642F">
            <w:pPr>
              <w:pStyle w:val="Heading5"/>
            </w:pPr>
            <w:r w:rsidRPr="003C3888">
              <w:t>f</w:t>
            </w:r>
            <w:r w:rsidR="000E5BF8" w:rsidRPr="003C3888">
              <w:t xml:space="preserve">.  Notice of Proposed Adverse Action </w:t>
            </w:r>
            <w:r w:rsidR="000E5BF8" w:rsidRPr="003C3888">
              <w:lastRenderedPageBreak/>
              <w:t xml:space="preserve">When the </w:t>
            </w:r>
            <w:r w:rsidR="0093603E" w:rsidRPr="003C3888">
              <w:t>Veteran</w:t>
            </w:r>
            <w:r w:rsidR="000E5BF8" w:rsidRPr="003C3888">
              <w:t xml:space="preserve"> Has Non-Static and Static Disabilities or Protected Evaluations</w:t>
            </w:r>
          </w:p>
        </w:tc>
        <w:tc>
          <w:tcPr>
            <w:tcW w:w="7740" w:type="dxa"/>
            <w:tcBorders>
              <w:top w:val="nil"/>
              <w:left w:val="nil"/>
              <w:bottom w:val="nil"/>
              <w:right w:val="nil"/>
            </w:tcBorders>
            <w:shd w:val="clear" w:color="auto" w:fill="auto"/>
          </w:tcPr>
          <w:p w14:paraId="00B511EA" w14:textId="77777777" w:rsidR="000E5BF8" w:rsidRPr="003C3888" w:rsidRDefault="000E5BF8" w:rsidP="003B7F3D">
            <w:pPr>
              <w:pStyle w:val="BlockText"/>
            </w:pPr>
            <w:r w:rsidRPr="003C3888">
              <w:lastRenderedPageBreak/>
              <w:t xml:space="preserve">If a rating proposes a reduced evaluation for one or more non-static disabilities, but the </w:t>
            </w:r>
            <w:r w:rsidR="0093603E" w:rsidRPr="003C3888">
              <w:t>Veteran</w:t>
            </w:r>
            <w:r w:rsidRPr="003C3888">
              <w:t xml:space="preserve"> also has one or more static disabilities or protected evaluations, send a notice of proposed adverse action to the </w:t>
            </w:r>
            <w:r w:rsidR="0093603E" w:rsidRPr="003C3888">
              <w:t>Veteran</w:t>
            </w:r>
          </w:p>
          <w:p w14:paraId="00B511EB" w14:textId="77777777" w:rsidR="000E5BF8" w:rsidRPr="003C3888" w:rsidRDefault="000E5BF8" w:rsidP="003B7F3D">
            <w:pPr>
              <w:pStyle w:val="BlockText"/>
            </w:pPr>
          </w:p>
          <w:p w14:paraId="00B511EC" w14:textId="77777777" w:rsidR="000E5BF8" w:rsidRPr="003C3888" w:rsidRDefault="000E5BF8">
            <w:pPr>
              <w:pStyle w:val="BulletText1"/>
            </w:pPr>
            <w:r w:rsidRPr="003C3888">
              <w:t>advising that VA intends to reduce compensation payments to the rate payable for the static or protected disabilities because he/she failed to report for the scheduled examination of non-static disabilities</w:t>
            </w:r>
          </w:p>
          <w:p w14:paraId="00B511ED" w14:textId="77777777" w:rsidR="000E5BF8" w:rsidRPr="003C3888" w:rsidRDefault="000E5BF8">
            <w:pPr>
              <w:pStyle w:val="BulletText1"/>
            </w:pPr>
            <w:r w:rsidRPr="003C3888">
              <w:t>listing the non-static disabilities and each static disability or disability with a protected evaluation with the corresponding evaluation and the proposed new combined evaluation</w:t>
            </w:r>
          </w:p>
          <w:p w14:paraId="00B511EE" w14:textId="77777777" w:rsidR="000E5BF8" w:rsidRPr="003C3888" w:rsidRDefault="000E5BF8">
            <w:pPr>
              <w:pStyle w:val="BulletText1"/>
            </w:pPr>
            <w:r w:rsidRPr="003C3888">
              <w:t xml:space="preserve">providing the proposed effective date of reduction, which is no earlier than the first day of the month, 60 days after the </w:t>
            </w:r>
            <w:r w:rsidR="0093603E" w:rsidRPr="003C3888">
              <w:t>Veteran</w:t>
            </w:r>
            <w:r w:rsidRPr="003C3888">
              <w:t xml:space="preserve"> is notified of the proposed adverse action</w:t>
            </w:r>
          </w:p>
          <w:p w14:paraId="00B511EF" w14:textId="31B0014C" w:rsidR="000E5BF8" w:rsidRPr="003C3888" w:rsidRDefault="000E5BF8">
            <w:pPr>
              <w:pStyle w:val="BulletText1"/>
            </w:pPr>
            <w:r w:rsidRPr="003C3888">
              <w:t>including information about due process rights</w:t>
            </w:r>
            <w:r w:rsidR="008A2A66" w:rsidRPr="003C3888">
              <w:t>, and</w:t>
            </w:r>
          </w:p>
          <w:p w14:paraId="7ABC8B1A" w14:textId="0383E341" w:rsidR="009F6AD3" w:rsidRPr="003C3888" w:rsidRDefault="000E5BF8" w:rsidP="002017A0">
            <w:pPr>
              <w:pStyle w:val="BulletText1"/>
            </w:pPr>
            <w:r w:rsidRPr="003C3888">
              <w:t xml:space="preserve">asking the </w:t>
            </w:r>
            <w:r w:rsidR="0093603E" w:rsidRPr="003C3888">
              <w:t>Veteran</w:t>
            </w:r>
            <w:r w:rsidRPr="003C3888">
              <w:t xml:space="preserve"> respond promptly if he/she is now ready to report for the examinatio</w:t>
            </w:r>
            <w:r w:rsidR="00443A20" w:rsidRPr="003C3888">
              <w:t>n.</w:t>
            </w:r>
          </w:p>
          <w:p w14:paraId="769A0D5A" w14:textId="77777777" w:rsidR="00443A20" w:rsidRPr="003C3888" w:rsidRDefault="00443A20" w:rsidP="00443A20">
            <w:pPr>
              <w:pStyle w:val="BulletText1"/>
              <w:numPr>
                <w:ilvl w:val="0"/>
                <w:numId w:val="0"/>
              </w:numPr>
              <w:ind w:left="173"/>
            </w:pPr>
          </w:p>
          <w:p w14:paraId="00B511F0" w14:textId="170ADBE1" w:rsidR="00F001FA" w:rsidRPr="003C3888" w:rsidRDefault="00D36314" w:rsidP="001C65B9">
            <w:pPr>
              <w:pStyle w:val="BulletText1"/>
              <w:numPr>
                <w:ilvl w:val="0"/>
                <w:numId w:val="0"/>
              </w:numPr>
            </w:pPr>
            <w:r w:rsidRPr="003C3888">
              <w:rPr>
                <w:b/>
                <w:i/>
              </w:rPr>
              <w:t>Note</w:t>
            </w:r>
            <w:r w:rsidRPr="003C3888">
              <w:t>:</w:t>
            </w:r>
            <w:r w:rsidRPr="003C3888">
              <w:rPr>
                <w:b/>
              </w:rPr>
              <w:t xml:space="preserve"> </w:t>
            </w:r>
            <w:r w:rsidRPr="003C3888">
              <w:t>If the Veteran does not respond within the 60-day timeframe, send the claim to the rating activity for a final rating</w:t>
            </w:r>
            <w:r w:rsidR="00876107" w:rsidRPr="003C3888">
              <w:t>, see M21-1, Part IV</w:t>
            </w:r>
            <w:r w:rsidR="00370397" w:rsidRPr="003C3888">
              <w:t xml:space="preserve">, Subpart ii, </w:t>
            </w:r>
            <w:r w:rsidR="00876107" w:rsidRPr="003C3888">
              <w:t>3.B.4.b</w:t>
            </w:r>
            <w:r w:rsidRPr="003C3888">
              <w:t xml:space="preserve">. </w:t>
            </w:r>
          </w:p>
        </w:tc>
      </w:tr>
    </w:tbl>
    <w:p w14:paraId="00B511F2" w14:textId="178862DA"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206" w14:textId="77777777" w:rsidTr="0061264E">
        <w:tc>
          <w:tcPr>
            <w:tcW w:w="1728" w:type="dxa"/>
            <w:shd w:val="clear" w:color="auto" w:fill="auto"/>
          </w:tcPr>
          <w:p w14:paraId="00B511F3" w14:textId="63265E9A" w:rsidR="000E5BF8" w:rsidRPr="003C3888" w:rsidRDefault="0047642F">
            <w:pPr>
              <w:pStyle w:val="Heading5"/>
            </w:pPr>
            <w:r w:rsidRPr="003C3888">
              <w:t>g</w:t>
            </w:r>
            <w:r w:rsidR="00EA0067" w:rsidRPr="003C3888">
              <w:t xml:space="preserve">. </w:t>
            </w:r>
            <w:r w:rsidR="000E5BF8" w:rsidRPr="003C3888">
              <w:t xml:space="preserve"> Action to Take When the </w:t>
            </w:r>
            <w:r w:rsidR="0093603E" w:rsidRPr="003C3888">
              <w:t>Veteran</w:t>
            </w:r>
            <w:r w:rsidR="000E5BF8" w:rsidRPr="003C3888">
              <w:t xml:space="preserve"> Is Ready to Report for an Examination</w:t>
            </w:r>
          </w:p>
        </w:tc>
        <w:tc>
          <w:tcPr>
            <w:tcW w:w="7740" w:type="dxa"/>
            <w:shd w:val="clear" w:color="auto" w:fill="auto"/>
          </w:tcPr>
          <w:p w14:paraId="00B511F4" w14:textId="77777777" w:rsidR="000E5BF8" w:rsidRPr="003C3888" w:rsidRDefault="000E5BF8" w:rsidP="003B7F3D">
            <w:pPr>
              <w:pStyle w:val="BlockText"/>
            </w:pPr>
            <w:r w:rsidRPr="003C3888">
              <w:t xml:space="preserve">If notice is received that the </w:t>
            </w:r>
            <w:r w:rsidR="0093603E" w:rsidRPr="003C3888">
              <w:t>Veteran</w:t>
            </w:r>
            <w:r w:rsidRPr="003C3888">
              <w:t xml:space="preserve"> is willing to report for an examination before the award is reduced or suspended</w:t>
            </w:r>
          </w:p>
          <w:p w14:paraId="00B511F5" w14:textId="77777777" w:rsidR="000E5BF8" w:rsidRPr="003C3888" w:rsidRDefault="000E5BF8" w:rsidP="003B7F3D">
            <w:pPr>
              <w:pStyle w:val="BlockText"/>
            </w:pPr>
          </w:p>
          <w:p w14:paraId="00B511F6" w14:textId="77777777" w:rsidR="000E5BF8" w:rsidRPr="003C3888" w:rsidRDefault="000E5BF8">
            <w:pPr>
              <w:pStyle w:val="BulletText1"/>
            </w:pPr>
            <w:r w:rsidRPr="003C3888">
              <w:t>continue the EP 600</w:t>
            </w:r>
          </w:p>
          <w:p w14:paraId="00B511F7" w14:textId="77777777" w:rsidR="000E5BF8" w:rsidRPr="003C3888" w:rsidRDefault="000E5BF8">
            <w:pPr>
              <w:pStyle w:val="BulletText1"/>
            </w:pPr>
            <w:r w:rsidRPr="003C3888">
              <w:t xml:space="preserve">defer adjustment of the award </w:t>
            </w:r>
          </w:p>
          <w:p w14:paraId="00B511F8" w14:textId="77777777" w:rsidR="000E5BF8" w:rsidRPr="003C3888" w:rsidRDefault="000E5BF8">
            <w:pPr>
              <w:pStyle w:val="BulletText1"/>
            </w:pPr>
            <w:r w:rsidRPr="003C3888">
              <w:t>refer the case for preparation of a new examination request, and</w:t>
            </w:r>
          </w:p>
          <w:p w14:paraId="00B511F9" w14:textId="77777777" w:rsidR="000E5BF8" w:rsidRPr="003C3888" w:rsidRDefault="000E5BF8">
            <w:pPr>
              <w:pStyle w:val="BulletText1"/>
            </w:pPr>
            <w:r w:rsidRPr="003C3888">
              <w:t xml:space="preserve">notify the </w:t>
            </w:r>
            <w:r w:rsidR="0093603E" w:rsidRPr="003C3888">
              <w:t>Veteran</w:t>
            </w:r>
            <w:r w:rsidRPr="003C3888">
              <w:t xml:space="preserve"> that</w:t>
            </w:r>
          </w:p>
          <w:p w14:paraId="00B511FA" w14:textId="77777777" w:rsidR="000E5BF8" w:rsidRPr="003C3888" w:rsidRDefault="000E5BF8">
            <w:pPr>
              <w:pStyle w:val="BulletText2"/>
            </w:pPr>
            <w:r w:rsidRPr="003C3888">
              <w:t xml:space="preserve">the examination will be rescheduled, and </w:t>
            </w:r>
          </w:p>
          <w:p w14:paraId="00B511FB" w14:textId="77777777" w:rsidR="000E5BF8" w:rsidRPr="003C3888" w:rsidRDefault="000E5BF8">
            <w:pPr>
              <w:pStyle w:val="BulletText2"/>
            </w:pPr>
            <w:r w:rsidRPr="003C3888">
              <w:t xml:space="preserve">if he/she again fails to report for the examination, benefit payments will be reduced or suspended immediately.  </w:t>
            </w:r>
          </w:p>
          <w:p w14:paraId="00B511FC" w14:textId="77777777" w:rsidR="000E5BF8" w:rsidRPr="003C3888" w:rsidRDefault="000E5BF8" w:rsidP="003B7F3D">
            <w:pPr>
              <w:pStyle w:val="BlockText"/>
            </w:pPr>
          </w:p>
          <w:p w14:paraId="00B511FD" w14:textId="77777777" w:rsidR="000E5BF8" w:rsidRPr="003C3888" w:rsidRDefault="000E5BF8" w:rsidP="003B7F3D">
            <w:pPr>
              <w:pStyle w:val="BlockText"/>
            </w:pPr>
            <w:r w:rsidRPr="003C3888">
              <w:t xml:space="preserve">If the </w:t>
            </w:r>
            <w:r w:rsidR="0093603E" w:rsidRPr="003C3888">
              <w:t>Veteran</w:t>
            </w:r>
            <w:r w:rsidRPr="003C3888">
              <w:t xml:space="preserve"> fails to report for the rescheduled examination</w:t>
            </w:r>
          </w:p>
          <w:p w14:paraId="00B511FE" w14:textId="77777777" w:rsidR="000E5BF8" w:rsidRPr="003C3888" w:rsidRDefault="000E5BF8" w:rsidP="003B7F3D">
            <w:pPr>
              <w:pStyle w:val="BlockText"/>
            </w:pPr>
          </w:p>
          <w:p w14:paraId="00B511FF" w14:textId="77777777" w:rsidR="000E5BF8" w:rsidRPr="003C3888" w:rsidRDefault="000E5BF8">
            <w:pPr>
              <w:pStyle w:val="BulletText1"/>
            </w:pPr>
            <w:r w:rsidRPr="003C3888">
              <w:t xml:space="preserve">suspend the </w:t>
            </w:r>
            <w:r w:rsidR="0093603E" w:rsidRPr="003C3888">
              <w:t>Veteran</w:t>
            </w:r>
            <w:r w:rsidRPr="003C3888">
              <w:t>’s award if there are no static disabilities and/or protected evaluations, or</w:t>
            </w:r>
          </w:p>
          <w:p w14:paraId="00B51200" w14:textId="77777777" w:rsidR="000E5BF8" w:rsidRPr="003C3888" w:rsidRDefault="000E5BF8">
            <w:pPr>
              <w:pStyle w:val="BulletText1"/>
            </w:pPr>
            <w:r w:rsidRPr="003C3888">
              <w:t xml:space="preserve">reduce to the rate payable for the static evaluations, and </w:t>
            </w:r>
          </w:p>
          <w:p w14:paraId="00B51201" w14:textId="77777777" w:rsidR="000E5BF8" w:rsidRPr="003C3888" w:rsidRDefault="000E5BF8">
            <w:pPr>
              <w:pStyle w:val="BulletText1"/>
            </w:pPr>
            <w:r w:rsidRPr="003C3888">
              <w:t xml:space="preserve">furnish contemporaneous notice of the action taken to the </w:t>
            </w:r>
            <w:r w:rsidR="0093603E" w:rsidRPr="003C3888">
              <w:t>Veteran</w:t>
            </w:r>
            <w:r w:rsidRPr="003C3888">
              <w:t>.</w:t>
            </w:r>
          </w:p>
          <w:p w14:paraId="00B51202" w14:textId="77777777" w:rsidR="000E5BF8" w:rsidRPr="003C3888" w:rsidRDefault="000E5BF8" w:rsidP="003B7F3D">
            <w:pPr>
              <w:pStyle w:val="BlockText"/>
            </w:pPr>
          </w:p>
          <w:p w14:paraId="00B51203" w14:textId="77777777" w:rsidR="00B2192D" w:rsidRPr="003C3888" w:rsidRDefault="000E5BF8" w:rsidP="003B7F3D">
            <w:pPr>
              <w:pStyle w:val="BlockText"/>
            </w:pPr>
            <w:r w:rsidRPr="003C3888">
              <w:rPr>
                <w:b/>
                <w:i/>
              </w:rPr>
              <w:t>Reference</w:t>
            </w:r>
            <w:r w:rsidR="00B2192D" w:rsidRPr="003C3888">
              <w:rPr>
                <w:b/>
                <w:i/>
              </w:rPr>
              <w:t>s</w:t>
            </w:r>
            <w:r w:rsidRPr="003C3888">
              <w:t xml:space="preserve">:  For information on </w:t>
            </w:r>
          </w:p>
          <w:p w14:paraId="00B51204" w14:textId="7CAB3D12" w:rsidR="000E5BF8" w:rsidRPr="003C3888" w:rsidRDefault="000E5BF8" w:rsidP="00B2192D">
            <w:pPr>
              <w:pStyle w:val="BulletText1"/>
            </w:pPr>
            <w:r w:rsidRPr="003C3888">
              <w:t>contemporaneous notices</w:t>
            </w:r>
            <w:r w:rsidR="00151737" w:rsidRPr="003C3888">
              <w:t xml:space="preserve">, </w:t>
            </w:r>
            <w:r w:rsidRPr="003C3888">
              <w:t xml:space="preserve">see </w:t>
            </w:r>
            <w:r w:rsidR="007402CC" w:rsidRPr="003C3888">
              <w:t>M21-1, Part I, 2.D</w:t>
            </w:r>
            <w:r w:rsidR="00B2192D" w:rsidRPr="003C3888">
              <w:t xml:space="preserve">, and </w:t>
            </w:r>
          </w:p>
          <w:p w14:paraId="00B51205" w14:textId="2E27DA2D" w:rsidR="00D3797E" w:rsidRPr="003C3888" w:rsidRDefault="00B2192D" w:rsidP="00CB2574">
            <w:pPr>
              <w:pStyle w:val="BulletText1"/>
            </w:pPr>
            <w:r w:rsidRPr="003C3888">
              <w:t xml:space="preserve">considering good cause when a Veteran fails to report, see </w:t>
            </w:r>
            <w:r w:rsidR="001D01F8" w:rsidRPr="003C3888">
              <w:t>M21</w:t>
            </w:r>
            <w:r w:rsidR="001E5B5B" w:rsidRPr="003C3888">
              <w:t>-1</w:t>
            </w:r>
            <w:r w:rsidR="001D01F8" w:rsidRPr="003C3888">
              <w:t>,</w:t>
            </w:r>
            <w:r w:rsidR="001E5B5B" w:rsidRPr="003C3888">
              <w:t xml:space="preserve"> </w:t>
            </w:r>
            <w:r w:rsidR="001D01F8" w:rsidRPr="003C3888">
              <w:t>Part I</w:t>
            </w:r>
            <w:r w:rsidR="00B04908" w:rsidRPr="003C3888">
              <w:t>,</w:t>
            </w:r>
            <w:r w:rsidR="00283A5C" w:rsidRPr="003C3888">
              <w:t xml:space="preserve"> </w:t>
            </w:r>
            <w:r w:rsidR="00553DDD" w:rsidRPr="003C3888">
              <w:t>1.C.3.</w:t>
            </w:r>
            <w:r w:rsidR="00B04908" w:rsidRPr="003C3888">
              <w:t>k.</w:t>
            </w:r>
          </w:p>
        </w:tc>
      </w:tr>
    </w:tbl>
    <w:p w14:paraId="03948784" w14:textId="7AAB4227" w:rsidR="00EA0067" w:rsidRPr="003C3888" w:rsidRDefault="00EA0067" w:rsidP="00EA0067">
      <w:pPr>
        <w:pStyle w:val="MapTitleContinued"/>
        <w:tabs>
          <w:tab w:val="left" w:pos="9360"/>
        </w:tabs>
        <w:ind w:left="1714"/>
        <w:rPr>
          <w:rFonts w:ascii="Times New Roman" w:hAnsi="Times New Roman" w:cs="Times New Roman"/>
          <w:b w:val="0"/>
          <w:sz w:val="24"/>
          <w:szCs w:val="24"/>
        </w:rPr>
      </w:pPr>
      <w:r w:rsidRPr="003C3888">
        <w:rPr>
          <w:rFonts w:ascii="Times New Roman" w:hAnsi="Times New Roman" w:cs="Times New Roman"/>
          <w:b w:val="0"/>
          <w:sz w:val="24"/>
          <w:szCs w:val="24"/>
          <w:u w:val="single"/>
        </w:rPr>
        <w:tab/>
      </w:r>
    </w:p>
    <w:tbl>
      <w:tblPr>
        <w:tblW w:w="0" w:type="auto"/>
        <w:tblLayout w:type="fixed"/>
        <w:tblLook w:val="0000" w:firstRow="0" w:lastRow="0" w:firstColumn="0" w:lastColumn="0" w:noHBand="0" w:noVBand="0"/>
      </w:tblPr>
      <w:tblGrid>
        <w:gridCol w:w="1728"/>
        <w:gridCol w:w="7740"/>
      </w:tblGrid>
      <w:tr w:rsidR="000E5BF8" w:rsidRPr="003C3888" w14:paraId="00B51223" w14:textId="77777777" w:rsidTr="00CB2574">
        <w:tc>
          <w:tcPr>
            <w:tcW w:w="1728" w:type="dxa"/>
            <w:tcBorders>
              <w:top w:val="nil"/>
              <w:left w:val="nil"/>
              <w:bottom w:val="nil"/>
              <w:right w:val="nil"/>
            </w:tcBorders>
            <w:shd w:val="clear" w:color="auto" w:fill="auto"/>
          </w:tcPr>
          <w:p w14:paraId="00B51219" w14:textId="2E261205" w:rsidR="000E5BF8" w:rsidRPr="003C3888" w:rsidRDefault="0047642F" w:rsidP="00AF4C5F">
            <w:pPr>
              <w:pStyle w:val="Heading5"/>
            </w:pPr>
            <w:r w:rsidRPr="003C3888">
              <w:t>h</w:t>
            </w:r>
            <w:r w:rsidR="00893C41" w:rsidRPr="003C3888">
              <w:t>.</w:t>
            </w:r>
            <w:r w:rsidR="000E5BF8" w:rsidRPr="003C3888">
              <w:t xml:space="preserve">  Action to Take </w:t>
            </w:r>
            <w:r w:rsidR="006C2300" w:rsidRPr="003C3888">
              <w:t>if a</w:t>
            </w:r>
            <w:r w:rsidR="000E5BF8" w:rsidRPr="003C3888">
              <w:t xml:space="preserve"> </w:t>
            </w:r>
            <w:r w:rsidR="0093603E" w:rsidRPr="003C3888">
              <w:t>Veteran</w:t>
            </w:r>
            <w:r w:rsidR="000E5BF8" w:rsidRPr="003C3888">
              <w:t xml:space="preserve"> Requests a Hearing</w:t>
            </w:r>
          </w:p>
        </w:tc>
        <w:tc>
          <w:tcPr>
            <w:tcW w:w="7740" w:type="dxa"/>
            <w:tcBorders>
              <w:top w:val="nil"/>
              <w:left w:val="nil"/>
              <w:bottom w:val="nil"/>
              <w:right w:val="nil"/>
            </w:tcBorders>
            <w:shd w:val="clear" w:color="auto" w:fill="auto"/>
          </w:tcPr>
          <w:p w14:paraId="3A68A480" w14:textId="634583C9" w:rsidR="004D46AB" w:rsidRPr="003C3888" w:rsidRDefault="004D46AB" w:rsidP="003B7F3D">
            <w:pPr>
              <w:pStyle w:val="BlockText"/>
            </w:pPr>
            <w:r w:rsidRPr="003C3888">
              <w:t>Upon request, the Veteran is entitled to a hearing to introduce, in person, any available evidence which he/she considers a pertinent argument in connection with the proposed adverse action.</w:t>
            </w:r>
          </w:p>
          <w:p w14:paraId="75EFE9F5" w14:textId="77777777" w:rsidR="004D46AB" w:rsidRPr="003C3888" w:rsidRDefault="004D46AB" w:rsidP="004D46AB">
            <w:pPr>
              <w:pStyle w:val="BlockText"/>
            </w:pPr>
          </w:p>
          <w:p w14:paraId="0FEF6247" w14:textId="77777777" w:rsidR="004D46AB" w:rsidRPr="003C3888" w:rsidRDefault="004D46AB" w:rsidP="004D46AB">
            <w:pPr>
              <w:pStyle w:val="BlockText"/>
            </w:pPr>
            <w:r w:rsidRPr="003C3888">
              <w:t>If the Veteran’s request for a hearing is received within 30 days of the date of the notice of proposed adverse action</w:t>
            </w:r>
          </w:p>
          <w:p w14:paraId="6D9A0473" w14:textId="77777777" w:rsidR="004D46AB" w:rsidRPr="003C3888" w:rsidRDefault="004D46AB" w:rsidP="004D46AB">
            <w:pPr>
              <w:pStyle w:val="BlockText"/>
            </w:pPr>
          </w:p>
          <w:p w14:paraId="48A994A1" w14:textId="77777777" w:rsidR="004D46AB" w:rsidRPr="003C3888" w:rsidRDefault="004D46AB" w:rsidP="004D46AB">
            <w:pPr>
              <w:pStyle w:val="BulletText1"/>
            </w:pPr>
            <w:r w:rsidRPr="003C3888">
              <w:t>continue the end product, and</w:t>
            </w:r>
          </w:p>
          <w:p w14:paraId="2CB7D110" w14:textId="77777777" w:rsidR="004D46AB" w:rsidRPr="003C3888" w:rsidRDefault="004D46AB" w:rsidP="004D46AB">
            <w:pPr>
              <w:pStyle w:val="BulletText1"/>
            </w:pPr>
            <w:r w:rsidRPr="003C3888">
              <w:t xml:space="preserve">do </w:t>
            </w:r>
            <w:r w:rsidRPr="003C3888">
              <w:rPr>
                <w:i/>
              </w:rPr>
              <w:t>not</w:t>
            </w:r>
            <w:r w:rsidRPr="003C3888">
              <w:t xml:space="preserve"> adjust the Veteran’s award until either </w:t>
            </w:r>
          </w:p>
          <w:p w14:paraId="22DC0DDC" w14:textId="77777777" w:rsidR="004D46AB" w:rsidRPr="003C3888" w:rsidRDefault="004D46AB" w:rsidP="004D46AB">
            <w:pPr>
              <w:pStyle w:val="BulletText2"/>
            </w:pPr>
            <w:r w:rsidRPr="003C3888">
              <w:t>the hearing is held, any evidence requested as a result of the hearing is received or deemed unobtainable, and a final decision is made, or</w:t>
            </w:r>
          </w:p>
          <w:p w14:paraId="6F0C697D" w14:textId="77777777" w:rsidR="004D46AB" w:rsidRPr="003C3888" w:rsidRDefault="004D46AB" w:rsidP="0089440B">
            <w:pPr>
              <w:pStyle w:val="ListParagraph"/>
              <w:numPr>
                <w:ilvl w:val="0"/>
                <w:numId w:val="13"/>
              </w:numPr>
              <w:ind w:left="346" w:hanging="187"/>
            </w:pPr>
            <w:r w:rsidRPr="003C3888">
              <w:t>the Veteran fails to appear for the hearing without good cause.</w:t>
            </w:r>
          </w:p>
          <w:p w14:paraId="51990209" w14:textId="77777777" w:rsidR="004D46AB" w:rsidRPr="003C3888" w:rsidRDefault="004D46AB" w:rsidP="004D46AB">
            <w:pPr>
              <w:pStyle w:val="BlockText"/>
            </w:pPr>
          </w:p>
          <w:p w14:paraId="00B51222" w14:textId="49E9B7C1" w:rsidR="000E5BF8" w:rsidRPr="003C3888" w:rsidRDefault="004D46AB" w:rsidP="00CB2574">
            <w:pPr>
              <w:pStyle w:val="BlockText"/>
            </w:pPr>
            <w:r w:rsidRPr="003C3888">
              <w:rPr>
                <w:b/>
                <w:i/>
              </w:rPr>
              <w:t>Reference</w:t>
            </w:r>
            <w:r w:rsidRPr="003C3888">
              <w:t>:  For information on what action to take when a hearing is requested, see M21-1, Part I,</w:t>
            </w:r>
            <w:r w:rsidRPr="003C3888" w:rsidDel="00370397">
              <w:t xml:space="preserve"> </w:t>
            </w:r>
            <w:r w:rsidRPr="003C3888">
              <w:t>2.C.3.</w:t>
            </w:r>
          </w:p>
        </w:tc>
      </w:tr>
    </w:tbl>
    <w:p w14:paraId="00B51226" w14:textId="664504CF"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229" w14:textId="77777777" w:rsidTr="003B7F3D">
        <w:trPr>
          <w:cantSplit/>
        </w:trPr>
        <w:tc>
          <w:tcPr>
            <w:tcW w:w="1728" w:type="dxa"/>
            <w:tcBorders>
              <w:top w:val="nil"/>
              <w:left w:val="nil"/>
              <w:bottom w:val="nil"/>
              <w:right w:val="nil"/>
            </w:tcBorders>
            <w:shd w:val="clear" w:color="auto" w:fill="auto"/>
          </w:tcPr>
          <w:p w14:paraId="00B51227" w14:textId="263B44ED" w:rsidR="0027623F" w:rsidRPr="003C3888" w:rsidRDefault="0047642F" w:rsidP="00DD1D35">
            <w:pPr>
              <w:pStyle w:val="Heading5"/>
            </w:pPr>
            <w:r w:rsidRPr="003C3888">
              <w:t>i</w:t>
            </w:r>
            <w:r w:rsidR="007B3CB3" w:rsidRPr="003C3888">
              <w:t>.</w:t>
            </w:r>
            <w:r w:rsidR="000E5BF8" w:rsidRPr="003C3888">
              <w:t xml:space="preserve">  Action to Take </w:t>
            </w:r>
            <w:r w:rsidR="00B43DA7" w:rsidRPr="003C3888">
              <w:t xml:space="preserve">If </w:t>
            </w:r>
            <w:r w:rsidR="000E5BF8" w:rsidRPr="003C3888">
              <w:t xml:space="preserve">the </w:t>
            </w:r>
            <w:r w:rsidR="0093603E" w:rsidRPr="003C3888">
              <w:t>Veteran</w:t>
            </w:r>
            <w:r w:rsidR="000E5BF8" w:rsidRPr="003C3888">
              <w:t xml:space="preserve"> Fails to Respond to a “Failure to Report” Rating Proposing Termination of Compensation Payments</w:t>
            </w:r>
          </w:p>
        </w:tc>
        <w:tc>
          <w:tcPr>
            <w:tcW w:w="7740" w:type="dxa"/>
            <w:tcBorders>
              <w:top w:val="nil"/>
              <w:left w:val="nil"/>
              <w:bottom w:val="nil"/>
              <w:right w:val="nil"/>
            </w:tcBorders>
            <w:shd w:val="clear" w:color="auto" w:fill="auto"/>
          </w:tcPr>
          <w:p w14:paraId="00B51228" w14:textId="77777777" w:rsidR="000E5BF8" w:rsidRPr="003C3888" w:rsidRDefault="000E5BF8" w:rsidP="003B7F3D">
            <w:pPr>
              <w:pStyle w:val="BlockText"/>
            </w:pPr>
            <w:r w:rsidRPr="003C3888">
              <w:t xml:space="preserve">Use the information below to determine the action to take if the </w:t>
            </w:r>
            <w:r w:rsidR="0093603E" w:rsidRPr="003C3888">
              <w:t>Veteran</w:t>
            </w:r>
            <w:r w:rsidRPr="003C3888">
              <w:t xml:space="preserve"> fails to respond to notification of a “Failure to Report” rating, proposing termination of compensation payments because no static disabilities or disabilities with protected evaluations exist.</w:t>
            </w:r>
          </w:p>
        </w:tc>
      </w:tr>
    </w:tbl>
    <w:p w14:paraId="00B5122A" w14:textId="77777777" w:rsidR="000E5BF8" w:rsidRPr="003C3888" w:rsidRDefault="000E5BF8"/>
    <w:tbl>
      <w:tblPr>
        <w:tblW w:w="7596" w:type="dxa"/>
        <w:tblInd w:w="1872" w:type="dxa"/>
        <w:tblLayout w:type="fixed"/>
        <w:tblCellMar>
          <w:left w:w="80" w:type="dxa"/>
          <w:right w:w="80" w:type="dxa"/>
        </w:tblCellMar>
        <w:tblLook w:val="0000" w:firstRow="0" w:lastRow="0" w:firstColumn="0" w:lastColumn="0" w:noHBand="0" w:noVBand="0"/>
      </w:tblPr>
      <w:tblGrid>
        <w:gridCol w:w="3791"/>
        <w:gridCol w:w="3805"/>
      </w:tblGrid>
      <w:tr w:rsidR="000E5BF8" w:rsidRPr="003C3888" w14:paraId="00B5122D" w14:textId="77777777" w:rsidTr="00B53E30">
        <w:tc>
          <w:tcPr>
            <w:tcW w:w="3773" w:type="dxa"/>
            <w:tcBorders>
              <w:top w:val="single" w:sz="6" w:space="0" w:color="auto"/>
              <w:left w:val="single" w:sz="6" w:space="0" w:color="auto"/>
              <w:bottom w:val="single" w:sz="6" w:space="0" w:color="auto"/>
              <w:right w:val="single" w:sz="6" w:space="0" w:color="auto"/>
            </w:tcBorders>
            <w:shd w:val="clear" w:color="auto" w:fill="auto"/>
          </w:tcPr>
          <w:p w14:paraId="00B5122B" w14:textId="77777777" w:rsidR="000E5BF8" w:rsidRPr="003C3888" w:rsidRDefault="000E5BF8" w:rsidP="003B7F3D">
            <w:pPr>
              <w:pStyle w:val="TableHeaderText"/>
              <w:jc w:val="left"/>
            </w:pPr>
            <w:r w:rsidRPr="003C3888">
              <w:t>If …</w:t>
            </w:r>
          </w:p>
        </w:tc>
        <w:tc>
          <w:tcPr>
            <w:tcW w:w="3787" w:type="dxa"/>
            <w:tcBorders>
              <w:top w:val="single" w:sz="6" w:space="0" w:color="auto"/>
              <w:left w:val="single" w:sz="6" w:space="0" w:color="auto"/>
              <w:bottom w:val="single" w:sz="6" w:space="0" w:color="auto"/>
              <w:right w:val="single" w:sz="6" w:space="0" w:color="auto"/>
            </w:tcBorders>
            <w:shd w:val="clear" w:color="auto" w:fill="auto"/>
          </w:tcPr>
          <w:p w14:paraId="00B5122C" w14:textId="77777777" w:rsidR="000E5BF8" w:rsidRPr="003C3888" w:rsidRDefault="000E5BF8" w:rsidP="003B7F3D">
            <w:pPr>
              <w:pStyle w:val="TableHeaderText"/>
              <w:jc w:val="left"/>
            </w:pPr>
            <w:r w:rsidRPr="003C3888">
              <w:t>Then …</w:t>
            </w:r>
          </w:p>
        </w:tc>
      </w:tr>
      <w:tr w:rsidR="000E5BF8" w:rsidRPr="003C3888" w14:paraId="00B51233" w14:textId="77777777" w:rsidTr="00B53E30">
        <w:tc>
          <w:tcPr>
            <w:tcW w:w="3773" w:type="dxa"/>
            <w:tcBorders>
              <w:top w:val="single" w:sz="6" w:space="0" w:color="auto"/>
              <w:left w:val="single" w:sz="6" w:space="0" w:color="auto"/>
              <w:bottom w:val="single" w:sz="6" w:space="0" w:color="auto"/>
              <w:right w:val="single" w:sz="6" w:space="0" w:color="auto"/>
            </w:tcBorders>
          </w:tcPr>
          <w:p w14:paraId="00B5122E" w14:textId="77777777" w:rsidR="000E5BF8" w:rsidRPr="003C3888" w:rsidRDefault="000E5BF8" w:rsidP="003B7F3D">
            <w:pPr>
              <w:pStyle w:val="TableText"/>
            </w:pPr>
            <w:r w:rsidRPr="003C3888">
              <w:t xml:space="preserve">the </w:t>
            </w:r>
            <w:r w:rsidR="0093603E" w:rsidRPr="003C3888">
              <w:t>Veteran</w:t>
            </w:r>
            <w:r w:rsidRPr="003C3888">
              <w:t xml:space="preserve"> has not responded within 60 days of the date he/she was notified of the proposed adverse action</w:t>
            </w:r>
          </w:p>
        </w:tc>
        <w:tc>
          <w:tcPr>
            <w:tcW w:w="3787" w:type="dxa"/>
            <w:tcBorders>
              <w:top w:val="single" w:sz="6" w:space="0" w:color="auto"/>
              <w:left w:val="single" w:sz="6" w:space="0" w:color="auto"/>
              <w:bottom w:val="single" w:sz="6" w:space="0" w:color="auto"/>
              <w:right w:val="single" w:sz="6" w:space="0" w:color="auto"/>
            </w:tcBorders>
          </w:tcPr>
          <w:p w14:paraId="00B51231" w14:textId="431C727E" w:rsidR="000E5BF8" w:rsidRPr="003C3888" w:rsidRDefault="004D46AB" w:rsidP="0089440B">
            <w:pPr>
              <w:pStyle w:val="ListParagraph"/>
              <w:numPr>
                <w:ilvl w:val="0"/>
                <w:numId w:val="6"/>
              </w:numPr>
              <w:ind w:left="158" w:hanging="187"/>
            </w:pPr>
            <w:r w:rsidRPr="003C3888">
              <w:t>discontinue</w:t>
            </w:r>
            <w:r w:rsidR="005F6AC7" w:rsidRPr="003C3888">
              <w:t xml:space="preserve"> the award using the “</w:t>
            </w:r>
            <w:r w:rsidR="005F6AC7" w:rsidRPr="003C3888">
              <w:rPr>
                <w:i/>
              </w:rPr>
              <w:t>Faile</w:t>
            </w:r>
            <w:r w:rsidR="004352DB" w:rsidRPr="003C3888">
              <w:rPr>
                <w:i/>
              </w:rPr>
              <w:t>d to Furnish Requested Evidence</w:t>
            </w:r>
            <w:r w:rsidR="004352DB" w:rsidRPr="003C3888">
              <w:t xml:space="preserve">” basic eligibility decision, and </w:t>
            </w:r>
          </w:p>
          <w:p w14:paraId="0C63DEFA" w14:textId="76CCCB53" w:rsidR="004352DB" w:rsidRPr="003C3888" w:rsidRDefault="004352DB" w:rsidP="0089440B">
            <w:pPr>
              <w:pStyle w:val="ListParagraph"/>
              <w:numPr>
                <w:ilvl w:val="0"/>
                <w:numId w:val="6"/>
              </w:numPr>
              <w:ind w:left="158" w:hanging="187"/>
            </w:pPr>
            <w:r w:rsidRPr="003C3888">
              <w:t>send final notice to the Veteran that includes procedural and appellate rights</w:t>
            </w:r>
            <w:r w:rsidR="00AF28B1" w:rsidRPr="003C3888">
              <w:t xml:space="preserve"> as well as a copy of </w:t>
            </w:r>
            <w:r w:rsidR="00AF28B1" w:rsidRPr="003C3888">
              <w:rPr>
                <w:i/>
              </w:rPr>
              <w:t>VA Form 21-0958</w:t>
            </w:r>
            <w:r w:rsidR="00AF28B1" w:rsidRPr="003C3888">
              <w:t xml:space="preserve">, </w:t>
            </w:r>
            <w:r w:rsidR="00AF28B1" w:rsidRPr="003C3888">
              <w:rPr>
                <w:i/>
              </w:rPr>
              <w:t>Notice of Disagreement</w:t>
            </w:r>
            <w:r w:rsidR="00AF28B1" w:rsidRPr="003C3888">
              <w:t>.</w:t>
            </w:r>
          </w:p>
          <w:p w14:paraId="06472080" w14:textId="77777777" w:rsidR="004352DB" w:rsidRPr="003C3888" w:rsidRDefault="004352DB" w:rsidP="004352DB">
            <w:pPr>
              <w:pStyle w:val="ListParagraph"/>
              <w:ind w:left="158"/>
            </w:pPr>
          </w:p>
          <w:p w14:paraId="00B51232" w14:textId="63784E91" w:rsidR="0027623F" w:rsidRPr="003C3888" w:rsidRDefault="00483555" w:rsidP="00743286">
            <w:pPr>
              <w:pStyle w:val="TableText"/>
            </w:pPr>
            <w:r w:rsidRPr="003C3888">
              <w:rPr>
                <w:b/>
                <w:i/>
              </w:rPr>
              <w:t>Reference</w:t>
            </w:r>
            <w:r w:rsidRPr="003C3888">
              <w:t xml:space="preserve">: </w:t>
            </w:r>
            <w:r w:rsidR="00AF28B1" w:rsidRPr="003C3888">
              <w:t xml:space="preserve">Unless there is justification for resuming benefits, </w:t>
            </w:r>
            <w:r w:rsidR="004D46AB" w:rsidRPr="003C3888">
              <w:t xml:space="preserve">discontinue </w:t>
            </w:r>
            <w:r w:rsidR="00C063D9" w:rsidRPr="003C3888">
              <w:t xml:space="preserve">the </w:t>
            </w:r>
            <w:r w:rsidR="00870262" w:rsidRPr="003C3888">
              <w:t>award</w:t>
            </w:r>
            <w:r w:rsidR="00AF28B1" w:rsidRPr="003C3888">
              <w:t xml:space="preserve"> per </w:t>
            </w:r>
            <w:r w:rsidR="000E5BF8" w:rsidRPr="003C3888">
              <w:t>M21-</w:t>
            </w:r>
            <w:r w:rsidR="009273DA" w:rsidRPr="003C3888">
              <w:t>1</w:t>
            </w:r>
            <w:r w:rsidR="000E5BF8" w:rsidRPr="003C3888">
              <w:t xml:space="preserve"> Part IV, Subpart ii, 3.B.</w:t>
            </w:r>
            <w:r w:rsidRPr="003C3888">
              <w:t>3.d</w:t>
            </w:r>
            <w:r w:rsidR="000E5BF8" w:rsidRPr="003C3888">
              <w:t>.</w:t>
            </w:r>
          </w:p>
        </w:tc>
      </w:tr>
      <w:tr w:rsidR="000E5BF8" w:rsidRPr="003C3888" w14:paraId="00B5123A" w14:textId="77777777" w:rsidTr="00B53E30">
        <w:tc>
          <w:tcPr>
            <w:tcW w:w="3773" w:type="dxa"/>
            <w:tcBorders>
              <w:top w:val="single" w:sz="6" w:space="0" w:color="auto"/>
              <w:left w:val="single" w:sz="6" w:space="0" w:color="auto"/>
              <w:bottom w:val="single" w:sz="6" w:space="0" w:color="auto"/>
              <w:right w:val="single" w:sz="6" w:space="0" w:color="auto"/>
            </w:tcBorders>
          </w:tcPr>
          <w:p w14:paraId="00B51234" w14:textId="71B68293" w:rsidR="000E5BF8" w:rsidRPr="003C3888" w:rsidRDefault="000E5BF8" w:rsidP="003B7F3D">
            <w:pPr>
              <w:pStyle w:val="TableText"/>
            </w:pPr>
            <w:r w:rsidRPr="003C3888">
              <w:t>the notice of proposed adverse action is returned because</w:t>
            </w:r>
          </w:p>
          <w:p w14:paraId="00B51235" w14:textId="77777777" w:rsidR="000E5BF8" w:rsidRPr="003C3888" w:rsidRDefault="000E5BF8" w:rsidP="003B7F3D">
            <w:pPr>
              <w:pStyle w:val="TableText"/>
            </w:pPr>
          </w:p>
          <w:p w14:paraId="00B51236" w14:textId="77777777" w:rsidR="000E5BF8" w:rsidRPr="003C3888" w:rsidRDefault="000E5BF8">
            <w:pPr>
              <w:pStyle w:val="BulletText1"/>
            </w:pPr>
            <w:r w:rsidRPr="003C3888">
              <w:t>the Postal Service reports the mail cannot be delivered, and</w:t>
            </w:r>
          </w:p>
          <w:p w14:paraId="00B51237" w14:textId="77777777" w:rsidR="000E5BF8" w:rsidRPr="003C3888" w:rsidRDefault="000E5BF8">
            <w:pPr>
              <w:pStyle w:val="BulletText1"/>
            </w:pPr>
            <w:r w:rsidRPr="003C3888">
              <w:t xml:space="preserve">a better address cannot be obtained </w:t>
            </w:r>
          </w:p>
        </w:tc>
        <w:tc>
          <w:tcPr>
            <w:tcW w:w="3787" w:type="dxa"/>
            <w:tcBorders>
              <w:top w:val="single" w:sz="6" w:space="0" w:color="auto"/>
              <w:left w:val="single" w:sz="6" w:space="0" w:color="auto"/>
              <w:bottom w:val="single" w:sz="6" w:space="0" w:color="auto"/>
              <w:right w:val="single" w:sz="6" w:space="0" w:color="auto"/>
            </w:tcBorders>
          </w:tcPr>
          <w:p w14:paraId="00B51238" w14:textId="77777777" w:rsidR="000E5BF8" w:rsidRPr="003C3888" w:rsidRDefault="000E5BF8">
            <w:pPr>
              <w:pStyle w:val="BulletText1"/>
            </w:pPr>
            <w:r w:rsidRPr="003C3888">
              <w:t>take action as described above, and</w:t>
            </w:r>
          </w:p>
          <w:p w14:paraId="00B51239" w14:textId="77777777" w:rsidR="000E5BF8" w:rsidRPr="003C3888" w:rsidRDefault="000E5BF8">
            <w:pPr>
              <w:pStyle w:val="BulletText1"/>
            </w:pPr>
            <w:r w:rsidRPr="003C3888">
              <w:t>send the final notice to the last known address.</w:t>
            </w:r>
          </w:p>
        </w:tc>
      </w:tr>
      <w:tr w:rsidR="000E5BF8" w:rsidRPr="003C3888" w14:paraId="00B51241" w14:textId="77777777" w:rsidTr="00B53E30">
        <w:tc>
          <w:tcPr>
            <w:tcW w:w="3773" w:type="dxa"/>
            <w:tcBorders>
              <w:top w:val="single" w:sz="6" w:space="0" w:color="auto"/>
              <w:left w:val="single" w:sz="6" w:space="0" w:color="auto"/>
              <w:bottom w:val="single" w:sz="6" w:space="0" w:color="auto"/>
              <w:right w:val="single" w:sz="6" w:space="0" w:color="auto"/>
            </w:tcBorders>
          </w:tcPr>
          <w:p w14:paraId="00B5123B" w14:textId="77777777" w:rsidR="000E5BF8" w:rsidRPr="003C3888" w:rsidRDefault="000E5BF8" w:rsidP="003B7F3D">
            <w:pPr>
              <w:pStyle w:val="TableText"/>
            </w:pPr>
            <w:r w:rsidRPr="003C3888">
              <w:t>the notice of proposed adverse action is returned, but the correct address is subsequently identified</w:t>
            </w:r>
          </w:p>
        </w:tc>
        <w:tc>
          <w:tcPr>
            <w:tcW w:w="3787" w:type="dxa"/>
            <w:tcBorders>
              <w:top w:val="single" w:sz="6" w:space="0" w:color="auto"/>
              <w:left w:val="single" w:sz="6" w:space="0" w:color="auto"/>
              <w:bottom w:val="single" w:sz="6" w:space="0" w:color="auto"/>
              <w:right w:val="single" w:sz="6" w:space="0" w:color="auto"/>
            </w:tcBorders>
          </w:tcPr>
          <w:p w14:paraId="00B5123C" w14:textId="77777777" w:rsidR="000E5BF8" w:rsidRPr="003C3888" w:rsidRDefault="000E5BF8">
            <w:pPr>
              <w:pStyle w:val="BulletText1"/>
            </w:pPr>
            <w:r w:rsidRPr="003C3888">
              <w:t xml:space="preserve">send another notice of proposed adverse action to the new address </w:t>
            </w:r>
          </w:p>
          <w:p w14:paraId="00B5123D" w14:textId="77777777" w:rsidR="000E5BF8" w:rsidRPr="003C3888" w:rsidRDefault="000E5BF8">
            <w:pPr>
              <w:pStyle w:val="BulletText1"/>
            </w:pPr>
            <w:r w:rsidRPr="003C3888">
              <w:t>cancel the pending EP 600, and</w:t>
            </w:r>
          </w:p>
          <w:p w14:paraId="00B5123E" w14:textId="77777777" w:rsidR="000E5BF8" w:rsidRPr="003C3888" w:rsidRDefault="000E5BF8">
            <w:pPr>
              <w:pStyle w:val="BulletText1"/>
            </w:pPr>
            <w:r w:rsidRPr="003C3888">
              <w:t>establish an EP 601 using the date of the notice as the new date of claim.</w:t>
            </w:r>
          </w:p>
          <w:p w14:paraId="00B5123F" w14:textId="77777777" w:rsidR="000E5BF8" w:rsidRPr="003C3888" w:rsidRDefault="000E5BF8" w:rsidP="003B7F3D">
            <w:pPr>
              <w:pStyle w:val="TableText"/>
            </w:pPr>
          </w:p>
          <w:p w14:paraId="00B51240" w14:textId="4ACFFB75" w:rsidR="0027623F" w:rsidRPr="003C3888" w:rsidRDefault="000E5BF8">
            <w:pPr>
              <w:pStyle w:val="TableText"/>
            </w:pPr>
            <w:r w:rsidRPr="003C3888">
              <w:rPr>
                <w:b/>
                <w:bCs/>
                <w:i/>
                <w:iCs/>
              </w:rPr>
              <w:lastRenderedPageBreak/>
              <w:t>Reference</w:t>
            </w:r>
            <w:r w:rsidRPr="003C3888">
              <w:t xml:space="preserve">:  For more information on determining where to send the notice of proposed adverse action, see </w:t>
            </w:r>
            <w:r w:rsidR="00C063D9" w:rsidRPr="003C3888">
              <w:t>M21-1 Part I, 2.B.3.b</w:t>
            </w:r>
            <w:r w:rsidRPr="003C3888">
              <w:t>.</w:t>
            </w:r>
          </w:p>
        </w:tc>
      </w:tr>
    </w:tbl>
    <w:p w14:paraId="00B51244" w14:textId="00D65B36"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247" w14:textId="77777777" w:rsidTr="003B7F3D">
        <w:trPr>
          <w:cantSplit/>
        </w:trPr>
        <w:tc>
          <w:tcPr>
            <w:tcW w:w="1728" w:type="dxa"/>
            <w:tcBorders>
              <w:top w:val="nil"/>
              <w:left w:val="nil"/>
              <w:bottom w:val="nil"/>
              <w:right w:val="nil"/>
            </w:tcBorders>
            <w:shd w:val="clear" w:color="auto" w:fill="auto"/>
          </w:tcPr>
          <w:p w14:paraId="00B51245" w14:textId="27EE9CA9" w:rsidR="0027623F" w:rsidRPr="003C3888" w:rsidRDefault="0047642F" w:rsidP="00E403D3">
            <w:pPr>
              <w:pStyle w:val="Heading5"/>
            </w:pPr>
            <w:r w:rsidRPr="003C3888">
              <w:t>j</w:t>
            </w:r>
            <w:r w:rsidR="00975FA6" w:rsidRPr="003C3888">
              <w:t>.</w:t>
            </w:r>
            <w:r w:rsidR="006C2300" w:rsidRPr="003C3888">
              <w:t xml:space="preserve"> </w:t>
            </w:r>
            <w:r w:rsidR="00870262" w:rsidRPr="003C3888">
              <w:t xml:space="preserve"> </w:t>
            </w:r>
            <w:r w:rsidR="000E5BF8" w:rsidRPr="003C3888">
              <w:t xml:space="preserve">Action to Take When the </w:t>
            </w:r>
            <w:r w:rsidR="0093603E" w:rsidRPr="003C3888">
              <w:t>Veteran</w:t>
            </w:r>
            <w:r w:rsidR="000E5BF8" w:rsidRPr="003C3888">
              <w:t xml:space="preserve"> Fails to Respond to a “Failure to Report” Rating Proposing a Reduction in Compensation Payments</w:t>
            </w:r>
          </w:p>
        </w:tc>
        <w:tc>
          <w:tcPr>
            <w:tcW w:w="7740" w:type="dxa"/>
            <w:tcBorders>
              <w:top w:val="nil"/>
              <w:left w:val="nil"/>
              <w:bottom w:val="nil"/>
              <w:right w:val="nil"/>
            </w:tcBorders>
            <w:shd w:val="clear" w:color="auto" w:fill="auto"/>
          </w:tcPr>
          <w:p w14:paraId="00B51246" w14:textId="77777777" w:rsidR="000E5BF8" w:rsidRPr="003C3888" w:rsidRDefault="000E5BF8" w:rsidP="003B7F3D">
            <w:pPr>
              <w:pStyle w:val="BlockText"/>
            </w:pPr>
            <w:r w:rsidRPr="003C3888">
              <w:t xml:space="preserve">Use the information below to determine the action to take if the </w:t>
            </w:r>
            <w:r w:rsidR="0093603E" w:rsidRPr="003C3888">
              <w:t>Veteran</w:t>
            </w:r>
            <w:r w:rsidRPr="003C3888">
              <w:t xml:space="preserve"> fails to respond to a “Failure to Report” rating, proposing a reduction of compensation payments because static disabilities and/or disabilities with protected evaluations exist.</w:t>
            </w:r>
          </w:p>
        </w:tc>
      </w:tr>
    </w:tbl>
    <w:p w14:paraId="00B51248" w14:textId="1C86FC58" w:rsidR="000E5BF8" w:rsidRPr="003C3888" w:rsidRDefault="000E5BF8"/>
    <w:tbl>
      <w:tblPr>
        <w:tblW w:w="7596" w:type="dxa"/>
        <w:tblInd w:w="1872" w:type="dxa"/>
        <w:tblLayout w:type="fixed"/>
        <w:tblCellMar>
          <w:left w:w="80" w:type="dxa"/>
          <w:right w:w="80" w:type="dxa"/>
        </w:tblCellMar>
        <w:tblLook w:val="0000" w:firstRow="0" w:lastRow="0" w:firstColumn="0" w:lastColumn="0" w:noHBand="0" w:noVBand="0"/>
      </w:tblPr>
      <w:tblGrid>
        <w:gridCol w:w="3969"/>
        <w:gridCol w:w="3627"/>
      </w:tblGrid>
      <w:tr w:rsidR="000E5BF8" w:rsidRPr="003C3888" w14:paraId="00B5124B" w14:textId="77777777" w:rsidTr="00B53E30">
        <w:tc>
          <w:tcPr>
            <w:tcW w:w="3950" w:type="dxa"/>
            <w:tcBorders>
              <w:top w:val="single" w:sz="6" w:space="0" w:color="auto"/>
              <w:left w:val="single" w:sz="6" w:space="0" w:color="auto"/>
              <w:bottom w:val="single" w:sz="6" w:space="0" w:color="auto"/>
              <w:right w:val="single" w:sz="6" w:space="0" w:color="auto"/>
            </w:tcBorders>
            <w:shd w:val="clear" w:color="auto" w:fill="auto"/>
          </w:tcPr>
          <w:p w14:paraId="00B51249" w14:textId="77777777" w:rsidR="000E5BF8" w:rsidRPr="003C3888" w:rsidRDefault="000E5BF8" w:rsidP="003B7F3D">
            <w:pPr>
              <w:pStyle w:val="TableHeaderText"/>
              <w:jc w:val="left"/>
            </w:pPr>
            <w:r w:rsidRPr="003C3888">
              <w:t>If the …</w:t>
            </w:r>
          </w:p>
        </w:tc>
        <w:tc>
          <w:tcPr>
            <w:tcW w:w="3610" w:type="dxa"/>
            <w:tcBorders>
              <w:top w:val="single" w:sz="6" w:space="0" w:color="auto"/>
              <w:left w:val="single" w:sz="6" w:space="0" w:color="auto"/>
              <w:bottom w:val="single" w:sz="6" w:space="0" w:color="auto"/>
              <w:right w:val="single" w:sz="6" w:space="0" w:color="auto"/>
            </w:tcBorders>
            <w:shd w:val="clear" w:color="auto" w:fill="auto"/>
          </w:tcPr>
          <w:p w14:paraId="00B5124A" w14:textId="77777777" w:rsidR="000E5BF8" w:rsidRPr="003C3888" w:rsidRDefault="000E5BF8" w:rsidP="003B7F3D">
            <w:pPr>
              <w:pStyle w:val="TableHeaderText"/>
              <w:jc w:val="left"/>
            </w:pPr>
            <w:r w:rsidRPr="003C3888">
              <w:t>Then …</w:t>
            </w:r>
          </w:p>
        </w:tc>
      </w:tr>
      <w:tr w:rsidR="000E5BF8" w:rsidRPr="003C3888" w14:paraId="00B5124E" w14:textId="77777777" w:rsidTr="00B53E30">
        <w:tc>
          <w:tcPr>
            <w:tcW w:w="3950" w:type="dxa"/>
            <w:tcBorders>
              <w:top w:val="single" w:sz="6" w:space="0" w:color="auto"/>
              <w:left w:val="single" w:sz="6" w:space="0" w:color="auto"/>
              <w:bottom w:val="single" w:sz="6" w:space="0" w:color="auto"/>
              <w:right w:val="single" w:sz="6" w:space="0" w:color="auto"/>
            </w:tcBorders>
          </w:tcPr>
          <w:p w14:paraId="00B5124C" w14:textId="196AFFDF" w:rsidR="000E5BF8" w:rsidRPr="003C3888" w:rsidRDefault="0093603E" w:rsidP="003B7F3D">
            <w:pPr>
              <w:pStyle w:val="TableText"/>
            </w:pPr>
            <w:r w:rsidRPr="003C3888">
              <w:t>Veteran</w:t>
            </w:r>
            <w:r w:rsidR="000E5BF8" w:rsidRPr="003C3888">
              <w:t xml:space="preserve"> has not responded within 60 days of the date he/she was notified of the proposed adverse action</w:t>
            </w:r>
          </w:p>
        </w:tc>
        <w:tc>
          <w:tcPr>
            <w:tcW w:w="3610" w:type="dxa"/>
            <w:tcBorders>
              <w:top w:val="single" w:sz="6" w:space="0" w:color="auto"/>
              <w:left w:val="single" w:sz="6" w:space="0" w:color="auto"/>
              <w:bottom w:val="single" w:sz="6" w:space="0" w:color="auto"/>
              <w:right w:val="single" w:sz="6" w:space="0" w:color="auto"/>
            </w:tcBorders>
          </w:tcPr>
          <w:p w14:paraId="00B5124D" w14:textId="504449D3" w:rsidR="000E5BF8" w:rsidRPr="003C3888" w:rsidRDefault="000E5BF8" w:rsidP="003B7F3D">
            <w:pPr>
              <w:pStyle w:val="TableText"/>
            </w:pPr>
            <w:r w:rsidRPr="003C3888">
              <w:t xml:space="preserve">reduce the award effective the date indicated in the notice of proposed adverse action, or the date of last payment, whichever is later under </w:t>
            </w:r>
            <w:hyperlink r:id="rId21" w:history="1">
              <w:r w:rsidRPr="003C3888">
                <w:rPr>
                  <w:rStyle w:val="Hyperlink"/>
                </w:rPr>
                <w:t>38 CFR 3.655(c)(2)</w:t>
              </w:r>
            </w:hyperlink>
            <w:r w:rsidRPr="003C3888">
              <w:t>.</w:t>
            </w:r>
          </w:p>
        </w:tc>
      </w:tr>
      <w:tr w:rsidR="000E5BF8" w:rsidRPr="003C3888" w14:paraId="00B51255" w14:textId="77777777" w:rsidTr="00B53E30">
        <w:tc>
          <w:tcPr>
            <w:tcW w:w="3950" w:type="dxa"/>
            <w:tcBorders>
              <w:top w:val="single" w:sz="6" w:space="0" w:color="auto"/>
              <w:left w:val="single" w:sz="6" w:space="0" w:color="auto"/>
              <w:bottom w:val="single" w:sz="6" w:space="0" w:color="auto"/>
              <w:right w:val="single" w:sz="6" w:space="0" w:color="auto"/>
            </w:tcBorders>
          </w:tcPr>
          <w:p w14:paraId="00B5124F" w14:textId="77777777" w:rsidR="000E5BF8" w:rsidRPr="003C3888" w:rsidRDefault="000E5BF8" w:rsidP="003B7F3D">
            <w:pPr>
              <w:pStyle w:val="TableText"/>
            </w:pPr>
            <w:r w:rsidRPr="003C3888">
              <w:t>notice of proposed adverse action is returned because</w:t>
            </w:r>
          </w:p>
          <w:p w14:paraId="00B51250" w14:textId="77777777" w:rsidR="000E5BF8" w:rsidRPr="003C3888" w:rsidRDefault="000E5BF8" w:rsidP="003B7F3D">
            <w:pPr>
              <w:pStyle w:val="TableText"/>
            </w:pPr>
          </w:p>
          <w:p w14:paraId="00B51251" w14:textId="77777777" w:rsidR="000E5BF8" w:rsidRPr="003C3888" w:rsidRDefault="000E5BF8">
            <w:pPr>
              <w:pStyle w:val="BulletText1"/>
            </w:pPr>
            <w:r w:rsidRPr="003C3888">
              <w:t>the Postal Service reports that the mail cannot be delivered, and</w:t>
            </w:r>
          </w:p>
          <w:p w14:paraId="00B51252" w14:textId="77777777" w:rsidR="000E5BF8" w:rsidRPr="003C3888" w:rsidRDefault="000E5BF8">
            <w:pPr>
              <w:pStyle w:val="BulletText1"/>
            </w:pPr>
            <w:r w:rsidRPr="003C3888">
              <w:t>the correct address cannot be obtained</w:t>
            </w:r>
          </w:p>
        </w:tc>
        <w:tc>
          <w:tcPr>
            <w:tcW w:w="3610" w:type="dxa"/>
            <w:tcBorders>
              <w:top w:val="single" w:sz="6" w:space="0" w:color="auto"/>
              <w:left w:val="single" w:sz="6" w:space="0" w:color="auto"/>
              <w:bottom w:val="single" w:sz="6" w:space="0" w:color="auto"/>
              <w:right w:val="single" w:sz="6" w:space="0" w:color="auto"/>
            </w:tcBorders>
          </w:tcPr>
          <w:p w14:paraId="00B51253" w14:textId="77777777" w:rsidR="000E5BF8" w:rsidRPr="003C3888" w:rsidRDefault="000E5BF8">
            <w:pPr>
              <w:pStyle w:val="BulletText1"/>
            </w:pPr>
            <w:r w:rsidRPr="003C3888">
              <w:t>take action as described above, and</w:t>
            </w:r>
          </w:p>
          <w:p w14:paraId="00B51254" w14:textId="77777777" w:rsidR="000E5BF8" w:rsidRPr="003C3888" w:rsidRDefault="000E5BF8">
            <w:pPr>
              <w:pStyle w:val="BulletText1"/>
            </w:pPr>
            <w:r w:rsidRPr="003C3888">
              <w:t>send final notification to the last known address.</w:t>
            </w:r>
          </w:p>
        </w:tc>
      </w:tr>
      <w:tr w:rsidR="000E5BF8" w:rsidRPr="003C3888" w14:paraId="00B5125C" w14:textId="77777777" w:rsidTr="00B53E30">
        <w:tc>
          <w:tcPr>
            <w:tcW w:w="3950" w:type="dxa"/>
            <w:tcBorders>
              <w:top w:val="single" w:sz="6" w:space="0" w:color="auto"/>
              <w:left w:val="single" w:sz="6" w:space="0" w:color="auto"/>
              <w:bottom w:val="single" w:sz="6" w:space="0" w:color="auto"/>
              <w:right w:val="single" w:sz="6" w:space="0" w:color="auto"/>
            </w:tcBorders>
          </w:tcPr>
          <w:p w14:paraId="00B51256" w14:textId="77777777" w:rsidR="000E5BF8" w:rsidRPr="003C3888" w:rsidRDefault="000E5BF8" w:rsidP="003B7F3D">
            <w:pPr>
              <w:pStyle w:val="TableText"/>
            </w:pPr>
            <w:r w:rsidRPr="003C3888">
              <w:t>the notice of proposed adverse action is returned, but the correct address is subsequently identified</w:t>
            </w:r>
          </w:p>
        </w:tc>
        <w:tc>
          <w:tcPr>
            <w:tcW w:w="3610" w:type="dxa"/>
            <w:tcBorders>
              <w:top w:val="single" w:sz="6" w:space="0" w:color="auto"/>
              <w:left w:val="single" w:sz="6" w:space="0" w:color="auto"/>
              <w:bottom w:val="single" w:sz="6" w:space="0" w:color="auto"/>
              <w:right w:val="single" w:sz="6" w:space="0" w:color="auto"/>
            </w:tcBorders>
          </w:tcPr>
          <w:p w14:paraId="00B51257" w14:textId="77777777" w:rsidR="000E5BF8" w:rsidRPr="003C3888" w:rsidRDefault="000E5BF8">
            <w:pPr>
              <w:pStyle w:val="BulletText1"/>
            </w:pPr>
            <w:r w:rsidRPr="003C3888">
              <w:t xml:space="preserve">send another notice of proposed adverse action to the new address </w:t>
            </w:r>
          </w:p>
          <w:p w14:paraId="00B51258" w14:textId="77777777" w:rsidR="000E5BF8" w:rsidRPr="003C3888" w:rsidRDefault="000E5BF8">
            <w:pPr>
              <w:pStyle w:val="BulletText1"/>
            </w:pPr>
            <w:r w:rsidRPr="003C3888">
              <w:t>cancel the pending EP 600, and</w:t>
            </w:r>
          </w:p>
          <w:p w14:paraId="00B51259" w14:textId="77777777" w:rsidR="000E5BF8" w:rsidRPr="003C3888" w:rsidRDefault="000E5BF8">
            <w:pPr>
              <w:pStyle w:val="BulletText1"/>
            </w:pPr>
            <w:r w:rsidRPr="003C3888">
              <w:t>establish an EP 601 using the date of the notice as the new date of claim.</w:t>
            </w:r>
          </w:p>
          <w:p w14:paraId="00B5125A" w14:textId="77777777" w:rsidR="000E5BF8" w:rsidRPr="003C3888" w:rsidRDefault="000E5BF8" w:rsidP="003B7F3D">
            <w:pPr>
              <w:pStyle w:val="TableText"/>
            </w:pPr>
          </w:p>
          <w:p w14:paraId="00B5125B" w14:textId="7546CE4F" w:rsidR="000E5BF8" w:rsidRPr="003C3888" w:rsidRDefault="000E5BF8">
            <w:pPr>
              <w:pStyle w:val="TableText"/>
            </w:pPr>
            <w:r w:rsidRPr="003C3888">
              <w:rPr>
                <w:b/>
                <w:bCs/>
                <w:i/>
                <w:iCs/>
              </w:rPr>
              <w:t>Reference</w:t>
            </w:r>
            <w:r w:rsidRPr="003C3888">
              <w:t xml:space="preserve">:  For more information on determining where to send the notice of proposed adverse action, see </w:t>
            </w:r>
            <w:r w:rsidR="00C063D9" w:rsidRPr="003C3888">
              <w:t>M21-1, Part I, 2.B.3.b</w:t>
            </w:r>
            <w:r w:rsidRPr="003C3888">
              <w:t>.</w:t>
            </w:r>
          </w:p>
        </w:tc>
      </w:tr>
    </w:tbl>
    <w:p w14:paraId="00B5125D" w14:textId="77777777" w:rsidR="000E5BF8" w:rsidRPr="003C3888" w:rsidRDefault="000E5BF8">
      <w:pPr>
        <w:pStyle w:val="BlockLine"/>
      </w:pPr>
    </w:p>
    <w:p w14:paraId="00B5125E" w14:textId="38659EE4" w:rsidR="000E5BF8" w:rsidRPr="003C3888" w:rsidRDefault="000E5BF8">
      <w:pPr>
        <w:pStyle w:val="Heading4"/>
      </w:pPr>
      <w:r w:rsidRPr="003C3888">
        <w:br w:type="page"/>
      </w:r>
      <w:r w:rsidR="007C32CE" w:rsidRPr="003C3888">
        <w:lastRenderedPageBreak/>
        <w:t>4</w:t>
      </w:r>
      <w:r w:rsidR="00A2631D" w:rsidRPr="003C3888">
        <w:t>.</w:t>
      </w:r>
      <w:r w:rsidRPr="003C3888">
        <w:t xml:space="preserve"> </w:t>
      </w:r>
      <w:r w:rsidR="008E5B34" w:rsidRPr="003C3888">
        <w:t>Award</w:t>
      </w:r>
      <w:r w:rsidRPr="003C3888">
        <w:t xml:space="preserve"> Action </w:t>
      </w:r>
      <w:r w:rsidR="008E5B34" w:rsidRPr="003C3888">
        <w:t xml:space="preserve">Taken </w:t>
      </w:r>
      <w:r w:rsidRPr="003C3888">
        <w:t xml:space="preserve">After a </w:t>
      </w:r>
      <w:r w:rsidR="0093603E" w:rsidRPr="003C3888">
        <w:t>Veteran</w:t>
      </w:r>
      <w:r w:rsidRPr="003C3888">
        <w:t xml:space="preserve"> Fails to Report for a Review Examination</w:t>
      </w:r>
    </w:p>
    <w:p w14:paraId="00B5125F" w14:textId="3A75CA35"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26B" w14:textId="77777777" w:rsidTr="003B7F3D">
        <w:trPr>
          <w:cantSplit/>
        </w:trPr>
        <w:tc>
          <w:tcPr>
            <w:tcW w:w="1728" w:type="dxa"/>
            <w:shd w:val="clear" w:color="auto" w:fill="auto"/>
          </w:tcPr>
          <w:p w14:paraId="00B51260" w14:textId="77777777" w:rsidR="000E5BF8" w:rsidRPr="003C3888" w:rsidRDefault="000E5BF8">
            <w:pPr>
              <w:pStyle w:val="Heading5"/>
            </w:pPr>
            <w:r w:rsidRPr="003C3888">
              <w:t>Introduction</w:t>
            </w:r>
          </w:p>
        </w:tc>
        <w:tc>
          <w:tcPr>
            <w:tcW w:w="7740" w:type="dxa"/>
            <w:shd w:val="clear" w:color="auto" w:fill="auto"/>
          </w:tcPr>
          <w:p w14:paraId="00B51261" w14:textId="77777777" w:rsidR="000E5BF8" w:rsidRPr="003C3888" w:rsidRDefault="000E5BF8" w:rsidP="003B7F3D">
            <w:pPr>
              <w:pStyle w:val="BlockText"/>
            </w:pPr>
            <w:r w:rsidRPr="003C3888">
              <w:t xml:space="preserve">This topic contains information on award action to take after a </w:t>
            </w:r>
            <w:r w:rsidR="0093603E" w:rsidRPr="003C3888">
              <w:t>Veteran</w:t>
            </w:r>
            <w:r w:rsidRPr="003C3888">
              <w:t xml:space="preserve"> fails to report for a review examination.  It includes information on </w:t>
            </w:r>
          </w:p>
          <w:p w14:paraId="00B51262" w14:textId="77777777" w:rsidR="000E5BF8" w:rsidRPr="003C3888" w:rsidRDefault="000E5BF8" w:rsidP="003B7F3D">
            <w:pPr>
              <w:pStyle w:val="BlockText"/>
            </w:pPr>
          </w:p>
          <w:p w14:paraId="00B51263" w14:textId="77777777" w:rsidR="000E5BF8" w:rsidRPr="003C3888" w:rsidRDefault="000E5BF8">
            <w:pPr>
              <w:pStyle w:val="BulletText1"/>
            </w:pPr>
            <w:r w:rsidRPr="003C3888">
              <w:t>when to adjust payments</w:t>
            </w:r>
          </w:p>
          <w:p w14:paraId="00B51264" w14:textId="77777777" w:rsidR="000E5BF8" w:rsidRPr="003C3888" w:rsidRDefault="000E5BF8">
            <w:pPr>
              <w:pStyle w:val="BulletText1"/>
            </w:pPr>
            <w:r w:rsidRPr="003C3888">
              <w:t>when to refer the claims folder to the rating activity</w:t>
            </w:r>
          </w:p>
          <w:p w14:paraId="00B51265" w14:textId="77777777" w:rsidR="000E5BF8" w:rsidRPr="003C3888" w:rsidRDefault="000E5BF8">
            <w:pPr>
              <w:pStyle w:val="BulletText1"/>
            </w:pPr>
            <w:r w:rsidRPr="003C3888">
              <w:t xml:space="preserve">handling </w:t>
            </w:r>
          </w:p>
          <w:p w14:paraId="00B51266" w14:textId="77777777" w:rsidR="000E5BF8" w:rsidRPr="003C3888" w:rsidRDefault="000E5BF8">
            <w:pPr>
              <w:pStyle w:val="BulletText2"/>
            </w:pPr>
            <w:r w:rsidRPr="003C3888">
              <w:t>reductions in the combined evaluation</w:t>
            </w:r>
          </w:p>
          <w:p w14:paraId="00B51267" w14:textId="77777777" w:rsidR="000E5BF8" w:rsidRPr="003C3888" w:rsidRDefault="000E5BF8">
            <w:pPr>
              <w:pStyle w:val="BulletText2"/>
            </w:pPr>
            <w:r w:rsidRPr="003C3888">
              <w:t>military retired pay cases</w:t>
            </w:r>
          </w:p>
          <w:p w14:paraId="00B51269" w14:textId="77777777" w:rsidR="000E5BF8" w:rsidRPr="003C3888" w:rsidRDefault="000E5BF8">
            <w:pPr>
              <w:pStyle w:val="BulletText2"/>
            </w:pPr>
            <w:r w:rsidRPr="003C3888">
              <w:t>abandoned claims, and</w:t>
            </w:r>
          </w:p>
          <w:p w14:paraId="00B5126A" w14:textId="77777777" w:rsidR="000E5BF8" w:rsidRPr="003C3888" w:rsidRDefault="000E5BF8">
            <w:pPr>
              <w:pStyle w:val="BulletText2"/>
            </w:pPr>
            <w:r w:rsidRPr="003C3888">
              <w:t>other special situations.</w:t>
            </w:r>
          </w:p>
        </w:tc>
      </w:tr>
    </w:tbl>
    <w:p w14:paraId="00B5126C" w14:textId="77777777"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26F" w14:textId="77777777" w:rsidTr="003B7F3D">
        <w:trPr>
          <w:cantSplit/>
        </w:trPr>
        <w:tc>
          <w:tcPr>
            <w:tcW w:w="1728" w:type="dxa"/>
            <w:shd w:val="clear" w:color="auto" w:fill="auto"/>
          </w:tcPr>
          <w:p w14:paraId="00B5126D" w14:textId="77777777" w:rsidR="000E5BF8" w:rsidRPr="003C3888" w:rsidRDefault="000E5BF8">
            <w:pPr>
              <w:pStyle w:val="Heading5"/>
            </w:pPr>
            <w:r w:rsidRPr="003C3888">
              <w:t>Change Date</w:t>
            </w:r>
          </w:p>
        </w:tc>
        <w:tc>
          <w:tcPr>
            <w:tcW w:w="7740" w:type="dxa"/>
            <w:shd w:val="clear" w:color="auto" w:fill="auto"/>
          </w:tcPr>
          <w:p w14:paraId="00B5126E" w14:textId="5E169A58" w:rsidR="000E5BF8" w:rsidRPr="003C3888" w:rsidRDefault="00CB2574" w:rsidP="003B7F3D">
            <w:pPr>
              <w:pStyle w:val="BlockText"/>
            </w:pPr>
            <w:r w:rsidRPr="003C3888">
              <w:t>August 26, 2015</w:t>
            </w:r>
          </w:p>
        </w:tc>
      </w:tr>
    </w:tbl>
    <w:p w14:paraId="00B51270" w14:textId="53DB37CF"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275" w14:textId="77777777" w:rsidTr="003B7F3D">
        <w:trPr>
          <w:cantSplit/>
        </w:trPr>
        <w:tc>
          <w:tcPr>
            <w:tcW w:w="1728" w:type="dxa"/>
            <w:tcBorders>
              <w:top w:val="nil"/>
              <w:left w:val="nil"/>
              <w:bottom w:val="nil"/>
              <w:right w:val="nil"/>
            </w:tcBorders>
            <w:shd w:val="clear" w:color="auto" w:fill="auto"/>
          </w:tcPr>
          <w:p w14:paraId="00B51271" w14:textId="77777777" w:rsidR="000E5BF8" w:rsidRPr="003C3888" w:rsidRDefault="000E5BF8">
            <w:pPr>
              <w:pStyle w:val="Heading5"/>
            </w:pPr>
            <w:r w:rsidRPr="003C3888">
              <w:t>a.  When to Adjust Payments</w:t>
            </w:r>
          </w:p>
        </w:tc>
        <w:tc>
          <w:tcPr>
            <w:tcW w:w="7740" w:type="dxa"/>
            <w:tcBorders>
              <w:top w:val="nil"/>
              <w:left w:val="nil"/>
              <w:bottom w:val="nil"/>
              <w:right w:val="nil"/>
            </w:tcBorders>
            <w:shd w:val="clear" w:color="auto" w:fill="auto"/>
          </w:tcPr>
          <w:p w14:paraId="00B51272" w14:textId="6419F83D" w:rsidR="000E5BF8" w:rsidRPr="003C3888" w:rsidRDefault="000E5BF8" w:rsidP="003B7F3D">
            <w:pPr>
              <w:pStyle w:val="BlockText"/>
            </w:pPr>
            <w:r w:rsidRPr="003C3888">
              <w:t xml:space="preserve">Make all </w:t>
            </w:r>
            <w:r w:rsidR="00B87F00" w:rsidRPr="003C3888">
              <w:t>adjustments that</w:t>
            </w:r>
            <w:r w:rsidRPr="003C3888">
              <w:t xml:space="preserve"> are required because of a </w:t>
            </w:r>
            <w:r w:rsidR="0093603E" w:rsidRPr="003C3888">
              <w:t>Veteran</w:t>
            </w:r>
            <w:r w:rsidRPr="003C3888">
              <w:t xml:space="preserve">’s failure to report for a scheduled examination, effective on a future date.  This rule applies even if the </w:t>
            </w:r>
            <w:r w:rsidR="00CB2574" w:rsidRPr="003C3888">
              <w:t>RO</w:t>
            </w:r>
            <w:r w:rsidRPr="003C3888">
              <w:t xml:space="preserve"> loses control of the issue and payments are continued beyond the normal due process period.  </w:t>
            </w:r>
          </w:p>
          <w:p w14:paraId="00B51273" w14:textId="77777777" w:rsidR="000E5BF8" w:rsidRPr="003C3888" w:rsidRDefault="000E5BF8" w:rsidP="003B7F3D">
            <w:pPr>
              <w:pStyle w:val="BlockText"/>
            </w:pPr>
          </w:p>
          <w:p w14:paraId="00B51274" w14:textId="77777777" w:rsidR="000E5BF8" w:rsidRPr="003C3888" w:rsidRDefault="000E5BF8" w:rsidP="003B7F3D">
            <w:pPr>
              <w:pStyle w:val="BlockText"/>
            </w:pPr>
            <w:r w:rsidRPr="003C3888">
              <w:rPr>
                <w:b/>
                <w:i/>
              </w:rPr>
              <w:t>Important</w:t>
            </w:r>
            <w:r w:rsidRPr="003C3888">
              <w:t xml:space="preserve">:  Do </w:t>
            </w:r>
            <w:r w:rsidRPr="003C3888">
              <w:rPr>
                <w:i/>
              </w:rPr>
              <w:t xml:space="preserve">not </w:t>
            </w:r>
            <w:r w:rsidRPr="003C3888">
              <w:t xml:space="preserve">create an overpayment solely because a </w:t>
            </w:r>
            <w:r w:rsidR="0093603E" w:rsidRPr="003C3888">
              <w:t>Veteran</w:t>
            </w:r>
            <w:r w:rsidRPr="003C3888">
              <w:t xml:space="preserve"> failed to report for a scheduled examination.  </w:t>
            </w:r>
          </w:p>
        </w:tc>
      </w:tr>
    </w:tbl>
    <w:p w14:paraId="00B51276" w14:textId="1BF8DC5D"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279" w14:textId="77777777" w:rsidTr="003B7F3D">
        <w:trPr>
          <w:cantSplit/>
        </w:trPr>
        <w:tc>
          <w:tcPr>
            <w:tcW w:w="1728" w:type="dxa"/>
            <w:tcBorders>
              <w:top w:val="nil"/>
              <w:left w:val="nil"/>
              <w:bottom w:val="nil"/>
              <w:right w:val="nil"/>
            </w:tcBorders>
            <w:shd w:val="clear" w:color="auto" w:fill="auto"/>
          </w:tcPr>
          <w:p w14:paraId="00B51277" w14:textId="77777777" w:rsidR="000E5BF8" w:rsidRPr="003C3888" w:rsidRDefault="000E5BF8">
            <w:pPr>
              <w:pStyle w:val="Heading5"/>
            </w:pPr>
            <w:r w:rsidRPr="003C3888">
              <w:t>b.  When to Refer the Claims Folder to the Rating Activity</w:t>
            </w:r>
          </w:p>
        </w:tc>
        <w:tc>
          <w:tcPr>
            <w:tcW w:w="7740" w:type="dxa"/>
            <w:tcBorders>
              <w:top w:val="nil"/>
              <w:left w:val="nil"/>
              <w:bottom w:val="nil"/>
              <w:right w:val="nil"/>
            </w:tcBorders>
            <w:shd w:val="clear" w:color="auto" w:fill="auto"/>
          </w:tcPr>
          <w:p w14:paraId="1425D93E" w14:textId="4A173DFF" w:rsidR="004352DB" w:rsidRPr="003C3888" w:rsidRDefault="004974A7" w:rsidP="00ED52A7">
            <w:r w:rsidRPr="003C3888">
              <w:t xml:space="preserve">If the Veteran does not respond to the </w:t>
            </w:r>
            <w:r w:rsidR="008014FB" w:rsidRPr="003C3888">
              <w:t xml:space="preserve">proposed </w:t>
            </w:r>
            <w:r w:rsidR="009B6D49" w:rsidRPr="003C3888">
              <w:t>reduction</w:t>
            </w:r>
            <w:r w:rsidRPr="003C3888">
              <w:t xml:space="preserve"> within </w:t>
            </w:r>
            <w:r w:rsidR="008014FB" w:rsidRPr="003C3888">
              <w:t>a 60-day period</w:t>
            </w:r>
            <w:r w:rsidRPr="003C3888">
              <w:t>, send the claim</w:t>
            </w:r>
            <w:r w:rsidR="009B6D49" w:rsidRPr="003C3888">
              <w:t xml:space="preserve">s folder </w:t>
            </w:r>
            <w:r w:rsidRPr="003C3888">
              <w:t xml:space="preserve">to the rating activity for </w:t>
            </w:r>
            <w:r w:rsidR="000E5BF8" w:rsidRPr="003C3888">
              <w:t xml:space="preserve">the preparation of a </w:t>
            </w:r>
            <w:r w:rsidRPr="003C3888">
              <w:t xml:space="preserve">final </w:t>
            </w:r>
            <w:r w:rsidR="000E5BF8" w:rsidRPr="003C3888">
              <w:t xml:space="preserve">rating that lists all disabilities with their new, continuing, and combined evaluations. </w:t>
            </w:r>
          </w:p>
          <w:p w14:paraId="30C35002" w14:textId="77777777" w:rsidR="008014FB" w:rsidRPr="003C3888" w:rsidRDefault="008014FB" w:rsidP="00ED52A7"/>
          <w:p w14:paraId="2971B69D" w14:textId="7ABC8114" w:rsidR="008014FB" w:rsidRPr="003C3888" w:rsidRDefault="00ED52A7" w:rsidP="00ED52A7">
            <w:r w:rsidRPr="003C3888">
              <w:rPr>
                <w:b/>
                <w:i/>
              </w:rPr>
              <w:t>Note</w:t>
            </w:r>
            <w:r w:rsidRPr="003C3888">
              <w:rPr>
                <w:i/>
              </w:rPr>
              <w:t>:</w:t>
            </w:r>
          </w:p>
          <w:p w14:paraId="6FFC4984" w14:textId="3AD305DE" w:rsidR="008014FB" w:rsidRPr="003C3888" w:rsidRDefault="00ED52A7" w:rsidP="0089440B">
            <w:pPr>
              <w:pStyle w:val="ListParagraph"/>
              <w:numPr>
                <w:ilvl w:val="0"/>
                <w:numId w:val="12"/>
              </w:numPr>
              <w:ind w:left="158" w:hanging="187"/>
            </w:pPr>
            <w:r w:rsidRPr="003C3888">
              <w:t xml:space="preserve">After the final rating is complete, refer the </w:t>
            </w:r>
            <w:r w:rsidR="008014FB" w:rsidRPr="003C3888">
              <w:t>decision</w:t>
            </w:r>
            <w:r w:rsidRPr="003C3888">
              <w:t xml:space="preserve"> </w:t>
            </w:r>
            <w:r w:rsidR="008014FB" w:rsidRPr="003C3888">
              <w:t xml:space="preserve">to the </w:t>
            </w:r>
            <w:r w:rsidRPr="003C3888">
              <w:t>authorization activity</w:t>
            </w:r>
            <w:r w:rsidR="008014FB" w:rsidRPr="003C3888">
              <w:t xml:space="preserve"> for action.</w:t>
            </w:r>
          </w:p>
          <w:p w14:paraId="00B51278" w14:textId="57421854" w:rsidR="00ED52A7" w:rsidRPr="003C3888" w:rsidRDefault="009B6D49" w:rsidP="0089440B">
            <w:pPr>
              <w:pStyle w:val="ListParagraph"/>
              <w:numPr>
                <w:ilvl w:val="0"/>
                <w:numId w:val="12"/>
              </w:numPr>
              <w:ind w:left="158" w:hanging="187"/>
            </w:pPr>
            <w:r w:rsidRPr="003C3888">
              <w:t xml:space="preserve">The </w:t>
            </w:r>
            <w:r w:rsidR="0089440B" w:rsidRPr="003C3888">
              <w:t>authorization activity</w:t>
            </w:r>
            <w:r w:rsidRPr="003C3888">
              <w:t xml:space="preserve"> should ensure the corporate record is updated to reflect the new rating information. </w:t>
            </w:r>
          </w:p>
        </w:tc>
      </w:tr>
    </w:tbl>
    <w:p w14:paraId="00B5127C" w14:textId="352A9F4C"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284" w14:textId="77777777" w:rsidTr="00B53E30">
        <w:tc>
          <w:tcPr>
            <w:tcW w:w="1728" w:type="dxa"/>
            <w:tcBorders>
              <w:top w:val="nil"/>
              <w:left w:val="nil"/>
              <w:bottom w:val="nil"/>
              <w:right w:val="nil"/>
            </w:tcBorders>
            <w:shd w:val="clear" w:color="auto" w:fill="auto"/>
          </w:tcPr>
          <w:p w14:paraId="00B5127D" w14:textId="32B6956B" w:rsidR="000E5BF8" w:rsidRPr="003C3888" w:rsidRDefault="000E5BF8" w:rsidP="00966648">
            <w:pPr>
              <w:pStyle w:val="Heading5"/>
            </w:pPr>
            <w:r w:rsidRPr="003C3888">
              <w:t>c.  Handling  Reduction</w:t>
            </w:r>
            <w:r w:rsidR="00966648" w:rsidRPr="003C3888">
              <w:t>s</w:t>
            </w:r>
            <w:r w:rsidRPr="003C3888">
              <w:t xml:space="preserve"> in the Combined Evaluation</w:t>
            </w:r>
          </w:p>
        </w:tc>
        <w:tc>
          <w:tcPr>
            <w:tcW w:w="7740" w:type="dxa"/>
            <w:tcBorders>
              <w:top w:val="nil"/>
              <w:left w:val="nil"/>
              <w:bottom w:val="nil"/>
              <w:right w:val="nil"/>
            </w:tcBorders>
            <w:shd w:val="clear" w:color="auto" w:fill="auto"/>
          </w:tcPr>
          <w:p w14:paraId="00B5127E" w14:textId="77777777" w:rsidR="000E5BF8" w:rsidRPr="003C3888" w:rsidRDefault="000E5BF8" w:rsidP="003B7F3D">
            <w:pPr>
              <w:pStyle w:val="BlockText"/>
            </w:pPr>
            <w:r w:rsidRPr="003C3888">
              <w:t xml:space="preserve">Normally, the new combined evaluation is the same as that shown in the initial “Failure to Report” rating.  </w:t>
            </w:r>
          </w:p>
          <w:p w14:paraId="00B5127F" w14:textId="77777777" w:rsidR="000E5BF8" w:rsidRPr="003C3888" w:rsidRDefault="000E5BF8" w:rsidP="003B7F3D">
            <w:pPr>
              <w:pStyle w:val="BlockText"/>
            </w:pPr>
          </w:p>
          <w:p w14:paraId="00B51280" w14:textId="77777777" w:rsidR="000E5BF8" w:rsidRPr="003C3888" w:rsidRDefault="000E5BF8" w:rsidP="003B7F3D">
            <w:pPr>
              <w:pStyle w:val="BlockText"/>
            </w:pPr>
            <w:r w:rsidRPr="003C3888">
              <w:t>However, if the rating activity proposes to reduce the combined evaluation lower than the level originally proposed, send another notice of proposed adverse action before reducing the award based on the new combined evaluation.  In this case,</w:t>
            </w:r>
          </w:p>
          <w:p w14:paraId="00B51281" w14:textId="77777777" w:rsidR="000E5BF8" w:rsidRPr="003C3888" w:rsidRDefault="000E5BF8" w:rsidP="003B7F3D">
            <w:pPr>
              <w:pStyle w:val="BlockText"/>
            </w:pPr>
          </w:p>
          <w:p w14:paraId="00B51282" w14:textId="77777777" w:rsidR="000E5BF8" w:rsidRPr="003C3888" w:rsidRDefault="000E5BF8">
            <w:pPr>
              <w:pStyle w:val="BulletText1"/>
            </w:pPr>
            <w:r w:rsidRPr="003C3888">
              <w:lastRenderedPageBreak/>
              <w:t xml:space="preserve">reduce the award as indicated in the original notice of proposed adverse action, and </w:t>
            </w:r>
          </w:p>
          <w:p w14:paraId="00B51283" w14:textId="77777777" w:rsidR="000E5BF8" w:rsidRPr="003C3888" w:rsidRDefault="000E5BF8">
            <w:pPr>
              <w:pStyle w:val="BulletText1"/>
            </w:pPr>
            <w:r w:rsidRPr="003C3888">
              <w:t>send another notice of proposed adverse action</w:t>
            </w:r>
            <w:r w:rsidRPr="003C3888">
              <w:rPr>
                <w:b/>
              </w:rPr>
              <w:t xml:space="preserve"> </w:t>
            </w:r>
            <w:r w:rsidRPr="003C3888">
              <w:t xml:space="preserve">informing the </w:t>
            </w:r>
            <w:r w:rsidR="0093603E" w:rsidRPr="003C3888">
              <w:t>Veteran</w:t>
            </w:r>
            <w:r w:rsidRPr="003C3888">
              <w:t xml:space="preserve"> of the proposed additional reduction.</w:t>
            </w:r>
          </w:p>
        </w:tc>
      </w:tr>
    </w:tbl>
    <w:p w14:paraId="00B51285" w14:textId="3F2DF356" w:rsidR="000E5BF8" w:rsidRPr="003C3888" w:rsidRDefault="000E5BF8" w:rsidP="00D17D6B">
      <w:pPr>
        <w:pStyle w:val="BlockLine"/>
        <w:jc w:val="center"/>
      </w:pPr>
    </w:p>
    <w:tbl>
      <w:tblPr>
        <w:tblW w:w="0" w:type="auto"/>
        <w:tblLayout w:type="fixed"/>
        <w:tblLook w:val="0000" w:firstRow="0" w:lastRow="0" w:firstColumn="0" w:lastColumn="0" w:noHBand="0" w:noVBand="0"/>
      </w:tblPr>
      <w:tblGrid>
        <w:gridCol w:w="1728"/>
        <w:gridCol w:w="7740"/>
      </w:tblGrid>
      <w:tr w:rsidR="000E5BF8" w:rsidRPr="003C3888" w14:paraId="00B5128A" w14:textId="77777777" w:rsidTr="003B7F3D">
        <w:trPr>
          <w:cantSplit/>
        </w:trPr>
        <w:tc>
          <w:tcPr>
            <w:tcW w:w="1728" w:type="dxa"/>
            <w:tcBorders>
              <w:top w:val="nil"/>
              <w:left w:val="nil"/>
              <w:bottom w:val="nil"/>
              <w:right w:val="nil"/>
            </w:tcBorders>
            <w:shd w:val="clear" w:color="auto" w:fill="auto"/>
          </w:tcPr>
          <w:p w14:paraId="00B51286" w14:textId="77777777" w:rsidR="000E5BF8" w:rsidRPr="003C3888" w:rsidRDefault="000E5BF8">
            <w:pPr>
              <w:pStyle w:val="Heading5"/>
            </w:pPr>
            <w:r w:rsidRPr="003C3888">
              <w:t>d.  Handling Military Retired Pay Cases</w:t>
            </w:r>
          </w:p>
        </w:tc>
        <w:tc>
          <w:tcPr>
            <w:tcW w:w="7740" w:type="dxa"/>
            <w:tcBorders>
              <w:top w:val="nil"/>
              <w:left w:val="nil"/>
              <w:bottom w:val="nil"/>
              <w:right w:val="nil"/>
            </w:tcBorders>
            <w:shd w:val="clear" w:color="auto" w:fill="auto"/>
          </w:tcPr>
          <w:p w14:paraId="00B51287" w14:textId="78B2349A" w:rsidR="000E5BF8" w:rsidRPr="003C3888" w:rsidRDefault="000E5BF8" w:rsidP="003B7F3D">
            <w:pPr>
              <w:pStyle w:val="BlockText"/>
            </w:pPr>
            <w:r w:rsidRPr="003C3888">
              <w:t xml:space="preserve">If the </w:t>
            </w:r>
            <w:r w:rsidR="0093603E" w:rsidRPr="003C3888">
              <w:t>Veteran</w:t>
            </w:r>
            <w:r w:rsidRPr="003C3888">
              <w:t xml:space="preserve"> receives military retired pay, action to suspend or </w:t>
            </w:r>
            <w:r w:rsidR="00D92743" w:rsidRPr="003C3888">
              <w:t xml:space="preserve">discontinue </w:t>
            </w:r>
            <w:r w:rsidRPr="003C3888">
              <w:t xml:space="preserve">compensation payments generates a notice to the appropriate service department retired pay center.  The service department adjusts the </w:t>
            </w:r>
            <w:r w:rsidR="0093603E" w:rsidRPr="003C3888">
              <w:t>Veteran</w:t>
            </w:r>
            <w:r w:rsidRPr="003C3888">
              <w:t xml:space="preserve">’s military retired pay accordingly.  </w:t>
            </w:r>
          </w:p>
          <w:p w14:paraId="00B51288" w14:textId="77777777" w:rsidR="000E5BF8" w:rsidRPr="003C3888" w:rsidRDefault="000E5BF8" w:rsidP="003B7F3D">
            <w:pPr>
              <w:pStyle w:val="BlockText"/>
            </w:pPr>
          </w:p>
          <w:p w14:paraId="00B51289" w14:textId="71E08260" w:rsidR="000E5BF8" w:rsidRPr="003C3888" w:rsidRDefault="000E5BF8" w:rsidP="00B87F00">
            <w:pPr>
              <w:pStyle w:val="BlockText"/>
            </w:pPr>
            <w:r w:rsidRPr="003C3888">
              <w:t xml:space="preserve">If the </w:t>
            </w:r>
            <w:r w:rsidR="0093603E" w:rsidRPr="003C3888">
              <w:t>Veteran</w:t>
            </w:r>
            <w:r w:rsidRPr="003C3888">
              <w:t xml:space="preserve"> later reports for the examination and compensation payments are resumed or increased, follow the procedures in </w:t>
            </w:r>
            <w:r w:rsidR="00966648" w:rsidRPr="003C3888">
              <w:t>M21-1, Part III, Subpart v, 5</w:t>
            </w:r>
            <w:r w:rsidR="002E4CD8" w:rsidRPr="003C3888">
              <w:t>.B</w:t>
            </w:r>
            <w:r w:rsidRPr="003C3888">
              <w:t xml:space="preserve"> concerning awards involving military retired pay.</w:t>
            </w:r>
          </w:p>
        </w:tc>
      </w:tr>
    </w:tbl>
    <w:p w14:paraId="00B51296" w14:textId="60DD0414"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29B" w14:textId="77777777" w:rsidTr="003B7F3D">
        <w:trPr>
          <w:cantSplit/>
        </w:trPr>
        <w:tc>
          <w:tcPr>
            <w:tcW w:w="1728" w:type="dxa"/>
            <w:tcBorders>
              <w:top w:val="nil"/>
              <w:left w:val="nil"/>
              <w:bottom w:val="nil"/>
              <w:right w:val="nil"/>
            </w:tcBorders>
            <w:shd w:val="clear" w:color="auto" w:fill="auto"/>
          </w:tcPr>
          <w:p w14:paraId="00B51297" w14:textId="7257DCD8" w:rsidR="000E5BF8" w:rsidRPr="003C3888" w:rsidRDefault="004352DB">
            <w:pPr>
              <w:pStyle w:val="Heading5"/>
            </w:pPr>
            <w:r w:rsidRPr="003C3888">
              <w:t>e</w:t>
            </w:r>
            <w:r w:rsidR="000E5BF8" w:rsidRPr="003C3888">
              <w:t>.  Handling Abandoned Claims</w:t>
            </w:r>
          </w:p>
        </w:tc>
        <w:tc>
          <w:tcPr>
            <w:tcW w:w="7740" w:type="dxa"/>
            <w:tcBorders>
              <w:top w:val="nil"/>
              <w:left w:val="nil"/>
              <w:bottom w:val="nil"/>
              <w:right w:val="nil"/>
            </w:tcBorders>
            <w:shd w:val="clear" w:color="auto" w:fill="auto"/>
          </w:tcPr>
          <w:p w14:paraId="00B51298" w14:textId="4DBA9AE2" w:rsidR="000E5BF8" w:rsidRPr="003C3888" w:rsidRDefault="000E5BF8" w:rsidP="003B7F3D">
            <w:pPr>
              <w:pStyle w:val="BlockText"/>
            </w:pPr>
            <w:r w:rsidRPr="003C3888">
              <w:t>Under</w:t>
            </w:r>
            <w:hyperlink r:id="rId22" w:history="1">
              <w:r w:rsidRPr="003C3888">
                <w:rPr>
                  <w:rStyle w:val="Hyperlink"/>
                </w:rPr>
                <w:t xml:space="preserve"> 38 CFR 3.158(b),</w:t>
              </w:r>
            </w:hyperlink>
            <w:r w:rsidRPr="003C3888">
              <w:t xml:space="preserve"> a </w:t>
            </w:r>
            <w:r w:rsidR="0093603E" w:rsidRPr="003C3888">
              <w:t>Veteran</w:t>
            </w:r>
            <w:r w:rsidRPr="003C3888">
              <w:t xml:space="preserve"> who, without adequate reason, fails to report for a scheduled examination within one year of the date he/she was notified of the request gives up the right to benefits based on the claim involved.</w:t>
            </w:r>
          </w:p>
          <w:p w14:paraId="00B51299" w14:textId="77777777" w:rsidR="000E5BF8" w:rsidRPr="003C3888" w:rsidRDefault="000E5BF8" w:rsidP="003B7F3D">
            <w:pPr>
              <w:pStyle w:val="BlockText"/>
            </w:pPr>
          </w:p>
          <w:p w14:paraId="00B5129A" w14:textId="15CAA66D" w:rsidR="002017A0" w:rsidRPr="003C3888" w:rsidRDefault="000E5BF8" w:rsidP="003B7F3D">
            <w:pPr>
              <w:pStyle w:val="BlockText"/>
            </w:pPr>
            <w:r w:rsidRPr="003C3888">
              <w:t>Use the table below to determine how to handle different situations involving potential abandoned claims.</w:t>
            </w:r>
          </w:p>
        </w:tc>
      </w:tr>
    </w:tbl>
    <w:p w14:paraId="00B5129C" w14:textId="77777777" w:rsidR="000E5BF8" w:rsidRPr="003C3888" w:rsidRDefault="000E5BF8">
      <w:r w:rsidRPr="003C3888">
        <w:t xml:space="preserve"> </w:t>
      </w:r>
    </w:p>
    <w:tbl>
      <w:tblPr>
        <w:tblW w:w="7596" w:type="dxa"/>
        <w:tblInd w:w="1872" w:type="dxa"/>
        <w:tblLayout w:type="fixed"/>
        <w:tblCellMar>
          <w:left w:w="80" w:type="dxa"/>
          <w:right w:w="80" w:type="dxa"/>
        </w:tblCellMar>
        <w:tblLook w:val="0000" w:firstRow="0" w:lastRow="0" w:firstColumn="0" w:lastColumn="0" w:noHBand="0" w:noVBand="0"/>
      </w:tblPr>
      <w:tblGrid>
        <w:gridCol w:w="3517"/>
        <w:gridCol w:w="4079"/>
      </w:tblGrid>
      <w:tr w:rsidR="000E5BF8" w:rsidRPr="003C3888" w14:paraId="00B5129F" w14:textId="77777777" w:rsidTr="00B53E30">
        <w:tc>
          <w:tcPr>
            <w:tcW w:w="3500" w:type="dxa"/>
            <w:tcBorders>
              <w:top w:val="single" w:sz="6" w:space="0" w:color="auto"/>
              <w:left w:val="single" w:sz="6" w:space="0" w:color="auto"/>
              <w:bottom w:val="single" w:sz="6" w:space="0" w:color="auto"/>
              <w:right w:val="single" w:sz="6" w:space="0" w:color="auto"/>
            </w:tcBorders>
            <w:shd w:val="clear" w:color="auto" w:fill="auto"/>
          </w:tcPr>
          <w:p w14:paraId="00B5129D" w14:textId="77777777" w:rsidR="000E5BF8" w:rsidRPr="003C3888" w:rsidRDefault="000E5BF8" w:rsidP="003B7F3D">
            <w:pPr>
              <w:pStyle w:val="TableHeaderText"/>
              <w:jc w:val="left"/>
            </w:pPr>
            <w:r w:rsidRPr="003C3888">
              <w:t xml:space="preserve">If the </w:t>
            </w:r>
            <w:r w:rsidR="0093603E" w:rsidRPr="003C3888">
              <w:t>Veteran</w:t>
            </w:r>
            <w:r w:rsidRPr="003C3888">
              <w:t xml:space="preserve"> …</w:t>
            </w:r>
          </w:p>
        </w:tc>
        <w:tc>
          <w:tcPr>
            <w:tcW w:w="4060" w:type="dxa"/>
            <w:tcBorders>
              <w:top w:val="single" w:sz="6" w:space="0" w:color="auto"/>
              <w:left w:val="single" w:sz="6" w:space="0" w:color="auto"/>
              <w:bottom w:val="single" w:sz="6" w:space="0" w:color="auto"/>
              <w:right w:val="single" w:sz="6" w:space="0" w:color="auto"/>
            </w:tcBorders>
            <w:shd w:val="clear" w:color="auto" w:fill="auto"/>
          </w:tcPr>
          <w:p w14:paraId="00B5129E" w14:textId="77777777" w:rsidR="000E5BF8" w:rsidRPr="003C3888" w:rsidRDefault="000E5BF8" w:rsidP="003B7F3D">
            <w:pPr>
              <w:pStyle w:val="TableHeaderText"/>
              <w:jc w:val="left"/>
            </w:pPr>
            <w:r w:rsidRPr="003C3888">
              <w:t>Then …</w:t>
            </w:r>
          </w:p>
        </w:tc>
      </w:tr>
      <w:tr w:rsidR="000E5BF8" w:rsidRPr="003C3888" w14:paraId="00B512A2" w14:textId="77777777" w:rsidTr="00B53E30">
        <w:tc>
          <w:tcPr>
            <w:tcW w:w="3500" w:type="dxa"/>
            <w:tcBorders>
              <w:top w:val="single" w:sz="6" w:space="0" w:color="auto"/>
              <w:left w:val="single" w:sz="6" w:space="0" w:color="auto"/>
              <w:bottom w:val="single" w:sz="6" w:space="0" w:color="auto"/>
              <w:right w:val="single" w:sz="6" w:space="0" w:color="auto"/>
            </w:tcBorders>
          </w:tcPr>
          <w:p w14:paraId="00B512A0" w14:textId="77777777" w:rsidR="000E5BF8" w:rsidRPr="003C3888" w:rsidRDefault="000E5BF8" w:rsidP="003B7F3D">
            <w:pPr>
              <w:pStyle w:val="TableText"/>
            </w:pPr>
            <w:r w:rsidRPr="003C3888">
              <w:t xml:space="preserve">indicated a willingness to report for a rescheduled examination but did </w:t>
            </w:r>
            <w:r w:rsidRPr="003C3888">
              <w:rPr>
                <w:i/>
              </w:rPr>
              <w:t>not</w:t>
            </w:r>
            <w:r w:rsidRPr="003C3888">
              <w:t xml:space="preserve"> report</w:t>
            </w:r>
          </w:p>
        </w:tc>
        <w:tc>
          <w:tcPr>
            <w:tcW w:w="4060" w:type="dxa"/>
            <w:tcBorders>
              <w:top w:val="single" w:sz="6" w:space="0" w:color="auto"/>
              <w:left w:val="single" w:sz="6" w:space="0" w:color="auto"/>
              <w:bottom w:val="single" w:sz="6" w:space="0" w:color="auto"/>
              <w:right w:val="single" w:sz="6" w:space="0" w:color="auto"/>
            </w:tcBorders>
          </w:tcPr>
          <w:p w14:paraId="00B512A1" w14:textId="77777777" w:rsidR="000E5BF8" w:rsidRPr="003C3888" w:rsidRDefault="000E5BF8" w:rsidP="003B7F3D">
            <w:pPr>
              <w:pStyle w:val="TableText"/>
            </w:pPr>
            <w:r w:rsidRPr="003C3888">
              <w:t>consider the claim abandoned one year from the date of the rescheduled examination.</w:t>
            </w:r>
          </w:p>
        </w:tc>
      </w:tr>
      <w:tr w:rsidR="000E5BF8" w:rsidRPr="003C3888" w14:paraId="00B512A5" w14:textId="77777777" w:rsidTr="00B53E30">
        <w:tc>
          <w:tcPr>
            <w:tcW w:w="3500" w:type="dxa"/>
            <w:tcBorders>
              <w:top w:val="single" w:sz="6" w:space="0" w:color="auto"/>
              <w:left w:val="single" w:sz="6" w:space="0" w:color="auto"/>
              <w:bottom w:val="single" w:sz="6" w:space="0" w:color="auto"/>
              <w:right w:val="single" w:sz="6" w:space="0" w:color="auto"/>
            </w:tcBorders>
          </w:tcPr>
          <w:p w14:paraId="00B512A3" w14:textId="77777777" w:rsidR="000E5BF8" w:rsidRPr="003C3888" w:rsidRDefault="000E5BF8" w:rsidP="003B7F3D">
            <w:pPr>
              <w:pStyle w:val="TableText"/>
            </w:pPr>
            <w:r w:rsidRPr="003C3888">
              <w:t xml:space="preserve">does </w:t>
            </w:r>
            <w:r w:rsidRPr="003C3888">
              <w:rPr>
                <w:i/>
              </w:rPr>
              <w:t>not</w:t>
            </w:r>
            <w:r w:rsidRPr="003C3888">
              <w:t xml:space="preserve"> indicate a willingness to report for a rescheduled examination</w:t>
            </w:r>
          </w:p>
        </w:tc>
        <w:tc>
          <w:tcPr>
            <w:tcW w:w="4060" w:type="dxa"/>
            <w:tcBorders>
              <w:top w:val="single" w:sz="6" w:space="0" w:color="auto"/>
              <w:left w:val="single" w:sz="6" w:space="0" w:color="auto"/>
              <w:bottom w:val="single" w:sz="6" w:space="0" w:color="auto"/>
              <w:right w:val="single" w:sz="6" w:space="0" w:color="auto"/>
            </w:tcBorders>
          </w:tcPr>
          <w:p w14:paraId="00B512A4" w14:textId="77777777" w:rsidR="000E5BF8" w:rsidRPr="003C3888" w:rsidRDefault="000E5BF8" w:rsidP="003B7F3D">
            <w:pPr>
              <w:pStyle w:val="TableText"/>
            </w:pPr>
            <w:r w:rsidRPr="003C3888">
              <w:t>consider the claim abandoned one year from the date the original examination was to have been conducted.</w:t>
            </w:r>
          </w:p>
        </w:tc>
      </w:tr>
      <w:tr w:rsidR="000E5BF8" w:rsidRPr="003C3888" w14:paraId="00B512A8" w14:textId="77777777" w:rsidTr="00B53E30">
        <w:tc>
          <w:tcPr>
            <w:tcW w:w="3500" w:type="dxa"/>
            <w:tcBorders>
              <w:top w:val="single" w:sz="6" w:space="0" w:color="auto"/>
              <w:left w:val="single" w:sz="6" w:space="0" w:color="auto"/>
              <w:bottom w:val="single" w:sz="6" w:space="0" w:color="auto"/>
              <w:right w:val="single" w:sz="6" w:space="0" w:color="auto"/>
            </w:tcBorders>
          </w:tcPr>
          <w:p w14:paraId="00B512A6" w14:textId="77777777" w:rsidR="000E5BF8" w:rsidRPr="003C3888" w:rsidRDefault="000E5BF8" w:rsidP="003B7F3D">
            <w:pPr>
              <w:pStyle w:val="TableText"/>
            </w:pPr>
            <w:r w:rsidRPr="003C3888">
              <w:t>abandons his/her claim, based on a failure to report for an examination, then subsequently submits a new claim and reports for an examination</w:t>
            </w:r>
          </w:p>
        </w:tc>
        <w:tc>
          <w:tcPr>
            <w:tcW w:w="4060" w:type="dxa"/>
            <w:tcBorders>
              <w:top w:val="single" w:sz="6" w:space="0" w:color="auto"/>
              <w:left w:val="single" w:sz="6" w:space="0" w:color="auto"/>
              <w:bottom w:val="single" w:sz="6" w:space="0" w:color="auto"/>
              <w:right w:val="single" w:sz="6" w:space="0" w:color="auto"/>
            </w:tcBorders>
          </w:tcPr>
          <w:p w14:paraId="00B512A7" w14:textId="6A44DB25" w:rsidR="000E5BF8" w:rsidRPr="003C3888" w:rsidRDefault="000E5BF8" w:rsidP="003B7F3D">
            <w:pPr>
              <w:pStyle w:val="TableText"/>
            </w:pPr>
            <w:r w:rsidRPr="003C3888">
              <w:t xml:space="preserve">under </w:t>
            </w:r>
            <w:hyperlink r:id="rId23" w:history="1">
              <w:r w:rsidRPr="003C3888">
                <w:rPr>
                  <w:rStyle w:val="Hyperlink"/>
                </w:rPr>
                <w:t>38 CFR 3.655(f),</w:t>
              </w:r>
            </w:hyperlink>
            <w:r w:rsidRPr="003C3888">
              <w:t xml:space="preserve"> award benefits (if entitlement is found) from the date of receipt of the new claim, if the </w:t>
            </w:r>
            <w:r w:rsidR="0093603E" w:rsidRPr="003C3888">
              <w:t>Veteran</w:t>
            </w:r>
            <w:r w:rsidRPr="003C3888">
              <w:t xml:space="preserve"> reports for the newly scheduled examination within one year of the date of notice to report.</w:t>
            </w:r>
          </w:p>
        </w:tc>
      </w:tr>
    </w:tbl>
    <w:p w14:paraId="00B512A9" w14:textId="19F26B4E" w:rsidR="000E5BF8" w:rsidRPr="003C3888" w:rsidRDefault="000E5BF8">
      <w:pPr>
        <w:pStyle w:val="BlockLine"/>
      </w:pPr>
    </w:p>
    <w:tbl>
      <w:tblPr>
        <w:tblW w:w="0" w:type="auto"/>
        <w:tblLayout w:type="fixed"/>
        <w:tblLook w:val="0000" w:firstRow="0" w:lastRow="0" w:firstColumn="0" w:lastColumn="0" w:noHBand="0" w:noVBand="0"/>
      </w:tblPr>
      <w:tblGrid>
        <w:gridCol w:w="1728"/>
        <w:gridCol w:w="7740"/>
      </w:tblGrid>
      <w:tr w:rsidR="000E5BF8" w:rsidRPr="003C3888" w14:paraId="00B512AF" w14:textId="77777777" w:rsidTr="003B7F3D">
        <w:trPr>
          <w:cantSplit/>
        </w:trPr>
        <w:tc>
          <w:tcPr>
            <w:tcW w:w="1728" w:type="dxa"/>
            <w:shd w:val="clear" w:color="auto" w:fill="auto"/>
          </w:tcPr>
          <w:p w14:paraId="00B512AA" w14:textId="2FC02DAD" w:rsidR="000E5BF8" w:rsidRPr="003C3888" w:rsidRDefault="004352DB">
            <w:pPr>
              <w:pStyle w:val="Heading5"/>
            </w:pPr>
            <w:r w:rsidRPr="003C3888">
              <w:t>f</w:t>
            </w:r>
            <w:r w:rsidR="000E5BF8" w:rsidRPr="003C3888">
              <w:t>.  Handling Other Special Situations</w:t>
            </w:r>
          </w:p>
        </w:tc>
        <w:tc>
          <w:tcPr>
            <w:tcW w:w="7740" w:type="dxa"/>
            <w:shd w:val="clear" w:color="auto" w:fill="auto"/>
          </w:tcPr>
          <w:p w14:paraId="00B512AB" w14:textId="44BC136A" w:rsidR="000E5BF8" w:rsidRPr="003C3888" w:rsidRDefault="000E5BF8" w:rsidP="00E477F5">
            <w:pPr>
              <w:pStyle w:val="BlockText"/>
            </w:pPr>
            <w:r w:rsidRPr="003C3888">
              <w:t>For information on handling</w:t>
            </w:r>
            <w:r w:rsidR="00EA0067" w:rsidRPr="003C3888">
              <w:t xml:space="preserve"> </w:t>
            </w:r>
            <w:r w:rsidRPr="003C3888">
              <w:t>the failure</w:t>
            </w:r>
            <w:r w:rsidR="00510405" w:rsidRPr="003C3888">
              <w:t xml:space="preserve"> of</w:t>
            </w:r>
            <w:r w:rsidRPr="003C3888">
              <w:t xml:space="preserve"> </w:t>
            </w:r>
          </w:p>
          <w:p w14:paraId="31F3023A" w14:textId="77777777" w:rsidR="00E640CC" w:rsidRPr="003C3888" w:rsidRDefault="00E640CC" w:rsidP="00E477F5">
            <w:pPr>
              <w:pStyle w:val="BlockText"/>
            </w:pPr>
          </w:p>
          <w:p w14:paraId="508500AC" w14:textId="00B3B116" w:rsidR="00E640CC" w:rsidRPr="003C3888" w:rsidRDefault="00BC78F7" w:rsidP="0089440B">
            <w:pPr>
              <w:pStyle w:val="ListParagraph"/>
              <w:numPr>
                <w:ilvl w:val="0"/>
                <w:numId w:val="7"/>
              </w:numPr>
              <w:ind w:left="158" w:hanging="187"/>
            </w:pPr>
            <w:r w:rsidRPr="003C3888">
              <w:t xml:space="preserve">a </w:t>
            </w:r>
            <w:r w:rsidR="002B20F9" w:rsidRPr="003C3888">
              <w:t xml:space="preserve">claimant </w:t>
            </w:r>
            <w:r w:rsidR="00E640CC" w:rsidRPr="003C3888">
              <w:t xml:space="preserve">to </w:t>
            </w:r>
            <w:r w:rsidR="00452F22" w:rsidRPr="003C3888">
              <w:t>furnish requested evidence, see M21</w:t>
            </w:r>
            <w:r w:rsidR="0089440B" w:rsidRPr="003C3888">
              <w:t xml:space="preserve"> -1, Part III, Subpart v, 2.A.4, and</w:t>
            </w:r>
          </w:p>
          <w:p w14:paraId="00B512AE" w14:textId="089D4E1F" w:rsidR="000E5BF8" w:rsidRPr="003C3888" w:rsidRDefault="000E5BF8" w:rsidP="0089440B">
            <w:pPr>
              <w:pStyle w:val="ListParagraph"/>
              <w:numPr>
                <w:ilvl w:val="0"/>
                <w:numId w:val="7"/>
              </w:numPr>
              <w:ind w:left="158" w:hanging="187"/>
            </w:pPr>
            <w:r w:rsidRPr="003C3888">
              <w:t xml:space="preserve">an incompetent </w:t>
            </w:r>
            <w:r w:rsidR="0093603E" w:rsidRPr="003C3888">
              <w:t>Veteran</w:t>
            </w:r>
            <w:r w:rsidR="002B20F9" w:rsidRPr="003C3888">
              <w:t xml:space="preserve"> to report for an examination</w:t>
            </w:r>
            <w:r w:rsidR="00E66462" w:rsidRPr="003C3888">
              <w:t xml:space="preserve">, </w:t>
            </w:r>
            <w:r w:rsidRPr="003C3888">
              <w:t>see M21-1, Part III, Subpart v, 9.B.</w:t>
            </w:r>
            <w:r w:rsidR="00626E91" w:rsidRPr="003C3888">
              <w:t>1</w:t>
            </w:r>
            <w:r w:rsidR="00AF28B1" w:rsidRPr="003C3888">
              <w:t>.</w:t>
            </w:r>
            <w:r w:rsidR="00626E91" w:rsidRPr="003C3888">
              <w:t>b</w:t>
            </w:r>
            <w:r w:rsidR="0089440B" w:rsidRPr="003C3888">
              <w:t>.</w:t>
            </w:r>
            <w:r w:rsidRPr="003C3888">
              <w:t xml:space="preserve"> </w:t>
            </w:r>
          </w:p>
        </w:tc>
      </w:tr>
    </w:tbl>
    <w:p w14:paraId="00B512B0" w14:textId="0A734C90" w:rsidR="000E5BF8" w:rsidRPr="003B7F3D" w:rsidRDefault="009F7C3D">
      <w:pPr>
        <w:pStyle w:val="BlockLine"/>
      </w:pPr>
      <w:r w:rsidRPr="003C3888">
        <w:fldChar w:fldCharType="begin">
          <w:fldData xml:space="preserve">RABvAGMAVABlAG0AcAAxAFYAYQByAFQAcgBhAGQAaQB0AGkAbwBuAGEAbAA=
</w:fldData>
        </w:fldChar>
      </w:r>
      <w:r w:rsidRPr="003C3888">
        <w:instrText xml:space="preserve"> ADDIN  \* MERGEFORMAT </w:instrText>
      </w:r>
      <w:r w:rsidRPr="003C3888">
        <w:fldChar w:fldCharType="end"/>
      </w:r>
      <w:r w:rsidRPr="003C3888">
        <w:fldChar w:fldCharType="begin">
          <w:fldData xml:space="preserve">RgBvAG4AdABTAGUAdABpAG0AaQBzAHQAeQBsAGUAcwAuAHgAbQBsAA==
</w:fldData>
        </w:fldChar>
      </w:r>
      <w:r w:rsidRPr="003C3888">
        <w:instrText xml:space="preserve"> ADDIN  \* MERGEFORMAT </w:instrText>
      </w:r>
      <w:r w:rsidRPr="003C3888">
        <w:fldChar w:fldCharType="end"/>
      </w:r>
      <w:r w:rsidR="000122BE" w:rsidRPr="003C3888">
        <w:fldChar w:fldCharType="begin">
          <w:fldData xml:space="preserve">RABvAGMAVABlAG0AcAAxAFYAYQByAFQAcgBhAGQAaQB0AGkAbwBuAGEAbAA=
</w:fldData>
        </w:fldChar>
      </w:r>
      <w:r w:rsidR="000122BE" w:rsidRPr="003C3888">
        <w:instrText xml:space="preserve"> ADDIN  \* MERGEFORMAT </w:instrText>
      </w:r>
      <w:r w:rsidR="000122BE" w:rsidRPr="003C3888">
        <w:fldChar w:fldCharType="end"/>
      </w:r>
      <w:r w:rsidR="000122BE" w:rsidRPr="003C3888">
        <w:fldChar w:fldCharType="begin">
          <w:fldData xml:space="preserve">RgBvAG4AdABTAGUAdABpAG0AaQBzAHQAeQBsAGUAcwAuAHgAbQBsAA==
</w:fldData>
        </w:fldChar>
      </w:r>
      <w:r w:rsidR="000122BE" w:rsidRPr="003C3888">
        <w:instrText xml:space="preserve"> ADDIN  \* MERGEFORMAT </w:instrText>
      </w:r>
      <w:r w:rsidR="000122BE" w:rsidRPr="003C3888">
        <w:fldChar w:fldCharType="end"/>
      </w:r>
      <w:r w:rsidR="00451767" w:rsidRPr="003C3888">
        <w:fldChar w:fldCharType="begin">
          <w:fldData xml:space="preserve">RABvAGMAVABlAG0AcAAxAFYAYQByAFQAcgBhAGQAaQB0AGkAbwBuAGEAbAA=
</w:fldData>
        </w:fldChar>
      </w:r>
      <w:r w:rsidR="00451767" w:rsidRPr="003C3888">
        <w:instrText xml:space="preserve"> ADDIN  \* MERGEFORMAT </w:instrText>
      </w:r>
      <w:r w:rsidR="00451767" w:rsidRPr="003C3888">
        <w:fldChar w:fldCharType="end"/>
      </w:r>
      <w:r w:rsidR="00451767" w:rsidRPr="003C3888">
        <w:fldChar w:fldCharType="begin">
          <w:fldData xml:space="preserve">RgBvAG4AdABTAGUAdABGAG8AbgB0AFMAZQB0AGkAbQBpAHMAdAB5AGwAZQBzAC4AeABtAGwA
</w:fldData>
        </w:fldChar>
      </w:r>
      <w:r w:rsidR="00451767" w:rsidRPr="003C3888">
        <w:instrText xml:space="preserve"> ADDIN  \* MERGEFORMAT </w:instrText>
      </w:r>
      <w:r w:rsidR="00451767" w:rsidRPr="003C3888">
        <w:fldChar w:fldCharType="end"/>
      </w:r>
      <w:bookmarkStart w:id="0" w:name="_GoBack"/>
      <w:bookmarkEnd w:id="0"/>
    </w:p>
    <w:sectPr w:rsidR="000E5BF8" w:rsidRPr="003B7F3D">
      <w:headerReference w:type="even" r:id="rId24"/>
      <w:headerReference w:type="default" r:id="rId25"/>
      <w:footerReference w:type="default" r:id="rId26"/>
      <w:headerReference w:type="first" r:id="rId27"/>
      <w:footerReference w:type="first" r:id="rId2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512B9" w14:textId="77777777" w:rsidR="00037518" w:rsidRDefault="00037518">
      <w:r>
        <w:separator/>
      </w:r>
    </w:p>
  </w:endnote>
  <w:endnote w:type="continuationSeparator" w:id="0">
    <w:p w14:paraId="00B512BA" w14:textId="77777777" w:rsidR="00037518" w:rsidRDefault="0003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12BE" w14:textId="52FAE56F" w:rsidR="00037518" w:rsidRDefault="00037518">
    <w:pPr>
      <w:pStyle w:val="Footer"/>
      <w:tabs>
        <w:tab w:val="left" w:pos="0"/>
        <w:tab w:val="right" w:pos="9274"/>
      </w:tabs>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12C0" w14:textId="77777777" w:rsidR="00037518" w:rsidRDefault="00037518">
    <w:pPr>
      <w:pStyle w:val="Footer"/>
      <w:tabs>
        <w:tab w:val="left" w:pos="0"/>
        <w:tab w:val="right" w:pos="9274"/>
      </w:tabs>
      <w:rPr>
        <w:b/>
        <w:sz w:val="20"/>
      </w:rPr>
    </w:pPr>
    <w:r>
      <w:rPr>
        <w:b/>
        <w:sz w:val="20"/>
      </w:rPr>
      <w:t>Unproofed CV Draft</w:t>
    </w:r>
    <w:r>
      <w:rPr>
        <w:b/>
        <w:sz w:val="20"/>
      </w:rPr>
      <w:tab/>
    </w:r>
    <w:r>
      <w:rPr>
        <w:b/>
        <w:sz w:val="20"/>
      </w:rPr>
      <w:tab/>
      <w:t>3-H-</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512B7" w14:textId="77777777" w:rsidR="00037518" w:rsidRDefault="00037518">
      <w:r>
        <w:separator/>
      </w:r>
    </w:p>
  </w:footnote>
  <w:footnote w:type="continuationSeparator" w:id="0">
    <w:p w14:paraId="00B512B8" w14:textId="77777777" w:rsidR="00037518" w:rsidRDefault="00037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09FFF" w14:textId="77777777" w:rsidR="00037518" w:rsidRPr="005245C1" w:rsidRDefault="00037518" w:rsidP="00275E58">
    <w:pPr>
      <w:pStyle w:val="Header"/>
      <w:tabs>
        <w:tab w:val="left" w:pos="0"/>
      </w:tabs>
      <w:jc w:val="right"/>
      <w:rPr>
        <w:b/>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97F7" w14:textId="77777777" w:rsidR="00037518" w:rsidRPr="005245C1" w:rsidRDefault="00037518" w:rsidP="00275E58">
    <w:pPr>
      <w:pStyle w:val="Header"/>
      <w:tabs>
        <w:tab w:val="left" w:pos="0"/>
      </w:tabs>
      <w:jc w:val="right"/>
      <w:rPr>
        <w:b/>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12BF" w14:textId="77777777" w:rsidR="00037518" w:rsidRDefault="00037518">
    <w:pPr>
      <w:pStyle w:val="Header"/>
      <w:tabs>
        <w:tab w:val="left" w:pos="0"/>
      </w:tabs>
      <w:rPr>
        <w:b/>
        <w:sz w:val="20"/>
      </w:rPr>
    </w:pPr>
    <w:r>
      <w:rPr>
        <w:b/>
        <w:sz w:val="20"/>
      </w:rPr>
      <w:t>??/??/02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05C63"/>
    <w:multiLevelType w:val="hybridMultilevel"/>
    <w:tmpl w:val="3BB604E4"/>
    <w:lvl w:ilvl="0" w:tplc="3E7464AE">
      <w:start w:val="1"/>
      <w:numFmt w:val="bullet"/>
      <w:lvlRestart w:val="0"/>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0222DF8"/>
    <w:multiLevelType w:val="hybridMultilevel"/>
    <w:tmpl w:val="6F1E4ED8"/>
    <w:lvl w:ilvl="0" w:tplc="C7C20B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64924"/>
    <w:multiLevelType w:val="hybridMultilevel"/>
    <w:tmpl w:val="6A548E08"/>
    <w:lvl w:ilvl="0" w:tplc="1E8888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05196"/>
    <w:multiLevelType w:val="hybridMultilevel"/>
    <w:tmpl w:val="59B266BC"/>
    <w:lvl w:ilvl="0" w:tplc="8A844C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F7926"/>
    <w:multiLevelType w:val="hybridMultilevel"/>
    <w:tmpl w:val="F88247FE"/>
    <w:lvl w:ilvl="0" w:tplc="293EA5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27E65"/>
    <w:multiLevelType w:val="hybridMultilevel"/>
    <w:tmpl w:val="57828D9C"/>
    <w:lvl w:ilvl="0" w:tplc="9F4245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44F53"/>
    <w:multiLevelType w:val="hybridMultilevel"/>
    <w:tmpl w:val="AD0C19A8"/>
    <w:lvl w:ilvl="0" w:tplc="9F4245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873E6"/>
    <w:multiLevelType w:val="hybridMultilevel"/>
    <w:tmpl w:val="286C272C"/>
    <w:lvl w:ilvl="0" w:tplc="2FAC3D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C4D44"/>
    <w:multiLevelType w:val="hybridMultilevel"/>
    <w:tmpl w:val="BEEE42C0"/>
    <w:lvl w:ilvl="0" w:tplc="3E7464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C2677"/>
    <w:multiLevelType w:val="hybridMultilevel"/>
    <w:tmpl w:val="BA54C96C"/>
    <w:lvl w:ilvl="0" w:tplc="9F4245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43F76"/>
    <w:multiLevelType w:val="hybridMultilevel"/>
    <w:tmpl w:val="8C6C8C6E"/>
    <w:lvl w:ilvl="0" w:tplc="9F4245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3755E"/>
    <w:multiLevelType w:val="hybridMultilevel"/>
    <w:tmpl w:val="AFFCE52C"/>
    <w:lvl w:ilvl="0" w:tplc="5CEA0C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75150"/>
    <w:multiLevelType w:val="hybridMultilevel"/>
    <w:tmpl w:val="54800710"/>
    <w:lvl w:ilvl="0" w:tplc="D69226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7F308E"/>
    <w:multiLevelType w:val="hybridMultilevel"/>
    <w:tmpl w:val="C854F206"/>
    <w:lvl w:ilvl="0" w:tplc="2FAC3D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D62574"/>
    <w:multiLevelType w:val="hybridMultilevel"/>
    <w:tmpl w:val="22848418"/>
    <w:lvl w:ilvl="0" w:tplc="2FAC3D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D3213"/>
    <w:multiLevelType w:val="hybridMultilevel"/>
    <w:tmpl w:val="83C4939E"/>
    <w:lvl w:ilvl="0" w:tplc="4EA8F5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6C77E3"/>
    <w:multiLevelType w:val="hybridMultilevel"/>
    <w:tmpl w:val="12B61FD0"/>
    <w:lvl w:ilvl="0" w:tplc="2FAC3D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7"/>
  </w:num>
  <w:num w:numId="5">
    <w:abstractNumId w:val="10"/>
  </w:num>
  <w:num w:numId="6">
    <w:abstractNumId w:val="2"/>
  </w:num>
  <w:num w:numId="7">
    <w:abstractNumId w:val="6"/>
  </w:num>
  <w:num w:numId="8">
    <w:abstractNumId w:val="7"/>
  </w:num>
  <w:num w:numId="9">
    <w:abstractNumId w:val="11"/>
  </w:num>
  <w:num w:numId="10">
    <w:abstractNumId w:val="12"/>
  </w:num>
  <w:num w:numId="11">
    <w:abstractNumId w:val="8"/>
  </w:num>
  <w:num w:numId="12">
    <w:abstractNumId w:val="4"/>
  </w:num>
  <w:num w:numId="13">
    <w:abstractNumId w:val="19"/>
  </w:num>
  <w:num w:numId="14">
    <w:abstractNumId w:val="13"/>
  </w:num>
  <w:num w:numId="15">
    <w:abstractNumId w:val="20"/>
  </w:num>
  <w:num w:numId="16">
    <w:abstractNumId w:val="16"/>
  </w:num>
  <w:num w:numId="17">
    <w:abstractNumId w:val="18"/>
  </w:num>
  <w:num w:numId="18">
    <w:abstractNumId w:val="9"/>
  </w:num>
  <w:num w:numId="19">
    <w:abstractNumId w:val="5"/>
  </w:num>
  <w:num w:numId="20">
    <w:abstractNumId w:val="14"/>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Path" w:val="C:\Program Files\Information Mapping\FS Pro 4.0\StyleSheets\"/>
    <w:docVar w:name="XSLstylesheet" w:val="Basic.xsl"/>
  </w:docVars>
  <w:rsids>
    <w:rsidRoot w:val="003B7F3D"/>
    <w:rsid w:val="0000290A"/>
    <w:rsid w:val="00002BAB"/>
    <w:rsid w:val="000039E2"/>
    <w:rsid w:val="00003FA1"/>
    <w:rsid w:val="00004D82"/>
    <w:rsid w:val="00010502"/>
    <w:rsid w:val="00010926"/>
    <w:rsid w:val="000122BE"/>
    <w:rsid w:val="000125D4"/>
    <w:rsid w:val="00012B94"/>
    <w:rsid w:val="000227BF"/>
    <w:rsid w:val="00024391"/>
    <w:rsid w:val="00027404"/>
    <w:rsid w:val="00027CDC"/>
    <w:rsid w:val="00033A66"/>
    <w:rsid w:val="00034DF6"/>
    <w:rsid w:val="00037518"/>
    <w:rsid w:val="00045FA8"/>
    <w:rsid w:val="000467CD"/>
    <w:rsid w:val="00046AF7"/>
    <w:rsid w:val="0005129C"/>
    <w:rsid w:val="0005273B"/>
    <w:rsid w:val="00054968"/>
    <w:rsid w:val="00060B44"/>
    <w:rsid w:val="00060BBC"/>
    <w:rsid w:val="000611BE"/>
    <w:rsid w:val="00062BA2"/>
    <w:rsid w:val="00064824"/>
    <w:rsid w:val="000656AE"/>
    <w:rsid w:val="00067928"/>
    <w:rsid w:val="00067F12"/>
    <w:rsid w:val="000707BD"/>
    <w:rsid w:val="00070D1D"/>
    <w:rsid w:val="000821A6"/>
    <w:rsid w:val="00082C21"/>
    <w:rsid w:val="00083305"/>
    <w:rsid w:val="00084E49"/>
    <w:rsid w:val="00090F3D"/>
    <w:rsid w:val="00094FFA"/>
    <w:rsid w:val="000A0666"/>
    <w:rsid w:val="000A2089"/>
    <w:rsid w:val="000A2903"/>
    <w:rsid w:val="000A579F"/>
    <w:rsid w:val="000A66AC"/>
    <w:rsid w:val="000A67D4"/>
    <w:rsid w:val="000B13D8"/>
    <w:rsid w:val="000B1EB3"/>
    <w:rsid w:val="000C306D"/>
    <w:rsid w:val="000D16E0"/>
    <w:rsid w:val="000D3452"/>
    <w:rsid w:val="000D42D5"/>
    <w:rsid w:val="000E0034"/>
    <w:rsid w:val="000E5BF8"/>
    <w:rsid w:val="000F097C"/>
    <w:rsid w:val="000F3CC6"/>
    <w:rsid w:val="00106A56"/>
    <w:rsid w:val="00110F4D"/>
    <w:rsid w:val="001205C0"/>
    <w:rsid w:val="00131581"/>
    <w:rsid w:val="001373ED"/>
    <w:rsid w:val="00140338"/>
    <w:rsid w:val="00141E95"/>
    <w:rsid w:val="00141EB4"/>
    <w:rsid w:val="00145418"/>
    <w:rsid w:val="00151737"/>
    <w:rsid w:val="00156D8D"/>
    <w:rsid w:val="00165686"/>
    <w:rsid w:val="0016688F"/>
    <w:rsid w:val="00174EAF"/>
    <w:rsid w:val="00184FF9"/>
    <w:rsid w:val="00192296"/>
    <w:rsid w:val="001A14B8"/>
    <w:rsid w:val="001A3559"/>
    <w:rsid w:val="001A4673"/>
    <w:rsid w:val="001A7C94"/>
    <w:rsid w:val="001B1FEB"/>
    <w:rsid w:val="001B490F"/>
    <w:rsid w:val="001B5325"/>
    <w:rsid w:val="001C12A2"/>
    <w:rsid w:val="001C2231"/>
    <w:rsid w:val="001C2919"/>
    <w:rsid w:val="001C6450"/>
    <w:rsid w:val="001C65B9"/>
    <w:rsid w:val="001C6A4F"/>
    <w:rsid w:val="001C6C6E"/>
    <w:rsid w:val="001C7BC6"/>
    <w:rsid w:val="001D01F8"/>
    <w:rsid w:val="001D2935"/>
    <w:rsid w:val="001D5AAE"/>
    <w:rsid w:val="001E5B5B"/>
    <w:rsid w:val="001E7404"/>
    <w:rsid w:val="001E7C4C"/>
    <w:rsid w:val="001F4700"/>
    <w:rsid w:val="001F64BA"/>
    <w:rsid w:val="00200A4B"/>
    <w:rsid w:val="00200C3A"/>
    <w:rsid w:val="002017A0"/>
    <w:rsid w:val="00210AC7"/>
    <w:rsid w:val="00211ACA"/>
    <w:rsid w:val="00212732"/>
    <w:rsid w:val="00220E07"/>
    <w:rsid w:val="0022609D"/>
    <w:rsid w:val="00227A6C"/>
    <w:rsid w:val="0023014C"/>
    <w:rsid w:val="0023325B"/>
    <w:rsid w:val="00234B8C"/>
    <w:rsid w:val="00235045"/>
    <w:rsid w:val="00235F02"/>
    <w:rsid w:val="0024006C"/>
    <w:rsid w:val="002420AA"/>
    <w:rsid w:val="00242408"/>
    <w:rsid w:val="00243F5F"/>
    <w:rsid w:val="00246E04"/>
    <w:rsid w:val="0024701D"/>
    <w:rsid w:val="0025395A"/>
    <w:rsid w:val="002578D9"/>
    <w:rsid w:val="00271B35"/>
    <w:rsid w:val="002730A8"/>
    <w:rsid w:val="00275E58"/>
    <w:rsid w:val="0027623F"/>
    <w:rsid w:val="00281D0C"/>
    <w:rsid w:val="0028336A"/>
    <w:rsid w:val="00283A5C"/>
    <w:rsid w:val="002871D2"/>
    <w:rsid w:val="0029364B"/>
    <w:rsid w:val="0029505F"/>
    <w:rsid w:val="0029554A"/>
    <w:rsid w:val="002A06FD"/>
    <w:rsid w:val="002A07D0"/>
    <w:rsid w:val="002A1274"/>
    <w:rsid w:val="002A6A3E"/>
    <w:rsid w:val="002B1F01"/>
    <w:rsid w:val="002B20F9"/>
    <w:rsid w:val="002B3540"/>
    <w:rsid w:val="002B7699"/>
    <w:rsid w:val="002B7906"/>
    <w:rsid w:val="002C04F3"/>
    <w:rsid w:val="002D3AA6"/>
    <w:rsid w:val="002D5E0E"/>
    <w:rsid w:val="002E1657"/>
    <w:rsid w:val="002E16C9"/>
    <w:rsid w:val="002E48B5"/>
    <w:rsid w:val="002E4CD8"/>
    <w:rsid w:val="002E7FE9"/>
    <w:rsid w:val="002F1754"/>
    <w:rsid w:val="00301BC6"/>
    <w:rsid w:val="00301E33"/>
    <w:rsid w:val="003048E2"/>
    <w:rsid w:val="003053DA"/>
    <w:rsid w:val="00305DB9"/>
    <w:rsid w:val="00310887"/>
    <w:rsid w:val="00310BA1"/>
    <w:rsid w:val="00311A43"/>
    <w:rsid w:val="00315FC9"/>
    <w:rsid w:val="00317B0F"/>
    <w:rsid w:val="00317BE9"/>
    <w:rsid w:val="00322366"/>
    <w:rsid w:val="00326215"/>
    <w:rsid w:val="00326644"/>
    <w:rsid w:val="003278E3"/>
    <w:rsid w:val="00337612"/>
    <w:rsid w:val="003415A0"/>
    <w:rsid w:val="00342A9A"/>
    <w:rsid w:val="00344CBB"/>
    <w:rsid w:val="00344F23"/>
    <w:rsid w:val="003507D9"/>
    <w:rsid w:val="00360806"/>
    <w:rsid w:val="00360D15"/>
    <w:rsid w:val="00362F2F"/>
    <w:rsid w:val="003644A6"/>
    <w:rsid w:val="00367E96"/>
    <w:rsid w:val="0037025C"/>
    <w:rsid w:val="00370397"/>
    <w:rsid w:val="00370CE5"/>
    <w:rsid w:val="00372BBC"/>
    <w:rsid w:val="00374DEC"/>
    <w:rsid w:val="003764DE"/>
    <w:rsid w:val="00380E4D"/>
    <w:rsid w:val="00381E75"/>
    <w:rsid w:val="003862F7"/>
    <w:rsid w:val="00386751"/>
    <w:rsid w:val="00386A58"/>
    <w:rsid w:val="003A066F"/>
    <w:rsid w:val="003A5990"/>
    <w:rsid w:val="003B256A"/>
    <w:rsid w:val="003B2736"/>
    <w:rsid w:val="003B3943"/>
    <w:rsid w:val="003B58BB"/>
    <w:rsid w:val="003B7F3D"/>
    <w:rsid w:val="003C3888"/>
    <w:rsid w:val="003D220D"/>
    <w:rsid w:val="003D3944"/>
    <w:rsid w:val="003D3E56"/>
    <w:rsid w:val="003D6EBA"/>
    <w:rsid w:val="003D7A23"/>
    <w:rsid w:val="003E0B0F"/>
    <w:rsid w:val="003E1AEC"/>
    <w:rsid w:val="003E1D19"/>
    <w:rsid w:val="003E33D7"/>
    <w:rsid w:val="003E419D"/>
    <w:rsid w:val="003E5E78"/>
    <w:rsid w:val="003F3CA0"/>
    <w:rsid w:val="003F5FD5"/>
    <w:rsid w:val="003F7145"/>
    <w:rsid w:val="00402300"/>
    <w:rsid w:val="004036EA"/>
    <w:rsid w:val="004102FD"/>
    <w:rsid w:val="0041088A"/>
    <w:rsid w:val="004230BE"/>
    <w:rsid w:val="004352DB"/>
    <w:rsid w:val="00442BF8"/>
    <w:rsid w:val="00443A20"/>
    <w:rsid w:val="004460F4"/>
    <w:rsid w:val="0044620F"/>
    <w:rsid w:val="004471D7"/>
    <w:rsid w:val="00451767"/>
    <w:rsid w:val="00452F22"/>
    <w:rsid w:val="00455B40"/>
    <w:rsid w:val="00455C58"/>
    <w:rsid w:val="00462F30"/>
    <w:rsid w:val="00464B4E"/>
    <w:rsid w:val="00467347"/>
    <w:rsid w:val="00472085"/>
    <w:rsid w:val="00472B54"/>
    <w:rsid w:val="00473671"/>
    <w:rsid w:val="0047642F"/>
    <w:rsid w:val="004777C4"/>
    <w:rsid w:val="00481DE2"/>
    <w:rsid w:val="00483555"/>
    <w:rsid w:val="00487104"/>
    <w:rsid w:val="0048751F"/>
    <w:rsid w:val="0049233E"/>
    <w:rsid w:val="004974A7"/>
    <w:rsid w:val="004A38BF"/>
    <w:rsid w:val="004A6BD1"/>
    <w:rsid w:val="004B08C2"/>
    <w:rsid w:val="004B6D01"/>
    <w:rsid w:val="004C1503"/>
    <w:rsid w:val="004C2C0D"/>
    <w:rsid w:val="004C370B"/>
    <w:rsid w:val="004C57C4"/>
    <w:rsid w:val="004C684C"/>
    <w:rsid w:val="004C6A50"/>
    <w:rsid w:val="004D3774"/>
    <w:rsid w:val="004D46AB"/>
    <w:rsid w:val="004E01FA"/>
    <w:rsid w:val="004E1259"/>
    <w:rsid w:val="004E417A"/>
    <w:rsid w:val="004E76E7"/>
    <w:rsid w:val="004F7BAB"/>
    <w:rsid w:val="005028F1"/>
    <w:rsid w:val="00504AFE"/>
    <w:rsid w:val="00510405"/>
    <w:rsid w:val="00516F9E"/>
    <w:rsid w:val="005230E0"/>
    <w:rsid w:val="005245C1"/>
    <w:rsid w:val="0053402A"/>
    <w:rsid w:val="005359D1"/>
    <w:rsid w:val="0054134F"/>
    <w:rsid w:val="005414E4"/>
    <w:rsid w:val="00542BCE"/>
    <w:rsid w:val="00543294"/>
    <w:rsid w:val="0054494A"/>
    <w:rsid w:val="00553CE2"/>
    <w:rsid w:val="00553DDD"/>
    <w:rsid w:val="00554AE8"/>
    <w:rsid w:val="00555992"/>
    <w:rsid w:val="005643AE"/>
    <w:rsid w:val="00566796"/>
    <w:rsid w:val="00566ADE"/>
    <w:rsid w:val="00567EA6"/>
    <w:rsid w:val="00575D2D"/>
    <w:rsid w:val="00582DEA"/>
    <w:rsid w:val="00584F16"/>
    <w:rsid w:val="00585A1F"/>
    <w:rsid w:val="00595E0C"/>
    <w:rsid w:val="005A2CC5"/>
    <w:rsid w:val="005A7067"/>
    <w:rsid w:val="005B0916"/>
    <w:rsid w:val="005B24D6"/>
    <w:rsid w:val="005B5934"/>
    <w:rsid w:val="005C46E5"/>
    <w:rsid w:val="005C4C02"/>
    <w:rsid w:val="005D5748"/>
    <w:rsid w:val="005E2472"/>
    <w:rsid w:val="005E3C0F"/>
    <w:rsid w:val="005E586B"/>
    <w:rsid w:val="005F3CDF"/>
    <w:rsid w:val="005F6AC7"/>
    <w:rsid w:val="00604024"/>
    <w:rsid w:val="0061122B"/>
    <w:rsid w:val="00611EC6"/>
    <w:rsid w:val="00612165"/>
    <w:rsid w:val="0061264E"/>
    <w:rsid w:val="00621CD0"/>
    <w:rsid w:val="00621E8B"/>
    <w:rsid w:val="00622F6A"/>
    <w:rsid w:val="00626E91"/>
    <w:rsid w:val="00630975"/>
    <w:rsid w:val="00644168"/>
    <w:rsid w:val="00646AC9"/>
    <w:rsid w:val="00661B7F"/>
    <w:rsid w:val="006639AF"/>
    <w:rsid w:val="00665FE0"/>
    <w:rsid w:val="00675F86"/>
    <w:rsid w:val="00684C50"/>
    <w:rsid w:val="00685DAE"/>
    <w:rsid w:val="00685FB8"/>
    <w:rsid w:val="0069549A"/>
    <w:rsid w:val="00697140"/>
    <w:rsid w:val="006A5977"/>
    <w:rsid w:val="006B228E"/>
    <w:rsid w:val="006B39AC"/>
    <w:rsid w:val="006C2300"/>
    <w:rsid w:val="006C4347"/>
    <w:rsid w:val="006C4EC5"/>
    <w:rsid w:val="006D05C7"/>
    <w:rsid w:val="006D0822"/>
    <w:rsid w:val="006D2396"/>
    <w:rsid w:val="006F08C0"/>
    <w:rsid w:val="006F5B77"/>
    <w:rsid w:val="006F6A03"/>
    <w:rsid w:val="0070351F"/>
    <w:rsid w:val="007069C7"/>
    <w:rsid w:val="007122EC"/>
    <w:rsid w:val="00714F3D"/>
    <w:rsid w:val="00716BD2"/>
    <w:rsid w:val="00722AF9"/>
    <w:rsid w:val="00730122"/>
    <w:rsid w:val="00730711"/>
    <w:rsid w:val="007319F8"/>
    <w:rsid w:val="00732F72"/>
    <w:rsid w:val="007402CC"/>
    <w:rsid w:val="00741AB5"/>
    <w:rsid w:val="00743286"/>
    <w:rsid w:val="00746A95"/>
    <w:rsid w:val="00754B7D"/>
    <w:rsid w:val="0075753D"/>
    <w:rsid w:val="007654B2"/>
    <w:rsid w:val="007657DA"/>
    <w:rsid w:val="00771241"/>
    <w:rsid w:val="00771C38"/>
    <w:rsid w:val="0077662F"/>
    <w:rsid w:val="00780CFB"/>
    <w:rsid w:val="00782F1D"/>
    <w:rsid w:val="00784463"/>
    <w:rsid w:val="00785A9D"/>
    <w:rsid w:val="0079241E"/>
    <w:rsid w:val="00794B5A"/>
    <w:rsid w:val="007A43BC"/>
    <w:rsid w:val="007B0183"/>
    <w:rsid w:val="007B3CB3"/>
    <w:rsid w:val="007B4D0F"/>
    <w:rsid w:val="007B517C"/>
    <w:rsid w:val="007B53CB"/>
    <w:rsid w:val="007B7B31"/>
    <w:rsid w:val="007C32CE"/>
    <w:rsid w:val="007C52A5"/>
    <w:rsid w:val="007D02D7"/>
    <w:rsid w:val="007D6FB0"/>
    <w:rsid w:val="007F11C3"/>
    <w:rsid w:val="007F200B"/>
    <w:rsid w:val="007F272F"/>
    <w:rsid w:val="00800FAB"/>
    <w:rsid w:val="008014FB"/>
    <w:rsid w:val="0080297C"/>
    <w:rsid w:val="00804410"/>
    <w:rsid w:val="0080721B"/>
    <w:rsid w:val="00812084"/>
    <w:rsid w:val="008163EB"/>
    <w:rsid w:val="0082082C"/>
    <w:rsid w:val="00820FC5"/>
    <w:rsid w:val="0082352C"/>
    <w:rsid w:val="00824225"/>
    <w:rsid w:val="0082554E"/>
    <w:rsid w:val="00827A19"/>
    <w:rsid w:val="0083229B"/>
    <w:rsid w:val="00835587"/>
    <w:rsid w:val="0084120B"/>
    <w:rsid w:val="0084138E"/>
    <w:rsid w:val="00847582"/>
    <w:rsid w:val="008507DF"/>
    <w:rsid w:val="0085682C"/>
    <w:rsid w:val="008617AE"/>
    <w:rsid w:val="00870262"/>
    <w:rsid w:val="00871A28"/>
    <w:rsid w:val="00871F6E"/>
    <w:rsid w:val="00872142"/>
    <w:rsid w:val="00875AEC"/>
    <w:rsid w:val="00876107"/>
    <w:rsid w:val="00880FE8"/>
    <w:rsid w:val="00881397"/>
    <w:rsid w:val="00881D38"/>
    <w:rsid w:val="008820AA"/>
    <w:rsid w:val="00884DC3"/>
    <w:rsid w:val="00886235"/>
    <w:rsid w:val="008862CA"/>
    <w:rsid w:val="0088743D"/>
    <w:rsid w:val="00893C41"/>
    <w:rsid w:val="0089440B"/>
    <w:rsid w:val="008A07C1"/>
    <w:rsid w:val="008A1AA4"/>
    <w:rsid w:val="008A2A66"/>
    <w:rsid w:val="008A3D75"/>
    <w:rsid w:val="008B0330"/>
    <w:rsid w:val="008B39FA"/>
    <w:rsid w:val="008B6018"/>
    <w:rsid w:val="008C11A5"/>
    <w:rsid w:val="008C2F4F"/>
    <w:rsid w:val="008C6B6F"/>
    <w:rsid w:val="008D362F"/>
    <w:rsid w:val="008E3691"/>
    <w:rsid w:val="008E55A4"/>
    <w:rsid w:val="008E5B34"/>
    <w:rsid w:val="008E6E50"/>
    <w:rsid w:val="008E6FBB"/>
    <w:rsid w:val="008E738C"/>
    <w:rsid w:val="008E771F"/>
    <w:rsid w:val="008F2FD5"/>
    <w:rsid w:val="008F3728"/>
    <w:rsid w:val="008F3A90"/>
    <w:rsid w:val="008F4FA4"/>
    <w:rsid w:val="008F7823"/>
    <w:rsid w:val="00904F51"/>
    <w:rsid w:val="00905A08"/>
    <w:rsid w:val="00910070"/>
    <w:rsid w:val="0091641D"/>
    <w:rsid w:val="00917CA8"/>
    <w:rsid w:val="009220E4"/>
    <w:rsid w:val="00923939"/>
    <w:rsid w:val="009273DA"/>
    <w:rsid w:val="00932654"/>
    <w:rsid w:val="00935743"/>
    <w:rsid w:val="0093603E"/>
    <w:rsid w:val="00940C0A"/>
    <w:rsid w:val="0095164D"/>
    <w:rsid w:val="00966648"/>
    <w:rsid w:val="00966FAB"/>
    <w:rsid w:val="00967853"/>
    <w:rsid w:val="00975FA6"/>
    <w:rsid w:val="0099479B"/>
    <w:rsid w:val="009A17F5"/>
    <w:rsid w:val="009A381F"/>
    <w:rsid w:val="009A504A"/>
    <w:rsid w:val="009A6339"/>
    <w:rsid w:val="009B0546"/>
    <w:rsid w:val="009B212B"/>
    <w:rsid w:val="009B3294"/>
    <w:rsid w:val="009B3845"/>
    <w:rsid w:val="009B6D49"/>
    <w:rsid w:val="009C2059"/>
    <w:rsid w:val="009C7E17"/>
    <w:rsid w:val="009D5699"/>
    <w:rsid w:val="009D7417"/>
    <w:rsid w:val="009F1541"/>
    <w:rsid w:val="009F6AD3"/>
    <w:rsid w:val="009F7C3D"/>
    <w:rsid w:val="00A136AA"/>
    <w:rsid w:val="00A24E93"/>
    <w:rsid w:val="00A2631D"/>
    <w:rsid w:val="00A26490"/>
    <w:rsid w:val="00A3046D"/>
    <w:rsid w:val="00A34FC3"/>
    <w:rsid w:val="00A50363"/>
    <w:rsid w:val="00A54334"/>
    <w:rsid w:val="00A57795"/>
    <w:rsid w:val="00A57E02"/>
    <w:rsid w:val="00A6007D"/>
    <w:rsid w:val="00A60BFF"/>
    <w:rsid w:val="00A66D36"/>
    <w:rsid w:val="00A71469"/>
    <w:rsid w:val="00A73EEF"/>
    <w:rsid w:val="00A76046"/>
    <w:rsid w:val="00A7637F"/>
    <w:rsid w:val="00A773A7"/>
    <w:rsid w:val="00A80F43"/>
    <w:rsid w:val="00A83A22"/>
    <w:rsid w:val="00A90AA8"/>
    <w:rsid w:val="00A914BF"/>
    <w:rsid w:val="00A9384D"/>
    <w:rsid w:val="00A9492F"/>
    <w:rsid w:val="00AA1063"/>
    <w:rsid w:val="00AB55F0"/>
    <w:rsid w:val="00AC312B"/>
    <w:rsid w:val="00AC363F"/>
    <w:rsid w:val="00AD24C0"/>
    <w:rsid w:val="00AD4C3F"/>
    <w:rsid w:val="00AE7029"/>
    <w:rsid w:val="00AF28B1"/>
    <w:rsid w:val="00AF4C5F"/>
    <w:rsid w:val="00AF71DD"/>
    <w:rsid w:val="00B01307"/>
    <w:rsid w:val="00B04908"/>
    <w:rsid w:val="00B05C02"/>
    <w:rsid w:val="00B06127"/>
    <w:rsid w:val="00B07EE0"/>
    <w:rsid w:val="00B10C03"/>
    <w:rsid w:val="00B11E2C"/>
    <w:rsid w:val="00B2192D"/>
    <w:rsid w:val="00B2717C"/>
    <w:rsid w:val="00B31E34"/>
    <w:rsid w:val="00B336F2"/>
    <w:rsid w:val="00B33CB6"/>
    <w:rsid w:val="00B3757D"/>
    <w:rsid w:val="00B43DA7"/>
    <w:rsid w:val="00B440F6"/>
    <w:rsid w:val="00B46FD8"/>
    <w:rsid w:val="00B47CFB"/>
    <w:rsid w:val="00B50645"/>
    <w:rsid w:val="00B53187"/>
    <w:rsid w:val="00B53E30"/>
    <w:rsid w:val="00B55062"/>
    <w:rsid w:val="00B67ADC"/>
    <w:rsid w:val="00B82315"/>
    <w:rsid w:val="00B82B70"/>
    <w:rsid w:val="00B847CB"/>
    <w:rsid w:val="00B851D0"/>
    <w:rsid w:val="00B860BC"/>
    <w:rsid w:val="00B87F00"/>
    <w:rsid w:val="00B91F4B"/>
    <w:rsid w:val="00B929D8"/>
    <w:rsid w:val="00B92D55"/>
    <w:rsid w:val="00B934C7"/>
    <w:rsid w:val="00B96E82"/>
    <w:rsid w:val="00BA3A07"/>
    <w:rsid w:val="00BA726A"/>
    <w:rsid w:val="00BA7A4B"/>
    <w:rsid w:val="00BB3664"/>
    <w:rsid w:val="00BB38EE"/>
    <w:rsid w:val="00BB4DB2"/>
    <w:rsid w:val="00BC78F7"/>
    <w:rsid w:val="00BD7321"/>
    <w:rsid w:val="00BE1216"/>
    <w:rsid w:val="00BE1C5B"/>
    <w:rsid w:val="00BE4930"/>
    <w:rsid w:val="00BE6E47"/>
    <w:rsid w:val="00BF0E3B"/>
    <w:rsid w:val="00BF48A6"/>
    <w:rsid w:val="00C01AAA"/>
    <w:rsid w:val="00C063D9"/>
    <w:rsid w:val="00C07025"/>
    <w:rsid w:val="00C23C44"/>
    <w:rsid w:val="00C2662E"/>
    <w:rsid w:val="00C34CD2"/>
    <w:rsid w:val="00C351D5"/>
    <w:rsid w:val="00C422FE"/>
    <w:rsid w:val="00C42551"/>
    <w:rsid w:val="00C4512F"/>
    <w:rsid w:val="00C51EE0"/>
    <w:rsid w:val="00C56435"/>
    <w:rsid w:val="00C57F56"/>
    <w:rsid w:val="00C63755"/>
    <w:rsid w:val="00C70802"/>
    <w:rsid w:val="00C70C3D"/>
    <w:rsid w:val="00C72621"/>
    <w:rsid w:val="00C74F26"/>
    <w:rsid w:val="00C75ABC"/>
    <w:rsid w:val="00C77D1C"/>
    <w:rsid w:val="00C8072A"/>
    <w:rsid w:val="00C809E4"/>
    <w:rsid w:val="00C8453B"/>
    <w:rsid w:val="00C84DD3"/>
    <w:rsid w:val="00C85D50"/>
    <w:rsid w:val="00C87FCE"/>
    <w:rsid w:val="00C93BB2"/>
    <w:rsid w:val="00C963FC"/>
    <w:rsid w:val="00CA454E"/>
    <w:rsid w:val="00CB2574"/>
    <w:rsid w:val="00CB54D0"/>
    <w:rsid w:val="00CB5698"/>
    <w:rsid w:val="00CC09FB"/>
    <w:rsid w:val="00CC3D4F"/>
    <w:rsid w:val="00CD25A1"/>
    <w:rsid w:val="00CE0E6D"/>
    <w:rsid w:val="00CE1237"/>
    <w:rsid w:val="00CE2F91"/>
    <w:rsid w:val="00CE44EE"/>
    <w:rsid w:val="00CE4676"/>
    <w:rsid w:val="00D029DD"/>
    <w:rsid w:val="00D05DAB"/>
    <w:rsid w:val="00D06993"/>
    <w:rsid w:val="00D071F8"/>
    <w:rsid w:val="00D1760C"/>
    <w:rsid w:val="00D17D6B"/>
    <w:rsid w:val="00D248E1"/>
    <w:rsid w:val="00D3586E"/>
    <w:rsid w:val="00D36314"/>
    <w:rsid w:val="00D36454"/>
    <w:rsid w:val="00D3797E"/>
    <w:rsid w:val="00D409ED"/>
    <w:rsid w:val="00D40F74"/>
    <w:rsid w:val="00D5074B"/>
    <w:rsid w:val="00D513F2"/>
    <w:rsid w:val="00D55026"/>
    <w:rsid w:val="00D72965"/>
    <w:rsid w:val="00D9070A"/>
    <w:rsid w:val="00D92743"/>
    <w:rsid w:val="00D9311D"/>
    <w:rsid w:val="00DA17FC"/>
    <w:rsid w:val="00DA73FC"/>
    <w:rsid w:val="00DB1CD3"/>
    <w:rsid w:val="00DB32D7"/>
    <w:rsid w:val="00DC474D"/>
    <w:rsid w:val="00DC5600"/>
    <w:rsid w:val="00DD1D35"/>
    <w:rsid w:val="00DD307D"/>
    <w:rsid w:val="00DD34DB"/>
    <w:rsid w:val="00DF00F5"/>
    <w:rsid w:val="00DF0370"/>
    <w:rsid w:val="00DF0D54"/>
    <w:rsid w:val="00DF4212"/>
    <w:rsid w:val="00E01C33"/>
    <w:rsid w:val="00E01E1D"/>
    <w:rsid w:val="00E072DF"/>
    <w:rsid w:val="00E07D1D"/>
    <w:rsid w:val="00E2125E"/>
    <w:rsid w:val="00E22B96"/>
    <w:rsid w:val="00E278EC"/>
    <w:rsid w:val="00E35481"/>
    <w:rsid w:val="00E367AE"/>
    <w:rsid w:val="00E403D3"/>
    <w:rsid w:val="00E44185"/>
    <w:rsid w:val="00E471AE"/>
    <w:rsid w:val="00E477F5"/>
    <w:rsid w:val="00E50046"/>
    <w:rsid w:val="00E5556E"/>
    <w:rsid w:val="00E640CC"/>
    <w:rsid w:val="00E66462"/>
    <w:rsid w:val="00E73514"/>
    <w:rsid w:val="00E75B08"/>
    <w:rsid w:val="00E81192"/>
    <w:rsid w:val="00E82FF9"/>
    <w:rsid w:val="00E87B6F"/>
    <w:rsid w:val="00E90ED4"/>
    <w:rsid w:val="00EA0067"/>
    <w:rsid w:val="00EA1D10"/>
    <w:rsid w:val="00EA2438"/>
    <w:rsid w:val="00EA5B16"/>
    <w:rsid w:val="00EC03DB"/>
    <w:rsid w:val="00EC3038"/>
    <w:rsid w:val="00EC32AE"/>
    <w:rsid w:val="00EC4901"/>
    <w:rsid w:val="00EC4B08"/>
    <w:rsid w:val="00EC4BDB"/>
    <w:rsid w:val="00EC598B"/>
    <w:rsid w:val="00EC72C6"/>
    <w:rsid w:val="00ED15E1"/>
    <w:rsid w:val="00ED3C00"/>
    <w:rsid w:val="00ED52A7"/>
    <w:rsid w:val="00ED5877"/>
    <w:rsid w:val="00EE0995"/>
    <w:rsid w:val="00EE4AB0"/>
    <w:rsid w:val="00F001FA"/>
    <w:rsid w:val="00F04D12"/>
    <w:rsid w:val="00F05695"/>
    <w:rsid w:val="00F07FA2"/>
    <w:rsid w:val="00F12F67"/>
    <w:rsid w:val="00F153B0"/>
    <w:rsid w:val="00F253BB"/>
    <w:rsid w:val="00F3473C"/>
    <w:rsid w:val="00F42D11"/>
    <w:rsid w:val="00F43D18"/>
    <w:rsid w:val="00F50288"/>
    <w:rsid w:val="00F50719"/>
    <w:rsid w:val="00F52927"/>
    <w:rsid w:val="00F53F31"/>
    <w:rsid w:val="00F55202"/>
    <w:rsid w:val="00F57E6E"/>
    <w:rsid w:val="00F60D4F"/>
    <w:rsid w:val="00F7061C"/>
    <w:rsid w:val="00F710F2"/>
    <w:rsid w:val="00F75524"/>
    <w:rsid w:val="00F759AC"/>
    <w:rsid w:val="00F81D67"/>
    <w:rsid w:val="00F82072"/>
    <w:rsid w:val="00F929A0"/>
    <w:rsid w:val="00F951C5"/>
    <w:rsid w:val="00FB360E"/>
    <w:rsid w:val="00FC23C4"/>
    <w:rsid w:val="00FC3CE6"/>
    <w:rsid w:val="00FC45B2"/>
    <w:rsid w:val="00FD03D7"/>
    <w:rsid w:val="00FD1411"/>
    <w:rsid w:val="00FD4D4B"/>
    <w:rsid w:val="00FE7AEE"/>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B5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3E"/>
    <w:rPr>
      <w:color w:val="000000"/>
      <w:sz w:val="24"/>
      <w:szCs w:val="24"/>
    </w:rPr>
  </w:style>
  <w:style w:type="paragraph" w:styleId="Heading1">
    <w:name w:val="heading 1"/>
    <w:aliases w:val="Part Title"/>
    <w:basedOn w:val="Normal"/>
    <w:next w:val="Heading4"/>
    <w:qFormat/>
    <w:rsid w:val="0093603E"/>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3603E"/>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3603E"/>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3603E"/>
    <w:pPr>
      <w:spacing w:after="240"/>
      <w:outlineLvl w:val="3"/>
    </w:pPr>
    <w:rPr>
      <w:rFonts w:ascii="Arial" w:hAnsi="Arial" w:cs="Arial"/>
      <w:b/>
      <w:sz w:val="32"/>
      <w:szCs w:val="20"/>
    </w:rPr>
  </w:style>
  <w:style w:type="paragraph" w:styleId="Heading5">
    <w:name w:val="heading 5"/>
    <w:aliases w:val="Block Label"/>
    <w:basedOn w:val="Normal"/>
    <w:qFormat/>
    <w:rsid w:val="0093603E"/>
    <w:pPr>
      <w:outlineLvl w:val="4"/>
    </w:pPr>
    <w:rPr>
      <w:b/>
      <w:sz w:val="22"/>
      <w:szCs w:val="20"/>
    </w:rPr>
  </w:style>
  <w:style w:type="paragraph" w:styleId="Heading6">
    <w:name w:val="heading 6"/>
    <w:aliases w:val="Sub Label"/>
    <w:basedOn w:val="Heading5"/>
    <w:next w:val="BlockText"/>
    <w:qFormat/>
    <w:rsid w:val="0093603E"/>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03E"/>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3603E"/>
    <w:pPr>
      <w:pBdr>
        <w:top w:val="single" w:sz="6" w:space="1" w:color="000000"/>
        <w:between w:val="single" w:sz="6" w:space="1" w:color="auto"/>
      </w:pBdr>
      <w:spacing w:before="240"/>
      <w:ind w:left="1728"/>
    </w:pPr>
    <w:rPr>
      <w:szCs w:val="20"/>
    </w:rPr>
  </w:style>
  <w:style w:type="paragraph" w:styleId="BlockText">
    <w:name w:val="Block Text"/>
    <w:basedOn w:val="Normal"/>
    <w:rsid w:val="0093603E"/>
  </w:style>
  <w:style w:type="paragraph" w:customStyle="1" w:styleId="BulletText1">
    <w:name w:val="Bullet Text 1"/>
    <w:basedOn w:val="Normal"/>
    <w:rsid w:val="0093603E"/>
    <w:pPr>
      <w:numPr>
        <w:numId w:val="2"/>
      </w:numPr>
    </w:pPr>
    <w:rPr>
      <w:szCs w:val="20"/>
    </w:rPr>
  </w:style>
  <w:style w:type="paragraph" w:customStyle="1" w:styleId="BulletText2">
    <w:name w:val="Bullet Text 2"/>
    <w:basedOn w:val="Normal"/>
    <w:rsid w:val="0093603E"/>
    <w:pPr>
      <w:numPr>
        <w:numId w:val="3"/>
      </w:numPr>
    </w:pPr>
    <w:rPr>
      <w:szCs w:val="20"/>
    </w:rPr>
  </w:style>
  <w:style w:type="paragraph" w:customStyle="1" w:styleId="ContinuedOnNextPa">
    <w:name w:val="Continued On Next Pa"/>
    <w:basedOn w:val="Normal"/>
    <w:next w:val="Normal"/>
    <w:rsid w:val="0093603E"/>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3603E"/>
    <w:pPr>
      <w:spacing w:after="240"/>
    </w:pPr>
    <w:rPr>
      <w:b/>
      <w:sz w:val="22"/>
      <w:szCs w:val="20"/>
    </w:rPr>
  </w:style>
  <w:style w:type="paragraph" w:customStyle="1" w:styleId="MapTitleContinued">
    <w:name w:val="Map Title. Continued"/>
    <w:basedOn w:val="Normal"/>
    <w:next w:val="Normal"/>
    <w:rsid w:val="0093603E"/>
    <w:pPr>
      <w:spacing w:after="240"/>
    </w:pPr>
    <w:rPr>
      <w:rFonts w:ascii="Arial" w:hAnsi="Arial" w:cs="Arial"/>
      <w:b/>
      <w:sz w:val="32"/>
      <w:szCs w:val="20"/>
    </w:rPr>
  </w:style>
  <w:style w:type="paragraph" w:customStyle="1" w:styleId="MemoLine">
    <w:name w:val="Memo Line"/>
    <w:basedOn w:val="BlockLine"/>
    <w:next w:val="Normal"/>
    <w:rsid w:val="0093603E"/>
  </w:style>
  <w:style w:type="paragraph" w:styleId="Footer">
    <w:name w:val="footer"/>
    <w:basedOn w:val="Normal"/>
    <w:link w:val="FooterChar"/>
    <w:rsid w:val="0093603E"/>
    <w:pPr>
      <w:tabs>
        <w:tab w:val="center" w:pos="4680"/>
        <w:tab w:val="right" w:pos="9360"/>
      </w:tabs>
    </w:pPr>
    <w:rPr>
      <w:color w:val="auto"/>
      <w:lang w:val="x-none" w:eastAsia="x-none"/>
    </w:rPr>
  </w:style>
  <w:style w:type="character" w:styleId="PageNumber">
    <w:name w:val="page number"/>
    <w:basedOn w:val="DefaultParagraphFont"/>
    <w:semiHidden/>
  </w:style>
  <w:style w:type="paragraph" w:customStyle="1" w:styleId="TableText">
    <w:name w:val="Table Text"/>
    <w:basedOn w:val="Normal"/>
    <w:rsid w:val="0093603E"/>
    <w:rPr>
      <w:szCs w:val="20"/>
    </w:rPr>
  </w:style>
  <w:style w:type="paragraph" w:customStyle="1" w:styleId="NoteText">
    <w:name w:val="Note Text"/>
    <w:basedOn w:val="Normal"/>
    <w:rsid w:val="0093603E"/>
    <w:rPr>
      <w:szCs w:val="20"/>
    </w:rPr>
  </w:style>
  <w:style w:type="paragraph" w:customStyle="1" w:styleId="TableHeaderText">
    <w:name w:val="Table Header Text"/>
    <w:basedOn w:val="Normal"/>
    <w:rsid w:val="0093603E"/>
    <w:pPr>
      <w:jc w:val="center"/>
    </w:pPr>
    <w:rPr>
      <w:b/>
      <w:szCs w:val="20"/>
    </w:rPr>
  </w:style>
  <w:style w:type="paragraph" w:customStyle="1" w:styleId="EmbeddedText">
    <w:name w:val="Embedded Text"/>
    <w:basedOn w:val="Normal"/>
    <w:rsid w:val="0093603E"/>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93603E"/>
    <w:pPr>
      <w:ind w:left="480"/>
    </w:pPr>
  </w:style>
  <w:style w:type="paragraph" w:styleId="TOC4">
    <w:name w:val="toc 4"/>
    <w:basedOn w:val="Normal"/>
    <w:next w:val="Normal"/>
    <w:autoRedefine/>
    <w:uiPriority w:val="39"/>
    <w:rsid w:val="0093603E"/>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semiHidden/>
    <w:pPr>
      <w:tabs>
        <w:tab w:val="left" w:pos="450"/>
        <w:tab w:val="right" w:pos="8640"/>
      </w:tabs>
      <w:ind w:right="72"/>
    </w:pPr>
  </w:style>
  <w:style w:type="paragraph" w:styleId="FootnoteText">
    <w:name w:val="footnote text"/>
    <w:basedOn w:val="Normal"/>
    <w:semiHidden/>
    <w:rPr>
      <w:rFonts w:ascii="Courier New" w:hAnsi="Courier New"/>
      <w:sz w:val="20"/>
    </w:rPr>
  </w:style>
  <w:style w:type="character" w:styleId="Emphasis">
    <w:name w:val="Emphasis"/>
    <w:basedOn w:val="DefaultParagraphFont"/>
    <w:qFormat/>
    <w:rPr>
      <w:i/>
    </w:rPr>
  </w:style>
  <w:style w:type="paragraph" w:styleId="ListBullet">
    <w:name w:val="List Bullet"/>
    <w:basedOn w:val="Normal"/>
    <w:autoRedefine/>
    <w:semiHidden/>
    <w:pPr>
      <w:numPr>
        <w:numId w:val="1"/>
      </w:numPr>
    </w:pPr>
  </w:style>
  <w:style w:type="character" w:styleId="Hyperlink">
    <w:name w:val="Hyperlink"/>
    <w:uiPriority w:val="99"/>
    <w:rsid w:val="0093603E"/>
    <w:rPr>
      <w:color w:val="0000FF"/>
      <w:u w:val="single"/>
    </w:rPr>
  </w:style>
  <w:style w:type="character" w:styleId="FootnoteReference">
    <w:name w:val="footnote reference"/>
    <w:basedOn w:val="DefaultParagraphFont"/>
    <w:semiHidden/>
    <w:rPr>
      <w:position w:val="6"/>
      <w:sz w:val="16"/>
    </w:rPr>
  </w:style>
  <w:style w:type="paragraph" w:styleId="BodyText2">
    <w:name w:val="Body Text 2"/>
    <w:basedOn w:val="Normal"/>
    <w:semiHidden/>
    <w:pPr>
      <w:tabs>
        <w:tab w:val="left" w:pos="540"/>
        <w:tab w:val="right" w:pos="8820"/>
      </w:tabs>
      <w:ind w:right="36"/>
    </w:pPr>
  </w:style>
  <w:style w:type="paragraph" w:styleId="BodyText3">
    <w:name w:val="Body Text 3"/>
    <w:basedOn w:val="Normal"/>
    <w:semiHidden/>
    <w:pPr>
      <w:tabs>
        <w:tab w:val="left" w:pos="540"/>
        <w:tab w:val="right" w:pos="8820"/>
      </w:tabs>
      <w:ind w:right="-36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93603E"/>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93603E"/>
    <w:pPr>
      <w:spacing w:after="240"/>
      <w:jc w:val="center"/>
    </w:pPr>
    <w:rPr>
      <w:rFonts w:ascii="Arial" w:hAnsi="Arial" w:cs="Arial"/>
      <w:b/>
      <w:sz w:val="32"/>
      <w:szCs w:val="20"/>
    </w:rPr>
  </w:style>
  <w:style w:type="paragraph" w:customStyle="1" w:styleId="TOCTitle">
    <w:name w:val="TOC Title"/>
    <w:basedOn w:val="Normal"/>
    <w:rsid w:val="0093603E"/>
    <w:pPr>
      <w:widowControl w:val="0"/>
    </w:pPr>
    <w:rPr>
      <w:rFonts w:ascii="Arial" w:hAnsi="Arial" w:cs="Arial"/>
      <w:b/>
      <w:sz w:val="32"/>
      <w:szCs w:val="20"/>
    </w:rPr>
  </w:style>
  <w:style w:type="paragraph" w:customStyle="1" w:styleId="TOCItem">
    <w:name w:val="TOCItem"/>
    <w:basedOn w:val="Normal"/>
    <w:rsid w:val="0093603E"/>
    <w:pPr>
      <w:tabs>
        <w:tab w:val="left" w:leader="dot" w:pos="7061"/>
        <w:tab w:val="right" w:pos="7524"/>
      </w:tabs>
      <w:spacing w:before="60" w:after="60"/>
      <w:ind w:right="465"/>
    </w:pPr>
    <w:rPr>
      <w:szCs w:val="20"/>
    </w:rPr>
  </w:style>
  <w:style w:type="paragraph" w:customStyle="1" w:styleId="TOCStem">
    <w:name w:val="TOCStem"/>
    <w:basedOn w:val="Normal"/>
    <w:rsid w:val="0093603E"/>
    <w:rPr>
      <w:szCs w:val="20"/>
    </w:rPr>
  </w:style>
  <w:style w:type="character" w:styleId="FollowedHyperlink">
    <w:name w:val="FollowedHyperlink"/>
    <w:rsid w:val="0093603E"/>
    <w:rPr>
      <w:color w:val="800080"/>
      <w:u w:val="single"/>
    </w:rPr>
  </w:style>
  <w:style w:type="paragraph" w:styleId="BalloonText">
    <w:name w:val="Balloon Text"/>
    <w:basedOn w:val="Normal"/>
    <w:link w:val="BalloonTextChar"/>
    <w:semiHidden/>
    <w:rsid w:val="0093603E"/>
    <w:rPr>
      <w:rFonts w:ascii="Tahoma" w:hAnsi="Tahoma" w:cs="Tahoma"/>
      <w:sz w:val="16"/>
      <w:szCs w:val="16"/>
    </w:rPr>
  </w:style>
  <w:style w:type="character" w:customStyle="1" w:styleId="BalloonTextChar">
    <w:name w:val="Balloon Text Char"/>
    <w:basedOn w:val="DefaultParagraphFont"/>
    <w:link w:val="BalloonText"/>
    <w:semiHidden/>
    <w:rsid w:val="003B7F3D"/>
    <w:rPr>
      <w:rFonts w:ascii="Tahoma" w:hAnsi="Tahoma" w:cs="Tahoma"/>
      <w:color w:val="000000"/>
      <w:sz w:val="16"/>
      <w:szCs w:val="16"/>
    </w:rPr>
  </w:style>
  <w:style w:type="paragraph" w:customStyle="1" w:styleId="BulletText3">
    <w:name w:val="Bullet Text 3"/>
    <w:basedOn w:val="Normal"/>
    <w:rsid w:val="0093603E"/>
    <w:pPr>
      <w:numPr>
        <w:numId w:val="4"/>
      </w:numPr>
      <w:tabs>
        <w:tab w:val="clear" w:pos="173"/>
      </w:tabs>
      <w:ind w:left="533" w:hanging="173"/>
    </w:pPr>
    <w:rPr>
      <w:szCs w:val="20"/>
    </w:rPr>
  </w:style>
  <w:style w:type="character" w:styleId="HTMLAcronym">
    <w:name w:val="HTML Acronym"/>
    <w:basedOn w:val="DefaultParagraphFont"/>
    <w:rsid w:val="0093603E"/>
  </w:style>
  <w:style w:type="paragraph" w:customStyle="1" w:styleId="IMTOC">
    <w:name w:val="IMTOC"/>
    <w:rsid w:val="0093603E"/>
    <w:rPr>
      <w:sz w:val="24"/>
    </w:rPr>
  </w:style>
  <w:style w:type="table" w:styleId="TableGrid">
    <w:name w:val="Table Grid"/>
    <w:basedOn w:val="TableNormal"/>
    <w:rsid w:val="009360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93603E"/>
    <w:rPr>
      <w:sz w:val="24"/>
      <w:szCs w:val="24"/>
      <w:lang w:val="x-none" w:eastAsia="x-none"/>
    </w:rPr>
  </w:style>
  <w:style w:type="character" w:customStyle="1" w:styleId="FooterChar">
    <w:name w:val="Footer Char"/>
    <w:link w:val="Footer"/>
    <w:rsid w:val="0093603E"/>
    <w:rPr>
      <w:sz w:val="24"/>
      <w:szCs w:val="24"/>
      <w:lang w:val="x-none" w:eastAsia="x-none"/>
    </w:rPr>
  </w:style>
  <w:style w:type="character" w:styleId="CommentReference">
    <w:name w:val="annotation reference"/>
    <w:basedOn w:val="DefaultParagraphFont"/>
    <w:uiPriority w:val="99"/>
    <w:semiHidden/>
    <w:unhideWhenUsed/>
    <w:rsid w:val="0093603E"/>
    <w:rPr>
      <w:sz w:val="16"/>
      <w:szCs w:val="16"/>
    </w:rPr>
  </w:style>
  <w:style w:type="paragraph" w:styleId="CommentText">
    <w:name w:val="annotation text"/>
    <w:basedOn w:val="Normal"/>
    <w:link w:val="CommentTextChar"/>
    <w:uiPriority w:val="99"/>
    <w:semiHidden/>
    <w:unhideWhenUsed/>
    <w:rsid w:val="0093603E"/>
    <w:rPr>
      <w:sz w:val="20"/>
      <w:szCs w:val="20"/>
    </w:rPr>
  </w:style>
  <w:style w:type="character" w:customStyle="1" w:styleId="CommentTextChar">
    <w:name w:val="Comment Text Char"/>
    <w:basedOn w:val="DefaultParagraphFont"/>
    <w:link w:val="CommentText"/>
    <w:uiPriority w:val="99"/>
    <w:semiHidden/>
    <w:rsid w:val="0093603E"/>
    <w:rPr>
      <w:color w:val="000000"/>
    </w:rPr>
  </w:style>
  <w:style w:type="paragraph" w:styleId="CommentSubject">
    <w:name w:val="annotation subject"/>
    <w:basedOn w:val="CommentText"/>
    <w:next w:val="CommentText"/>
    <w:link w:val="CommentSubjectChar"/>
    <w:uiPriority w:val="99"/>
    <w:semiHidden/>
    <w:unhideWhenUsed/>
    <w:rsid w:val="0093603E"/>
    <w:rPr>
      <w:b/>
      <w:bCs/>
    </w:rPr>
  </w:style>
  <w:style w:type="character" w:customStyle="1" w:styleId="CommentSubjectChar">
    <w:name w:val="Comment Subject Char"/>
    <w:basedOn w:val="CommentTextChar"/>
    <w:link w:val="CommentSubject"/>
    <w:uiPriority w:val="99"/>
    <w:semiHidden/>
    <w:rsid w:val="0093603E"/>
    <w:rPr>
      <w:b/>
      <w:bCs/>
      <w:color w:val="000000"/>
    </w:rPr>
  </w:style>
  <w:style w:type="paragraph" w:styleId="ListParagraph">
    <w:name w:val="List Paragraph"/>
    <w:basedOn w:val="Normal"/>
    <w:uiPriority w:val="34"/>
    <w:qFormat/>
    <w:rsid w:val="00AA1063"/>
    <w:pPr>
      <w:ind w:left="720"/>
      <w:contextualSpacing/>
    </w:pPr>
  </w:style>
  <w:style w:type="paragraph" w:styleId="Revision">
    <w:name w:val="Revision"/>
    <w:hidden/>
    <w:uiPriority w:val="99"/>
    <w:semiHidden/>
    <w:rsid w:val="007319F8"/>
    <w:rPr>
      <w:color w:val="000000"/>
      <w:sz w:val="24"/>
      <w:szCs w:val="24"/>
    </w:rPr>
  </w:style>
  <w:style w:type="paragraph" w:styleId="NoSpacing">
    <w:name w:val="No Spacing"/>
    <w:link w:val="NoSpacingChar"/>
    <w:uiPriority w:val="1"/>
    <w:qFormat/>
    <w:rsid w:val="00275E5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75E58"/>
    <w:rPr>
      <w:rFonts w:asciiTheme="minorHAnsi" w:eastAsiaTheme="minorEastAsia" w:hAnsiTheme="minorHAnsi" w:cstheme="minorBidi"/>
      <w:sz w:val="22"/>
      <w:szCs w:val="22"/>
      <w:lang w:eastAsia="ja-JP"/>
    </w:rPr>
  </w:style>
  <w:style w:type="paragraph" w:customStyle="1" w:styleId="Default">
    <w:name w:val="Default"/>
    <w:rsid w:val="003F714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3E"/>
    <w:rPr>
      <w:color w:val="000000"/>
      <w:sz w:val="24"/>
      <w:szCs w:val="24"/>
    </w:rPr>
  </w:style>
  <w:style w:type="paragraph" w:styleId="Heading1">
    <w:name w:val="heading 1"/>
    <w:aliases w:val="Part Title"/>
    <w:basedOn w:val="Normal"/>
    <w:next w:val="Heading4"/>
    <w:qFormat/>
    <w:rsid w:val="0093603E"/>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3603E"/>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3603E"/>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3603E"/>
    <w:pPr>
      <w:spacing w:after="240"/>
      <w:outlineLvl w:val="3"/>
    </w:pPr>
    <w:rPr>
      <w:rFonts w:ascii="Arial" w:hAnsi="Arial" w:cs="Arial"/>
      <w:b/>
      <w:sz w:val="32"/>
      <w:szCs w:val="20"/>
    </w:rPr>
  </w:style>
  <w:style w:type="paragraph" w:styleId="Heading5">
    <w:name w:val="heading 5"/>
    <w:aliases w:val="Block Label"/>
    <w:basedOn w:val="Normal"/>
    <w:qFormat/>
    <w:rsid w:val="0093603E"/>
    <w:pPr>
      <w:outlineLvl w:val="4"/>
    </w:pPr>
    <w:rPr>
      <w:b/>
      <w:sz w:val="22"/>
      <w:szCs w:val="20"/>
    </w:rPr>
  </w:style>
  <w:style w:type="paragraph" w:styleId="Heading6">
    <w:name w:val="heading 6"/>
    <w:aliases w:val="Sub Label"/>
    <w:basedOn w:val="Heading5"/>
    <w:next w:val="BlockText"/>
    <w:qFormat/>
    <w:rsid w:val="0093603E"/>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03E"/>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3603E"/>
    <w:pPr>
      <w:pBdr>
        <w:top w:val="single" w:sz="6" w:space="1" w:color="000000"/>
        <w:between w:val="single" w:sz="6" w:space="1" w:color="auto"/>
      </w:pBdr>
      <w:spacing w:before="240"/>
      <w:ind w:left="1728"/>
    </w:pPr>
    <w:rPr>
      <w:szCs w:val="20"/>
    </w:rPr>
  </w:style>
  <w:style w:type="paragraph" w:styleId="BlockText">
    <w:name w:val="Block Text"/>
    <w:basedOn w:val="Normal"/>
    <w:rsid w:val="0093603E"/>
  </w:style>
  <w:style w:type="paragraph" w:customStyle="1" w:styleId="BulletText1">
    <w:name w:val="Bullet Text 1"/>
    <w:basedOn w:val="Normal"/>
    <w:rsid w:val="0093603E"/>
    <w:pPr>
      <w:numPr>
        <w:numId w:val="2"/>
      </w:numPr>
    </w:pPr>
    <w:rPr>
      <w:szCs w:val="20"/>
    </w:rPr>
  </w:style>
  <w:style w:type="paragraph" w:customStyle="1" w:styleId="BulletText2">
    <w:name w:val="Bullet Text 2"/>
    <w:basedOn w:val="Normal"/>
    <w:rsid w:val="0093603E"/>
    <w:pPr>
      <w:numPr>
        <w:numId w:val="3"/>
      </w:numPr>
    </w:pPr>
    <w:rPr>
      <w:szCs w:val="20"/>
    </w:rPr>
  </w:style>
  <w:style w:type="paragraph" w:customStyle="1" w:styleId="ContinuedOnNextPa">
    <w:name w:val="Continued On Next Pa"/>
    <w:basedOn w:val="Normal"/>
    <w:next w:val="Normal"/>
    <w:rsid w:val="0093603E"/>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3603E"/>
    <w:pPr>
      <w:spacing w:after="240"/>
    </w:pPr>
    <w:rPr>
      <w:b/>
      <w:sz w:val="22"/>
      <w:szCs w:val="20"/>
    </w:rPr>
  </w:style>
  <w:style w:type="paragraph" w:customStyle="1" w:styleId="MapTitleContinued">
    <w:name w:val="Map Title. Continued"/>
    <w:basedOn w:val="Normal"/>
    <w:next w:val="Normal"/>
    <w:rsid w:val="0093603E"/>
    <w:pPr>
      <w:spacing w:after="240"/>
    </w:pPr>
    <w:rPr>
      <w:rFonts w:ascii="Arial" w:hAnsi="Arial" w:cs="Arial"/>
      <w:b/>
      <w:sz w:val="32"/>
      <w:szCs w:val="20"/>
    </w:rPr>
  </w:style>
  <w:style w:type="paragraph" w:customStyle="1" w:styleId="MemoLine">
    <w:name w:val="Memo Line"/>
    <w:basedOn w:val="BlockLine"/>
    <w:next w:val="Normal"/>
    <w:rsid w:val="0093603E"/>
  </w:style>
  <w:style w:type="paragraph" w:styleId="Footer">
    <w:name w:val="footer"/>
    <w:basedOn w:val="Normal"/>
    <w:link w:val="FooterChar"/>
    <w:rsid w:val="0093603E"/>
    <w:pPr>
      <w:tabs>
        <w:tab w:val="center" w:pos="4680"/>
        <w:tab w:val="right" w:pos="9360"/>
      </w:tabs>
    </w:pPr>
    <w:rPr>
      <w:color w:val="auto"/>
      <w:lang w:val="x-none" w:eastAsia="x-none"/>
    </w:rPr>
  </w:style>
  <w:style w:type="character" w:styleId="PageNumber">
    <w:name w:val="page number"/>
    <w:basedOn w:val="DefaultParagraphFont"/>
    <w:semiHidden/>
  </w:style>
  <w:style w:type="paragraph" w:customStyle="1" w:styleId="TableText">
    <w:name w:val="Table Text"/>
    <w:basedOn w:val="Normal"/>
    <w:rsid w:val="0093603E"/>
    <w:rPr>
      <w:szCs w:val="20"/>
    </w:rPr>
  </w:style>
  <w:style w:type="paragraph" w:customStyle="1" w:styleId="NoteText">
    <w:name w:val="Note Text"/>
    <w:basedOn w:val="Normal"/>
    <w:rsid w:val="0093603E"/>
    <w:rPr>
      <w:szCs w:val="20"/>
    </w:rPr>
  </w:style>
  <w:style w:type="paragraph" w:customStyle="1" w:styleId="TableHeaderText">
    <w:name w:val="Table Header Text"/>
    <w:basedOn w:val="Normal"/>
    <w:rsid w:val="0093603E"/>
    <w:pPr>
      <w:jc w:val="center"/>
    </w:pPr>
    <w:rPr>
      <w:b/>
      <w:szCs w:val="20"/>
    </w:rPr>
  </w:style>
  <w:style w:type="paragraph" w:customStyle="1" w:styleId="EmbeddedText">
    <w:name w:val="Embedded Text"/>
    <w:basedOn w:val="Normal"/>
    <w:rsid w:val="0093603E"/>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93603E"/>
    <w:pPr>
      <w:ind w:left="480"/>
    </w:pPr>
  </w:style>
  <w:style w:type="paragraph" w:styleId="TOC4">
    <w:name w:val="toc 4"/>
    <w:basedOn w:val="Normal"/>
    <w:next w:val="Normal"/>
    <w:autoRedefine/>
    <w:uiPriority w:val="39"/>
    <w:rsid w:val="0093603E"/>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semiHidden/>
    <w:pPr>
      <w:tabs>
        <w:tab w:val="left" w:pos="450"/>
        <w:tab w:val="right" w:pos="8640"/>
      </w:tabs>
      <w:ind w:right="72"/>
    </w:pPr>
  </w:style>
  <w:style w:type="paragraph" w:styleId="FootnoteText">
    <w:name w:val="footnote text"/>
    <w:basedOn w:val="Normal"/>
    <w:semiHidden/>
    <w:rPr>
      <w:rFonts w:ascii="Courier New" w:hAnsi="Courier New"/>
      <w:sz w:val="20"/>
    </w:rPr>
  </w:style>
  <w:style w:type="character" w:styleId="Emphasis">
    <w:name w:val="Emphasis"/>
    <w:basedOn w:val="DefaultParagraphFont"/>
    <w:qFormat/>
    <w:rPr>
      <w:i/>
    </w:rPr>
  </w:style>
  <w:style w:type="paragraph" w:styleId="ListBullet">
    <w:name w:val="List Bullet"/>
    <w:basedOn w:val="Normal"/>
    <w:autoRedefine/>
    <w:semiHidden/>
    <w:pPr>
      <w:numPr>
        <w:numId w:val="1"/>
      </w:numPr>
    </w:pPr>
  </w:style>
  <w:style w:type="character" w:styleId="Hyperlink">
    <w:name w:val="Hyperlink"/>
    <w:uiPriority w:val="99"/>
    <w:rsid w:val="0093603E"/>
    <w:rPr>
      <w:color w:val="0000FF"/>
      <w:u w:val="single"/>
    </w:rPr>
  </w:style>
  <w:style w:type="character" w:styleId="FootnoteReference">
    <w:name w:val="footnote reference"/>
    <w:basedOn w:val="DefaultParagraphFont"/>
    <w:semiHidden/>
    <w:rPr>
      <w:position w:val="6"/>
      <w:sz w:val="16"/>
    </w:rPr>
  </w:style>
  <w:style w:type="paragraph" w:styleId="BodyText2">
    <w:name w:val="Body Text 2"/>
    <w:basedOn w:val="Normal"/>
    <w:semiHidden/>
    <w:pPr>
      <w:tabs>
        <w:tab w:val="left" w:pos="540"/>
        <w:tab w:val="right" w:pos="8820"/>
      </w:tabs>
      <w:ind w:right="36"/>
    </w:pPr>
  </w:style>
  <w:style w:type="paragraph" w:styleId="BodyText3">
    <w:name w:val="Body Text 3"/>
    <w:basedOn w:val="Normal"/>
    <w:semiHidden/>
    <w:pPr>
      <w:tabs>
        <w:tab w:val="left" w:pos="540"/>
        <w:tab w:val="right" w:pos="8820"/>
      </w:tabs>
      <w:ind w:right="-36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93603E"/>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93603E"/>
    <w:pPr>
      <w:spacing w:after="240"/>
      <w:jc w:val="center"/>
    </w:pPr>
    <w:rPr>
      <w:rFonts w:ascii="Arial" w:hAnsi="Arial" w:cs="Arial"/>
      <w:b/>
      <w:sz w:val="32"/>
      <w:szCs w:val="20"/>
    </w:rPr>
  </w:style>
  <w:style w:type="paragraph" w:customStyle="1" w:styleId="TOCTitle">
    <w:name w:val="TOC Title"/>
    <w:basedOn w:val="Normal"/>
    <w:rsid w:val="0093603E"/>
    <w:pPr>
      <w:widowControl w:val="0"/>
    </w:pPr>
    <w:rPr>
      <w:rFonts w:ascii="Arial" w:hAnsi="Arial" w:cs="Arial"/>
      <w:b/>
      <w:sz w:val="32"/>
      <w:szCs w:val="20"/>
    </w:rPr>
  </w:style>
  <w:style w:type="paragraph" w:customStyle="1" w:styleId="TOCItem">
    <w:name w:val="TOCItem"/>
    <w:basedOn w:val="Normal"/>
    <w:rsid w:val="0093603E"/>
    <w:pPr>
      <w:tabs>
        <w:tab w:val="left" w:leader="dot" w:pos="7061"/>
        <w:tab w:val="right" w:pos="7524"/>
      </w:tabs>
      <w:spacing w:before="60" w:after="60"/>
      <w:ind w:right="465"/>
    </w:pPr>
    <w:rPr>
      <w:szCs w:val="20"/>
    </w:rPr>
  </w:style>
  <w:style w:type="paragraph" w:customStyle="1" w:styleId="TOCStem">
    <w:name w:val="TOCStem"/>
    <w:basedOn w:val="Normal"/>
    <w:rsid w:val="0093603E"/>
    <w:rPr>
      <w:szCs w:val="20"/>
    </w:rPr>
  </w:style>
  <w:style w:type="character" w:styleId="FollowedHyperlink">
    <w:name w:val="FollowedHyperlink"/>
    <w:rsid w:val="0093603E"/>
    <w:rPr>
      <w:color w:val="800080"/>
      <w:u w:val="single"/>
    </w:rPr>
  </w:style>
  <w:style w:type="paragraph" w:styleId="BalloonText">
    <w:name w:val="Balloon Text"/>
    <w:basedOn w:val="Normal"/>
    <w:link w:val="BalloonTextChar"/>
    <w:semiHidden/>
    <w:rsid w:val="0093603E"/>
    <w:rPr>
      <w:rFonts w:ascii="Tahoma" w:hAnsi="Tahoma" w:cs="Tahoma"/>
      <w:sz w:val="16"/>
      <w:szCs w:val="16"/>
    </w:rPr>
  </w:style>
  <w:style w:type="character" w:customStyle="1" w:styleId="BalloonTextChar">
    <w:name w:val="Balloon Text Char"/>
    <w:basedOn w:val="DefaultParagraphFont"/>
    <w:link w:val="BalloonText"/>
    <w:semiHidden/>
    <w:rsid w:val="003B7F3D"/>
    <w:rPr>
      <w:rFonts w:ascii="Tahoma" w:hAnsi="Tahoma" w:cs="Tahoma"/>
      <w:color w:val="000000"/>
      <w:sz w:val="16"/>
      <w:szCs w:val="16"/>
    </w:rPr>
  </w:style>
  <w:style w:type="paragraph" w:customStyle="1" w:styleId="BulletText3">
    <w:name w:val="Bullet Text 3"/>
    <w:basedOn w:val="Normal"/>
    <w:rsid w:val="0093603E"/>
    <w:pPr>
      <w:numPr>
        <w:numId w:val="4"/>
      </w:numPr>
      <w:tabs>
        <w:tab w:val="clear" w:pos="173"/>
      </w:tabs>
      <w:ind w:left="533" w:hanging="173"/>
    </w:pPr>
    <w:rPr>
      <w:szCs w:val="20"/>
    </w:rPr>
  </w:style>
  <w:style w:type="character" w:styleId="HTMLAcronym">
    <w:name w:val="HTML Acronym"/>
    <w:basedOn w:val="DefaultParagraphFont"/>
    <w:rsid w:val="0093603E"/>
  </w:style>
  <w:style w:type="paragraph" w:customStyle="1" w:styleId="IMTOC">
    <w:name w:val="IMTOC"/>
    <w:rsid w:val="0093603E"/>
    <w:rPr>
      <w:sz w:val="24"/>
    </w:rPr>
  </w:style>
  <w:style w:type="table" w:styleId="TableGrid">
    <w:name w:val="Table Grid"/>
    <w:basedOn w:val="TableNormal"/>
    <w:rsid w:val="009360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93603E"/>
    <w:rPr>
      <w:sz w:val="24"/>
      <w:szCs w:val="24"/>
      <w:lang w:val="x-none" w:eastAsia="x-none"/>
    </w:rPr>
  </w:style>
  <w:style w:type="character" w:customStyle="1" w:styleId="FooterChar">
    <w:name w:val="Footer Char"/>
    <w:link w:val="Footer"/>
    <w:rsid w:val="0093603E"/>
    <w:rPr>
      <w:sz w:val="24"/>
      <w:szCs w:val="24"/>
      <w:lang w:val="x-none" w:eastAsia="x-none"/>
    </w:rPr>
  </w:style>
  <w:style w:type="character" w:styleId="CommentReference">
    <w:name w:val="annotation reference"/>
    <w:basedOn w:val="DefaultParagraphFont"/>
    <w:uiPriority w:val="99"/>
    <w:semiHidden/>
    <w:unhideWhenUsed/>
    <w:rsid w:val="0093603E"/>
    <w:rPr>
      <w:sz w:val="16"/>
      <w:szCs w:val="16"/>
    </w:rPr>
  </w:style>
  <w:style w:type="paragraph" w:styleId="CommentText">
    <w:name w:val="annotation text"/>
    <w:basedOn w:val="Normal"/>
    <w:link w:val="CommentTextChar"/>
    <w:uiPriority w:val="99"/>
    <w:semiHidden/>
    <w:unhideWhenUsed/>
    <w:rsid w:val="0093603E"/>
    <w:rPr>
      <w:sz w:val="20"/>
      <w:szCs w:val="20"/>
    </w:rPr>
  </w:style>
  <w:style w:type="character" w:customStyle="1" w:styleId="CommentTextChar">
    <w:name w:val="Comment Text Char"/>
    <w:basedOn w:val="DefaultParagraphFont"/>
    <w:link w:val="CommentText"/>
    <w:uiPriority w:val="99"/>
    <w:semiHidden/>
    <w:rsid w:val="0093603E"/>
    <w:rPr>
      <w:color w:val="000000"/>
    </w:rPr>
  </w:style>
  <w:style w:type="paragraph" w:styleId="CommentSubject">
    <w:name w:val="annotation subject"/>
    <w:basedOn w:val="CommentText"/>
    <w:next w:val="CommentText"/>
    <w:link w:val="CommentSubjectChar"/>
    <w:uiPriority w:val="99"/>
    <w:semiHidden/>
    <w:unhideWhenUsed/>
    <w:rsid w:val="0093603E"/>
    <w:rPr>
      <w:b/>
      <w:bCs/>
    </w:rPr>
  </w:style>
  <w:style w:type="character" w:customStyle="1" w:styleId="CommentSubjectChar">
    <w:name w:val="Comment Subject Char"/>
    <w:basedOn w:val="CommentTextChar"/>
    <w:link w:val="CommentSubject"/>
    <w:uiPriority w:val="99"/>
    <w:semiHidden/>
    <w:rsid w:val="0093603E"/>
    <w:rPr>
      <w:b/>
      <w:bCs/>
      <w:color w:val="000000"/>
    </w:rPr>
  </w:style>
  <w:style w:type="paragraph" w:styleId="ListParagraph">
    <w:name w:val="List Paragraph"/>
    <w:basedOn w:val="Normal"/>
    <w:uiPriority w:val="34"/>
    <w:qFormat/>
    <w:rsid w:val="00AA1063"/>
    <w:pPr>
      <w:ind w:left="720"/>
      <w:contextualSpacing/>
    </w:pPr>
  </w:style>
  <w:style w:type="paragraph" w:styleId="Revision">
    <w:name w:val="Revision"/>
    <w:hidden/>
    <w:uiPriority w:val="99"/>
    <w:semiHidden/>
    <w:rsid w:val="007319F8"/>
    <w:rPr>
      <w:color w:val="000000"/>
      <w:sz w:val="24"/>
      <w:szCs w:val="24"/>
    </w:rPr>
  </w:style>
  <w:style w:type="paragraph" w:styleId="NoSpacing">
    <w:name w:val="No Spacing"/>
    <w:link w:val="NoSpacingChar"/>
    <w:uiPriority w:val="1"/>
    <w:qFormat/>
    <w:rsid w:val="00275E5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75E58"/>
    <w:rPr>
      <w:rFonts w:asciiTheme="minorHAnsi" w:eastAsiaTheme="minorEastAsia" w:hAnsiTheme="minorHAnsi" w:cstheme="minorBidi"/>
      <w:sz w:val="22"/>
      <w:szCs w:val="22"/>
      <w:lang w:eastAsia="ja-JP"/>
    </w:rPr>
  </w:style>
  <w:style w:type="paragraph" w:customStyle="1" w:styleId="Default">
    <w:name w:val="Default"/>
    <w:rsid w:val="003F71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baw.vba.va.gov/bl/21/publicat/Regs/Part4/index.htm" TargetMode="External"/><Relationship Id="rId18" Type="http://schemas.openxmlformats.org/officeDocument/2006/relationships/hyperlink" Target="imi-internal:M21-1MRIV.ii.3.B.6.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cfr.gov/cgi-bin/text-idx?SID=647d97f63b1517bc970739d0227f0241&amp;node=se38.1.3_1655&amp;rgn=div8" TargetMode="External"/><Relationship Id="rId7" Type="http://schemas.microsoft.com/office/2007/relationships/stylesWithEffects" Target="stylesWithEffects.xml"/><Relationship Id="rId12" Type="http://schemas.openxmlformats.org/officeDocument/2006/relationships/hyperlink" Target="http://www.ecfr.gov/cgi-bin/text-idx?SID=603bd113d9467e2ba28b4245353d970c&amp;mc=true&amp;node=se38.1.3_1655&amp;rgn=div8" TargetMode="External"/><Relationship Id="rId17" Type="http://schemas.openxmlformats.org/officeDocument/2006/relationships/hyperlink" Target="http://www.ecfr.gov/cgi-bin/text-idx?SID=603bd113d9467e2ba28b4245353d970c&amp;mc=true&amp;node=se38.1.3_1655&amp;rgn=div8"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cfr.gov/cgi-bin/text-idx?SID=603bd113d9467e2ba28b4245353d970c&amp;mc=true&amp;node=se38.1.3_1655&amp;rgn=div8" TargetMode="External"/><Relationship Id="rId20" Type="http://schemas.openxmlformats.org/officeDocument/2006/relationships/hyperlink" Target="http://www.ecfr.gov/cgi-bin/text-idx?SID=214b6f2e98b988d7733cfa07e64068ba&amp;node=se38.1.3_1103&amp;rgn=div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cfr.gov/cgi-bin/text-idx?SID=603bd113d9467e2ba28b4245353d970c&amp;mc=true&amp;node=se38.1.3_1655&amp;rgn=div8" TargetMode="External"/><Relationship Id="rId23" Type="http://schemas.openxmlformats.org/officeDocument/2006/relationships/hyperlink" Target="http://www.ecfr.gov/cgi-bin/text-idx?SID=071c2c17fdab6a336fea4288de7f6bed&amp;node=se38.1.3_1655&amp;rgn=div8"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vaww.demo.va.gov/files/FactSheets/2015/DMA_FactSheet15-003-Revise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603bd113d9467e2ba28b4245353d970c&amp;mc=true&amp;node=se38.1.3_1951&amp;rgn=div8" TargetMode="External"/><Relationship Id="rId22" Type="http://schemas.openxmlformats.org/officeDocument/2006/relationships/hyperlink" Target="http://www.ecfr.gov/cgi-bin/text-idx?SID=cb4e5e48d68674e2f6571ecde3459811&amp;node=se38.1.3_1158&amp;rgn=div8"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107C-8C46-41F5-9A4C-F275CB22A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90DA3-28CA-4FC0-83E0-583CA88585C6}">
  <ds:schemaRefs>
    <ds:schemaRef ds:uri="http://schemas.microsoft.com/sharepoint/v3/contenttype/forms"/>
  </ds:schemaRefs>
</ds:datastoreItem>
</file>

<file path=customXml/itemProps3.xml><?xml version="1.0" encoding="utf-8"?>
<ds:datastoreItem xmlns:ds="http://schemas.openxmlformats.org/officeDocument/2006/customXml" ds:itemID="{2B17247F-0158-4011-8430-0B724FF1A00B}">
  <ds:schemaRefs>
    <ds:schemaRef ds:uri="http://purl.org/dc/dcmitype/"/>
    <ds:schemaRef ds:uri="http://purl.org/dc/elements/1.1/"/>
    <ds:schemaRef ds:uri="b438dcf7-3998-4283-b7fc-0ec6fa8e430f"/>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D01EFA3-F7E1-480C-833A-A9037F86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850</TotalTime>
  <Pages>13</Pages>
  <Words>3384</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Section B.  Failure to Report for Review Examination (U.S. Department of Veterans Affairs)</vt:lpstr>
    </vt:vector>
  </TitlesOfParts>
  <Company>Veteran Affairs</Company>
  <LinksUpToDate>false</LinksUpToDate>
  <CharactersWithSpaces>22921</CharactersWithSpaces>
  <SharedDoc>false</SharedDoc>
  <HLinks>
    <vt:vector size="132" baseType="variant">
      <vt:variant>
        <vt:i4>4128875</vt:i4>
      </vt:variant>
      <vt:variant>
        <vt:i4>93</vt:i4>
      </vt:variant>
      <vt:variant>
        <vt:i4>0</vt:i4>
      </vt:variant>
      <vt:variant>
        <vt:i4>5</vt:i4>
      </vt:variant>
      <vt:variant>
        <vt:lpwstr>imi-internal:M21-1MRIII.v.9.B.4</vt:lpwstr>
      </vt:variant>
      <vt:variant>
        <vt:lpwstr/>
      </vt:variant>
      <vt:variant>
        <vt:i4>6619220</vt:i4>
      </vt:variant>
      <vt:variant>
        <vt:i4>90</vt:i4>
      </vt:variant>
      <vt:variant>
        <vt:i4>0</vt:i4>
      </vt:variant>
      <vt:variant>
        <vt:i4>5</vt:i4>
      </vt:variant>
      <vt:variant>
        <vt:lpwstr>http://www.warms.vba.va.gov/admin21/m21_1/part5/ch10.doc</vt:lpwstr>
      </vt:variant>
      <vt:variant>
        <vt:lpwstr/>
      </vt:variant>
      <vt:variant>
        <vt:i4>6291520</vt:i4>
      </vt:variant>
      <vt:variant>
        <vt:i4>87</vt:i4>
      </vt:variant>
      <vt:variant>
        <vt:i4>0</vt:i4>
      </vt:variant>
      <vt:variant>
        <vt:i4>5</vt:i4>
      </vt:variant>
      <vt:variant>
        <vt:lpwstr>http://www.warms.vba.va.gov/regs/38CFR/BOOKB/PART3/S3_655.DOC</vt:lpwstr>
      </vt:variant>
      <vt:variant>
        <vt:lpwstr/>
      </vt:variant>
      <vt:variant>
        <vt:i4>6291530</vt:i4>
      </vt:variant>
      <vt:variant>
        <vt:i4>84</vt:i4>
      </vt:variant>
      <vt:variant>
        <vt:i4>0</vt:i4>
      </vt:variant>
      <vt:variant>
        <vt:i4>5</vt:i4>
      </vt:variant>
      <vt:variant>
        <vt:lpwstr>http://www.warms.vba.va.gov/regs/38CFR/BOOKB/PART3/S3_158.DOC</vt:lpwstr>
      </vt:variant>
      <vt:variant>
        <vt:lpwstr/>
      </vt:variant>
      <vt:variant>
        <vt:i4>1114117</vt:i4>
      </vt:variant>
      <vt:variant>
        <vt:i4>78</vt:i4>
      </vt:variant>
      <vt:variant>
        <vt:i4>0</vt:i4>
      </vt:variant>
      <vt:variant>
        <vt:i4>5</vt:i4>
      </vt:variant>
      <vt:variant>
        <vt:lpwstr>imi-internal:M21-1MRIII.v.5.A</vt:lpwstr>
      </vt:variant>
      <vt:variant>
        <vt:lpwstr/>
      </vt:variant>
      <vt:variant>
        <vt:i4>5636169</vt:i4>
      </vt:variant>
      <vt:variant>
        <vt:i4>72</vt:i4>
      </vt:variant>
      <vt:variant>
        <vt:i4>0</vt:i4>
      </vt:variant>
      <vt:variant>
        <vt:i4>5</vt:i4>
      </vt:variant>
      <vt:variant>
        <vt:lpwstr>imi-internal:M21-1MRI.2.B.6.b</vt:lpwstr>
      </vt:variant>
      <vt:variant>
        <vt:lpwstr/>
      </vt:variant>
      <vt:variant>
        <vt:i4>6291520</vt:i4>
      </vt:variant>
      <vt:variant>
        <vt:i4>69</vt:i4>
      </vt:variant>
      <vt:variant>
        <vt:i4>0</vt:i4>
      </vt:variant>
      <vt:variant>
        <vt:i4>5</vt:i4>
      </vt:variant>
      <vt:variant>
        <vt:lpwstr>http://www.warms.vba.va.gov/regs/38CFR/BOOKB/PART3/S3_655.DOC</vt:lpwstr>
      </vt:variant>
      <vt:variant>
        <vt:lpwstr/>
      </vt:variant>
      <vt:variant>
        <vt:i4>5636169</vt:i4>
      </vt:variant>
      <vt:variant>
        <vt:i4>63</vt:i4>
      </vt:variant>
      <vt:variant>
        <vt:i4>0</vt:i4>
      </vt:variant>
      <vt:variant>
        <vt:i4>5</vt:i4>
      </vt:variant>
      <vt:variant>
        <vt:lpwstr>imi-internal:M21-1MRI.2.B.6.b</vt:lpwstr>
      </vt:variant>
      <vt:variant>
        <vt:lpwstr/>
      </vt:variant>
      <vt:variant>
        <vt:i4>4784143</vt:i4>
      </vt:variant>
      <vt:variant>
        <vt:i4>60</vt:i4>
      </vt:variant>
      <vt:variant>
        <vt:i4>0</vt:i4>
      </vt:variant>
      <vt:variant>
        <vt:i4>5</vt:i4>
      </vt:variant>
      <vt:variant>
        <vt:lpwstr>imi-internal:M21-1MRIV.ii.3.B.6.e</vt:lpwstr>
      </vt:variant>
      <vt:variant>
        <vt:lpwstr/>
      </vt:variant>
      <vt:variant>
        <vt:i4>5636125</vt:i4>
      </vt:variant>
      <vt:variant>
        <vt:i4>51</vt:i4>
      </vt:variant>
      <vt:variant>
        <vt:i4>0</vt:i4>
      </vt:variant>
      <vt:variant>
        <vt:i4>5</vt:i4>
      </vt:variant>
      <vt:variant>
        <vt:lpwstr>imi-internal:M21-1MRI.2.D</vt:lpwstr>
      </vt:variant>
      <vt:variant>
        <vt:lpwstr/>
      </vt:variant>
      <vt:variant>
        <vt:i4>6619201</vt:i4>
      </vt:variant>
      <vt:variant>
        <vt:i4>45</vt:i4>
      </vt:variant>
      <vt:variant>
        <vt:i4>0</vt:i4>
      </vt:variant>
      <vt:variant>
        <vt:i4>5</vt:i4>
      </vt:variant>
      <vt:variant>
        <vt:lpwstr>http://www.warms.vba.va.gov/regs/38CFR/BOOKB/PART3/S3_103.DOC</vt:lpwstr>
      </vt:variant>
      <vt:variant>
        <vt:lpwstr/>
      </vt:variant>
      <vt:variant>
        <vt:i4>4784140</vt:i4>
      </vt:variant>
      <vt:variant>
        <vt:i4>36</vt:i4>
      </vt:variant>
      <vt:variant>
        <vt:i4>0</vt:i4>
      </vt:variant>
      <vt:variant>
        <vt:i4>5</vt:i4>
      </vt:variant>
      <vt:variant>
        <vt:lpwstr>imi-internal:M21-1MRIV.ii.3.B.5.d</vt:lpwstr>
      </vt:variant>
      <vt:variant>
        <vt:lpwstr/>
      </vt:variant>
      <vt:variant>
        <vt:i4>4784143</vt:i4>
      </vt:variant>
      <vt:variant>
        <vt:i4>33</vt:i4>
      </vt:variant>
      <vt:variant>
        <vt:i4>0</vt:i4>
      </vt:variant>
      <vt:variant>
        <vt:i4>5</vt:i4>
      </vt:variant>
      <vt:variant>
        <vt:lpwstr>imi-internal:M21-1MRIV.ii.3.B.6.f</vt:lpwstr>
      </vt:variant>
      <vt:variant>
        <vt:lpwstr/>
      </vt:variant>
      <vt:variant>
        <vt:i4>4784143</vt:i4>
      </vt:variant>
      <vt:variant>
        <vt:i4>30</vt:i4>
      </vt:variant>
      <vt:variant>
        <vt:i4>0</vt:i4>
      </vt:variant>
      <vt:variant>
        <vt:i4>5</vt:i4>
      </vt:variant>
      <vt:variant>
        <vt:lpwstr>imi-internal:M21-1MRIV.ii.3.B.6.e</vt:lpwstr>
      </vt:variant>
      <vt:variant>
        <vt:lpwstr/>
      </vt:variant>
      <vt:variant>
        <vt:i4>5636102</vt:i4>
      </vt:variant>
      <vt:variant>
        <vt:i4>24</vt:i4>
      </vt:variant>
      <vt:variant>
        <vt:i4>0</vt:i4>
      </vt:variant>
      <vt:variant>
        <vt:i4>5</vt:i4>
      </vt:variant>
      <vt:variant>
        <vt:lpwstr>imi-internal:M21-1MRX.8.5</vt:lpwstr>
      </vt:variant>
      <vt:variant>
        <vt:lpwstr/>
      </vt:variant>
      <vt:variant>
        <vt:i4>5963861</vt:i4>
      </vt:variant>
      <vt:variant>
        <vt:i4>21</vt:i4>
      </vt:variant>
      <vt:variant>
        <vt:i4>0</vt:i4>
      </vt:variant>
      <vt:variant>
        <vt:i4>5</vt:i4>
      </vt:variant>
      <vt:variant>
        <vt:lpwstr>http://www.accurint.com/</vt:lpwstr>
      </vt:variant>
      <vt:variant>
        <vt:lpwstr/>
      </vt:variant>
      <vt:variant>
        <vt:i4>6291520</vt:i4>
      </vt:variant>
      <vt:variant>
        <vt:i4>15</vt:i4>
      </vt:variant>
      <vt:variant>
        <vt:i4>0</vt:i4>
      </vt:variant>
      <vt:variant>
        <vt:i4>5</vt:i4>
      </vt:variant>
      <vt:variant>
        <vt:lpwstr>http://www.warms.vba.va.gov/regs/38CFR/BOOKB/PART3/S3_655.DOC</vt:lpwstr>
      </vt:variant>
      <vt:variant>
        <vt:lpwstr/>
      </vt:variant>
      <vt:variant>
        <vt:i4>720897</vt:i4>
      </vt:variant>
      <vt:variant>
        <vt:i4>12</vt:i4>
      </vt:variant>
      <vt:variant>
        <vt:i4>0</vt:i4>
      </vt:variant>
      <vt:variant>
        <vt:i4>5</vt:i4>
      </vt:variant>
      <vt:variant>
        <vt:lpwstr>imi-internal:M21-1MRIII.iv.8.E.16</vt:lpwstr>
      </vt:variant>
      <vt:variant>
        <vt:lpwstr/>
      </vt:variant>
      <vt:variant>
        <vt:i4>6291520</vt:i4>
      </vt:variant>
      <vt:variant>
        <vt:i4>9</vt:i4>
      </vt:variant>
      <vt:variant>
        <vt:i4>0</vt:i4>
      </vt:variant>
      <vt:variant>
        <vt:i4>5</vt:i4>
      </vt:variant>
      <vt:variant>
        <vt:lpwstr>http://www.warms.vba.va.gov/regs/38CFR/BOOKB/PART3/S3_655.DOC</vt:lpwstr>
      </vt:variant>
      <vt:variant>
        <vt:lpwstr/>
      </vt:variant>
      <vt:variant>
        <vt:i4>6291530</vt:i4>
      </vt:variant>
      <vt:variant>
        <vt:i4>6</vt:i4>
      </vt:variant>
      <vt:variant>
        <vt:i4>0</vt:i4>
      </vt:variant>
      <vt:variant>
        <vt:i4>5</vt:i4>
      </vt:variant>
      <vt:variant>
        <vt:lpwstr>http://www.warms.vba.va.gov/regs/38CFR/BOOKB/PART3/S3_950.DOC</vt:lpwstr>
      </vt:variant>
      <vt:variant>
        <vt:lpwstr/>
      </vt:variant>
      <vt:variant>
        <vt:i4>6291493</vt:i4>
      </vt:variant>
      <vt:variant>
        <vt:i4>3</vt:i4>
      </vt:variant>
      <vt:variant>
        <vt:i4>0</vt:i4>
      </vt:variant>
      <vt:variant>
        <vt:i4>5</vt:i4>
      </vt:variant>
      <vt:variant>
        <vt:lpwstr>http://www.warms.vba.va.gov/bookc.html</vt:lpwstr>
      </vt:variant>
      <vt:variant>
        <vt:lpwstr/>
      </vt:variant>
      <vt:variant>
        <vt:i4>6291520</vt:i4>
      </vt:variant>
      <vt:variant>
        <vt:i4>0</vt:i4>
      </vt:variant>
      <vt:variant>
        <vt:i4>0</vt:i4>
      </vt:variant>
      <vt:variant>
        <vt:i4>5</vt:i4>
      </vt:variant>
      <vt:variant>
        <vt:lpwstr>http://www.warms.vba.va.gov/regs/38CFR/BOOKB/PART3/S3_655.DOC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Failure to Report for Review Examination (U.S. Department of Veterans Affairs)</dc:title>
  <dc:creator>Milenkovic, Melissa, VBAVACO</dc:creator>
  <cp:keywords>failure, report, review, examination, veteran's, scheduled, rating, activity, action, fails, report, examination, award, action</cp:keywords>
  <dc:description>This section provides information on Failure to Report for Review Examination</dc:description>
  <cp:lastModifiedBy>Chelgreen, Amy M.</cp:lastModifiedBy>
  <cp:revision>44</cp:revision>
  <cp:lastPrinted>2005-12-15T16:40:00Z</cp:lastPrinted>
  <dcterms:created xsi:type="dcterms:W3CDTF">2015-12-23T15:40:00Z</dcterms:created>
  <dcterms:modified xsi:type="dcterms:W3CDTF">2016-01-25T18:21:00Z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Type">
    <vt:lpwstr>Manual</vt:lpwstr>
  </property>
  <property fmtid="{D5CDD505-2E9C-101B-9397-08002B2CF9AE}" pid="4" name="DateReviewed">
    <vt:lpwstr>20160115</vt:lpwstr>
  </property>
  <property fmtid="{D5CDD505-2E9C-101B-9397-08002B2CF9AE}" pid="5" name="DateCreated">
    <vt:lpwstr>2005</vt:lpwstr>
  </property>
  <property fmtid="{D5CDD505-2E9C-101B-9397-08002B2CF9AE}" pid="6" name="Language">
    <vt:lpwstr>en</vt:lpwstr>
  </property>
  <property fmtid="{D5CDD505-2E9C-101B-9397-08002B2CF9AE}" pid="7" name="ContentTypeId">
    <vt:lpwstr>0x010100A3776AF772BF364D8E899CBB1EA8E540</vt:lpwstr>
  </property>
</Properties>
</file>