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6EC82" w14:textId="3ECD3F63" w:rsidR="00504F80" w:rsidRDefault="00504F80" w:rsidP="00F36BD2">
      <w:pPr>
        <w:pStyle w:val="Heading4"/>
        <w:tabs>
          <w:tab w:val="left" w:pos="5220"/>
        </w:tabs>
        <w:spacing w:after="0"/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Department of</w:t>
      </w:r>
      <w:r w:rsidR="00F36BD2">
        <w:rPr>
          <w:rFonts w:ascii="Times New Roman" w:hAnsi="Times New Roman"/>
          <w:sz w:val="20"/>
        </w:rPr>
        <w:t xml:space="preserve"> Veterans Affairs</w:t>
      </w:r>
      <w:r w:rsidR="00F36BD2">
        <w:rPr>
          <w:rFonts w:ascii="Times New Roman" w:hAnsi="Times New Roman"/>
          <w:sz w:val="20"/>
        </w:rPr>
        <w:tab/>
      </w:r>
      <w:r w:rsidR="00871B5B">
        <w:rPr>
          <w:rFonts w:ascii="Times New Roman" w:hAnsi="Times New Roman"/>
          <w:sz w:val="20"/>
        </w:rPr>
        <w:t xml:space="preserve">                        </w:t>
      </w:r>
      <w:r w:rsidR="00F36BD2">
        <w:rPr>
          <w:rFonts w:ascii="Times New Roman" w:hAnsi="Times New Roman"/>
          <w:sz w:val="20"/>
        </w:rPr>
        <w:t>M21-1, Part</w:t>
      </w:r>
      <w:r w:rsidR="00DD4FA6">
        <w:rPr>
          <w:rFonts w:ascii="Times New Roman" w:hAnsi="Times New Roman"/>
          <w:sz w:val="20"/>
        </w:rPr>
        <w:t xml:space="preserve"> </w:t>
      </w:r>
      <w:r w:rsidR="00F36BD2">
        <w:rPr>
          <w:rFonts w:ascii="Times New Roman" w:hAnsi="Times New Roman"/>
          <w:sz w:val="20"/>
        </w:rPr>
        <w:t>IV, Subpart</w:t>
      </w:r>
      <w:r w:rsidR="00DD4FA6">
        <w:rPr>
          <w:rFonts w:ascii="Times New Roman" w:hAnsi="Times New Roman"/>
          <w:sz w:val="20"/>
        </w:rPr>
        <w:t xml:space="preserve"> </w:t>
      </w:r>
      <w:r w:rsidR="00F36BD2"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z w:val="20"/>
        </w:rPr>
        <w:t>i</w:t>
      </w:r>
    </w:p>
    <w:p w14:paraId="671C0659" w14:textId="6B4E7569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 w:rsidR="0047584B">
        <w:rPr>
          <w:b/>
          <w:bCs/>
          <w:sz w:val="20"/>
        </w:rPr>
        <w:t xml:space="preserve">             May 13, 2015</w:t>
      </w:r>
      <w:r>
        <w:rPr>
          <w:b/>
          <w:bCs/>
          <w:sz w:val="20"/>
        </w:rPr>
        <w:tab/>
      </w:r>
    </w:p>
    <w:p w14:paraId="392C7D58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7AD159DA" w14:textId="77777777" w:rsidR="00504F80" w:rsidRDefault="00504F80" w:rsidP="00504F80">
      <w:pPr>
        <w:rPr>
          <w:b/>
          <w:bCs/>
          <w:sz w:val="20"/>
        </w:rPr>
      </w:pPr>
    </w:p>
    <w:p w14:paraId="4C710BF0" w14:textId="77777777" w:rsidR="00504F80" w:rsidRDefault="00504F80" w:rsidP="00504F80">
      <w:pPr>
        <w:pStyle w:val="Heading4"/>
      </w:pPr>
      <w:r>
        <w:t xml:space="preserve">Transmittal Sheet </w:t>
      </w:r>
    </w:p>
    <w:p w14:paraId="27E3C6E3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14:paraId="46F47B84" w14:textId="77777777" w:rsidTr="00C24D50">
        <w:tc>
          <w:tcPr>
            <w:tcW w:w="1728" w:type="dxa"/>
          </w:tcPr>
          <w:p w14:paraId="6851BDFE" w14:textId="77777777"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14:paraId="22F296B6" w14:textId="63059E0B" w:rsidR="00504F80" w:rsidRDefault="00504F80" w:rsidP="00237C22">
            <w:pPr>
              <w:pStyle w:val="BlockText"/>
            </w:pPr>
            <w:r>
              <w:t xml:space="preserve">The table below describes the changes included in this revision of Veterans Benefits Manual M21-1, Part </w:t>
            </w:r>
            <w:r w:rsidR="00BB3345">
              <w:t>I</w:t>
            </w:r>
            <w:r w:rsidR="00515688">
              <w:t>V</w:t>
            </w:r>
            <w:r>
              <w:t xml:space="preserve">, </w:t>
            </w:r>
            <w:proofErr w:type="gramStart"/>
            <w:r>
              <w:t>“</w:t>
            </w:r>
            <w:proofErr w:type="gramEnd"/>
            <w:r w:rsidR="00515688">
              <w:t>Compensation, DIC, and Death Compensation</w:t>
            </w:r>
            <w:r>
              <w:t xml:space="preserve">,” Subpart </w:t>
            </w:r>
            <w:r w:rsidR="00BB3345">
              <w:t>ii</w:t>
            </w:r>
            <w:r>
              <w:t>, “</w:t>
            </w:r>
            <w:r w:rsidR="00515688">
              <w:t>Compensation</w:t>
            </w:r>
            <w:r>
              <w:t>.”</w:t>
            </w:r>
          </w:p>
          <w:p w14:paraId="4F8C8B00" w14:textId="77777777" w:rsidR="00504F80" w:rsidRPr="00450FD6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14:paraId="49D9FE5C" w14:textId="618B3E55" w:rsidR="00504F80" w:rsidRDefault="00504F80" w:rsidP="00CC2196">
            <w:pPr>
              <w:pStyle w:val="BulletText1"/>
              <w:numPr>
                <w:ilvl w:val="0"/>
                <w:numId w:val="0"/>
              </w:numPr>
            </w:pPr>
            <w:r>
              <w:rPr>
                <w:b/>
                <w:i/>
              </w:rPr>
              <w:t>Notes</w:t>
            </w:r>
            <w:r>
              <w:t xml:space="preserve">:  Minor editorial changes have also been made to </w:t>
            </w:r>
          </w:p>
          <w:p w14:paraId="4AFFFD7E" w14:textId="77777777" w:rsidR="00504F80" w:rsidRDefault="00504F80" w:rsidP="00CC2196">
            <w:pPr>
              <w:pStyle w:val="ListParagraph"/>
              <w:numPr>
                <w:ilvl w:val="0"/>
                <w:numId w:val="11"/>
              </w:numPr>
              <w:ind w:left="158" w:hanging="187"/>
            </w:pPr>
            <w:r>
              <w:t>remove references to rescinded portions of M21-1</w:t>
            </w:r>
          </w:p>
          <w:p w14:paraId="59AC9E18" w14:textId="77777777" w:rsidR="00504F80" w:rsidRDefault="00504F80" w:rsidP="00CC2196">
            <w:pPr>
              <w:pStyle w:val="ListParagraph"/>
              <w:numPr>
                <w:ilvl w:val="0"/>
                <w:numId w:val="11"/>
              </w:numPr>
              <w:ind w:left="158" w:hanging="187"/>
            </w:pPr>
            <w:r>
              <w:t>update incorrect or obsolete hyperlink references</w:t>
            </w:r>
          </w:p>
          <w:p w14:paraId="4E39D7F5" w14:textId="77777777" w:rsidR="00504F80" w:rsidRDefault="00504F80" w:rsidP="00CC2196">
            <w:pPr>
              <w:pStyle w:val="ListParagraph"/>
              <w:numPr>
                <w:ilvl w:val="0"/>
                <w:numId w:val="11"/>
              </w:numPr>
              <w:ind w:left="158" w:hanging="187"/>
            </w:pPr>
            <w:r>
              <w:t>update the term “veteran” to “Veteran”</w:t>
            </w:r>
          </w:p>
          <w:p w14:paraId="25F8ACC6" w14:textId="77777777" w:rsidR="00504F80" w:rsidRDefault="00504F80" w:rsidP="00CC2196">
            <w:pPr>
              <w:pStyle w:val="ListParagraph"/>
              <w:numPr>
                <w:ilvl w:val="0"/>
                <w:numId w:val="11"/>
              </w:numPr>
              <w:ind w:left="158" w:hanging="187"/>
            </w:pPr>
            <w:r>
              <w:t>update obsolete terminology, where appropriate</w:t>
            </w:r>
          </w:p>
          <w:p w14:paraId="5008E97E" w14:textId="77777777" w:rsidR="003E2CA2" w:rsidRDefault="003E2CA2" w:rsidP="00CC2196">
            <w:pPr>
              <w:pStyle w:val="ListParagraph"/>
              <w:numPr>
                <w:ilvl w:val="0"/>
                <w:numId w:val="11"/>
              </w:numPr>
              <w:ind w:left="158" w:hanging="187"/>
            </w:pPr>
            <w:r>
              <w:t>reassign alphabetical designations to individual blocks</w:t>
            </w:r>
            <w:r w:rsidR="00B0548B">
              <w:t xml:space="preserve"> and repaginate</w:t>
            </w:r>
            <w:r>
              <w:t>, where necessary, to account for new and/or deleted blocks within a topic</w:t>
            </w:r>
          </w:p>
          <w:p w14:paraId="54C70B7F" w14:textId="68C1D1EE" w:rsidR="00871B5B" w:rsidRDefault="00871B5B" w:rsidP="00CC2196">
            <w:pPr>
              <w:pStyle w:val="ListParagraph"/>
              <w:numPr>
                <w:ilvl w:val="0"/>
                <w:numId w:val="11"/>
              </w:numPr>
              <w:ind w:left="158" w:hanging="187"/>
            </w:pPr>
            <w:r>
              <w:t>to re-number topics to account for new topics and begin the section with topic 1</w:t>
            </w:r>
          </w:p>
          <w:p w14:paraId="6D125CF9" w14:textId="77777777" w:rsidR="00504F80" w:rsidRDefault="00504F80" w:rsidP="00CC2196">
            <w:pPr>
              <w:pStyle w:val="ListParagraph"/>
              <w:numPr>
                <w:ilvl w:val="0"/>
                <w:numId w:val="11"/>
              </w:numPr>
              <w:ind w:left="158" w:hanging="187"/>
            </w:pPr>
            <w:r>
              <w:t xml:space="preserve">clarify </w:t>
            </w:r>
            <w:r w:rsidR="002041BE">
              <w:t>b</w:t>
            </w:r>
            <w:r w:rsidR="00D61497">
              <w:t xml:space="preserve">lock labels and/or </w:t>
            </w:r>
            <w:r w:rsidR="002041BE">
              <w:t>b</w:t>
            </w:r>
            <w:r>
              <w:t xml:space="preserve">lock text, and </w:t>
            </w:r>
          </w:p>
          <w:p w14:paraId="7485AAC0" w14:textId="5D8AF237" w:rsidR="00504F80" w:rsidRPr="00EA3A57" w:rsidRDefault="00504F80" w:rsidP="00CC2196">
            <w:pPr>
              <w:pStyle w:val="ListParagraph"/>
              <w:numPr>
                <w:ilvl w:val="0"/>
                <w:numId w:val="11"/>
              </w:numPr>
              <w:ind w:left="158" w:hanging="187"/>
            </w:pPr>
            <w:proofErr w:type="gramStart"/>
            <w:r>
              <w:t>bring</w:t>
            </w:r>
            <w:proofErr w:type="gramEnd"/>
            <w:r>
              <w:t xml:space="preserve"> the documents into conformance with M21-1 standards.</w:t>
            </w:r>
          </w:p>
        </w:tc>
      </w:tr>
    </w:tbl>
    <w:p w14:paraId="2C3342DB" w14:textId="77777777" w:rsidR="00C24D50" w:rsidRDefault="00C24D50" w:rsidP="00C24D50"/>
    <w:tbl>
      <w:tblPr>
        <w:tblW w:w="9324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26"/>
        <w:gridCol w:w="2698"/>
      </w:tblGrid>
      <w:tr w:rsidR="00C16F35" w14:paraId="11BE76CC" w14:textId="77777777" w:rsidTr="005C485E">
        <w:trPr>
          <w:trHeight w:val="180"/>
        </w:trPr>
        <w:tc>
          <w:tcPr>
            <w:tcW w:w="3553" w:type="pct"/>
            <w:shd w:val="clear" w:color="auto" w:fill="auto"/>
          </w:tcPr>
          <w:p w14:paraId="4598A579" w14:textId="77777777" w:rsidR="00C16F35" w:rsidRPr="00C24D50" w:rsidRDefault="00C16F35" w:rsidP="002F7397">
            <w:pPr>
              <w:pStyle w:val="TableHeaderText"/>
            </w:pPr>
            <w:r w:rsidRPr="00C24D50">
              <w:t>Reason(s) for the Change</w:t>
            </w:r>
          </w:p>
        </w:tc>
        <w:tc>
          <w:tcPr>
            <w:tcW w:w="1447" w:type="pct"/>
            <w:shd w:val="clear" w:color="auto" w:fill="auto"/>
          </w:tcPr>
          <w:p w14:paraId="0C10EB9A" w14:textId="77777777" w:rsidR="00C16F35" w:rsidRPr="00C24D50" w:rsidRDefault="00C16F35" w:rsidP="002F7397">
            <w:pPr>
              <w:pStyle w:val="TableHeaderText"/>
            </w:pPr>
            <w:r w:rsidRPr="00C24D50">
              <w:t>Citation</w:t>
            </w:r>
          </w:p>
        </w:tc>
      </w:tr>
      <w:tr w:rsidR="00C16F35" w14:paraId="1B119391" w14:textId="77777777" w:rsidTr="005C485E">
        <w:trPr>
          <w:trHeight w:val="180"/>
        </w:trPr>
        <w:tc>
          <w:tcPr>
            <w:tcW w:w="3553" w:type="pct"/>
            <w:shd w:val="clear" w:color="auto" w:fill="auto"/>
          </w:tcPr>
          <w:p w14:paraId="08ABB88C" w14:textId="72EDA5F6" w:rsidR="00C16F35" w:rsidRDefault="007D72EF" w:rsidP="00786B6A">
            <w:pPr>
              <w:pStyle w:val="TableText"/>
            </w:pPr>
            <w:r>
              <w:t>To provide</w:t>
            </w:r>
            <w:r w:rsidR="00C16F35">
              <w:t xml:space="preserve"> guidance that compensation for paired organs under 38 U.S.C. 1160 may be awarded if compensation is paid for a disabil</w:t>
            </w:r>
            <w:r>
              <w:t xml:space="preserve">ity </w:t>
            </w:r>
            <w:r w:rsidR="00C16F35">
              <w:t xml:space="preserve">under the authority of 38 U.S.C. 1151 and there is a </w:t>
            </w:r>
            <w:r w:rsidR="005C485E" w:rsidRPr="009B7C75">
              <w:t>non-service-connected (</w:t>
            </w:r>
            <w:r w:rsidR="00C16F35">
              <w:t>NSC</w:t>
            </w:r>
            <w:r w:rsidR="005C485E" w:rsidRPr="009B7C75">
              <w:t>)</w:t>
            </w:r>
            <w:r w:rsidR="00C16F35">
              <w:t xml:space="preserve"> manifestation of the disability under 38 U.S.C. 1160.  </w:t>
            </w:r>
          </w:p>
        </w:tc>
        <w:tc>
          <w:tcPr>
            <w:tcW w:w="1447" w:type="pct"/>
            <w:shd w:val="clear" w:color="auto" w:fill="auto"/>
          </w:tcPr>
          <w:p w14:paraId="3ED37A92" w14:textId="19C7F6A8" w:rsidR="00C16F35" w:rsidRDefault="005C485E" w:rsidP="00DD4FA6">
            <w:pPr>
              <w:pStyle w:val="TableText"/>
            </w:pPr>
            <w:r w:rsidRPr="009B7C75">
              <w:t>M21-1,</w:t>
            </w:r>
            <w:r>
              <w:t xml:space="preserve"> </w:t>
            </w:r>
            <w:r w:rsidR="00C16F35">
              <w:t>Part IV, Subpart ii, Chapter 2, Section K, Topic 1, Block b</w:t>
            </w:r>
            <w:r w:rsidR="00DD4FA6">
              <w:t xml:space="preserve"> (IV.ii.2.K.1.b)</w:t>
            </w:r>
          </w:p>
        </w:tc>
      </w:tr>
      <w:tr w:rsidR="00577F75" w14:paraId="02F61768" w14:textId="77777777" w:rsidTr="005C485E">
        <w:trPr>
          <w:trHeight w:val="180"/>
        </w:trPr>
        <w:tc>
          <w:tcPr>
            <w:tcW w:w="3553" w:type="pct"/>
            <w:shd w:val="clear" w:color="auto" w:fill="auto"/>
          </w:tcPr>
          <w:p w14:paraId="257D8E74" w14:textId="0AFFAD9B" w:rsidR="00577F75" w:rsidRDefault="00577F75" w:rsidP="00786B6A">
            <w:pPr>
              <w:pStyle w:val="TableText"/>
            </w:pPr>
            <w:r>
              <w:t xml:space="preserve">To add </w:t>
            </w:r>
            <w:r w:rsidR="00CC2196">
              <w:t xml:space="preserve">a </w:t>
            </w:r>
            <w:r w:rsidR="007D72EF" w:rsidRPr="009B7C75">
              <w:t>new B</w:t>
            </w:r>
            <w:r w:rsidR="00CC2196" w:rsidRPr="009B7C75">
              <w:t>lock</w:t>
            </w:r>
            <w:r w:rsidR="007D72EF" w:rsidRPr="009B7C75">
              <w:t xml:space="preserve"> d</w:t>
            </w:r>
            <w:r w:rsidR="00CC2196" w:rsidRPr="009B7C75">
              <w:t xml:space="preserve"> with</w:t>
            </w:r>
            <w:r w:rsidR="00CC2196">
              <w:t xml:space="preserve"> </w:t>
            </w:r>
            <w:r>
              <w:t xml:space="preserve">guidance </w:t>
            </w:r>
            <w:r w:rsidR="00F03718">
              <w:t>that cla</w:t>
            </w:r>
            <w:r w:rsidR="007D72EF">
              <w:t xml:space="preserve">rifies what other benefits </w:t>
            </w:r>
            <w:r w:rsidR="00F03718">
              <w:t>a Veteran is eligible for and</w:t>
            </w:r>
            <w:r w:rsidR="007D72EF">
              <w:t xml:space="preserve"> what benefits a Veteran</w:t>
            </w:r>
            <w:r w:rsidR="00F03718">
              <w:t xml:space="preserve"> is not eligible for based on entitlement to disability compensation </w:t>
            </w:r>
            <w:proofErr w:type="gramStart"/>
            <w:r w:rsidR="00F03718">
              <w:t>under</w:t>
            </w:r>
            <w:proofErr w:type="gramEnd"/>
            <w:r w:rsidR="00F03718">
              <w:t xml:space="preserve"> 38 U.S.C. 1160.  </w:t>
            </w:r>
          </w:p>
        </w:tc>
        <w:tc>
          <w:tcPr>
            <w:tcW w:w="1447" w:type="pct"/>
            <w:shd w:val="clear" w:color="auto" w:fill="auto"/>
          </w:tcPr>
          <w:p w14:paraId="5CCEC205" w14:textId="36C3FDE5" w:rsidR="00577F75" w:rsidRDefault="00F03718" w:rsidP="00DD4FA6">
            <w:pPr>
              <w:pStyle w:val="TableText"/>
            </w:pPr>
            <w:r>
              <w:t>IV.ii.2.K.1.d</w:t>
            </w:r>
          </w:p>
        </w:tc>
      </w:tr>
      <w:tr w:rsidR="007D72EF" w14:paraId="4097AD62" w14:textId="77777777" w:rsidTr="005C485E">
        <w:trPr>
          <w:trHeight w:val="180"/>
        </w:trPr>
        <w:tc>
          <w:tcPr>
            <w:tcW w:w="3553" w:type="pct"/>
            <w:shd w:val="clear" w:color="auto" w:fill="auto"/>
          </w:tcPr>
          <w:p w14:paraId="2011447B" w14:textId="6B688DF9" w:rsidR="007D72EF" w:rsidRDefault="007D72EF" w:rsidP="005C485E">
            <w:pPr>
              <w:pStyle w:val="TableText"/>
            </w:pPr>
            <w:r>
              <w:t>To provide clarifying information on willful misconduct as due to intoxication.</w:t>
            </w:r>
          </w:p>
        </w:tc>
        <w:tc>
          <w:tcPr>
            <w:tcW w:w="1447" w:type="pct"/>
            <w:shd w:val="clear" w:color="auto" w:fill="auto"/>
          </w:tcPr>
          <w:p w14:paraId="517CECDD" w14:textId="4C0B5FD7" w:rsidR="007D72EF" w:rsidRDefault="007D72EF" w:rsidP="002F7397">
            <w:pPr>
              <w:pStyle w:val="TableText"/>
            </w:pPr>
            <w:r>
              <w:t>IV.ii.2.K.2.a</w:t>
            </w:r>
          </w:p>
        </w:tc>
      </w:tr>
      <w:tr w:rsidR="007D72EF" w14:paraId="7F3192F2" w14:textId="77777777" w:rsidTr="005C485E">
        <w:trPr>
          <w:trHeight w:val="180"/>
        </w:trPr>
        <w:tc>
          <w:tcPr>
            <w:tcW w:w="3553" w:type="pct"/>
            <w:shd w:val="clear" w:color="auto" w:fill="auto"/>
          </w:tcPr>
          <w:p w14:paraId="0C54F158" w14:textId="2E2F8464" w:rsidR="007D72EF" w:rsidRDefault="007D72EF" w:rsidP="005C485E">
            <w:pPr>
              <w:pStyle w:val="TableText"/>
            </w:pPr>
            <w:r>
              <w:t>To add a new Block c providing a definition of alcohol abuse with reference.</w:t>
            </w:r>
          </w:p>
        </w:tc>
        <w:tc>
          <w:tcPr>
            <w:tcW w:w="1447" w:type="pct"/>
            <w:shd w:val="clear" w:color="auto" w:fill="auto"/>
          </w:tcPr>
          <w:p w14:paraId="31BB72D8" w14:textId="2BDF3CE2" w:rsidR="007D72EF" w:rsidRDefault="007D72EF" w:rsidP="002F7397">
            <w:pPr>
              <w:pStyle w:val="TableText"/>
            </w:pPr>
            <w:r>
              <w:t>IV.ii.2.K.2.c</w:t>
            </w:r>
          </w:p>
        </w:tc>
      </w:tr>
      <w:tr w:rsidR="00F03718" w14:paraId="61128049" w14:textId="77777777" w:rsidTr="005C485E">
        <w:trPr>
          <w:trHeight w:val="180"/>
        </w:trPr>
        <w:tc>
          <w:tcPr>
            <w:tcW w:w="3553" w:type="pct"/>
            <w:shd w:val="clear" w:color="auto" w:fill="auto"/>
          </w:tcPr>
          <w:p w14:paraId="6FF6C572" w14:textId="689F1B89" w:rsidR="007D72EF" w:rsidRDefault="00F03718" w:rsidP="0022714C">
            <w:pPr>
              <w:pStyle w:val="ListParagraph"/>
              <w:numPr>
                <w:ilvl w:val="0"/>
                <w:numId w:val="13"/>
              </w:numPr>
              <w:ind w:left="158" w:hanging="187"/>
            </w:pPr>
            <w:r>
              <w:t xml:space="preserve">To incorporate the holding of </w:t>
            </w:r>
            <w:r w:rsidRPr="0022714C">
              <w:rPr>
                <w:i/>
              </w:rPr>
              <w:t>Allen v. Principi</w:t>
            </w:r>
            <w:r>
              <w:t xml:space="preserve"> that compensation is precluded for primary alcohol abuse disabilities that arise during service and for secondary disabilities that result from primary alcohol abuse.</w:t>
            </w:r>
          </w:p>
          <w:p w14:paraId="3BCDFE3C" w14:textId="77777777" w:rsidR="0022714C" w:rsidRDefault="007D72EF" w:rsidP="0022714C">
            <w:pPr>
              <w:pStyle w:val="ListParagraph"/>
              <w:numPr>
                <w:ilvl w:val="0"/>
                <w:numId w:val="14"/>
              </w:numPr>
              <w:ind w:left="158" w:hanging="187"/>
            </w:pPr>
            <w:r>
              <w:t xml:space="preserve">To incorporate the holding of </w:t>
            </w:r>
            <w:r w:rsidRPr="0022714C">
              <w:rPr>
                <w:i/>
              </w:rPr>
              <w:t xml:space="preserve">Allen v. </w:t>
            </w:r>
            <w:proofErr w:type="spellStart"/>
            <w:r w:rsidRPr="0022714C">
              <w:rPr>
                <w:i/>
              </w:rPr>
              <w:t>Principi</w:t>
            </w:r>
            <w:proofErr w:type="spellEnd"/>
            <w:r>
              <w:t xml:space="preserve"> that an alcohol or drug abuse disability that is secondary to, or is a symptom of a service-connected (SC) disability </w:t>
            </w:r>
            <w:r w:rsidR="0022714C">
              <w:t>and where alcohol or drug abuse is not due to willful misconduct may be granted on a secondary basis.</w:t>
            </w:r>
          </w:p>
          <w:p w14:paraId="6063B178" w14:textId="23326F86" w:rsidR="00F03718" w:rsidRDefault="0022714C" w:rsidP="0022714C">
            <w:pPr>
              <w:pStyle w:val="ListParagraph"/>
              <w:numPr>
                <w:ilvl w:val="0"/>
                <w:numId w:val="15"/>
              </w:numPr>
              <w:ind w:left="158" w:hanging="187"/>
            </w:pPr>
            <w:r>
              <w:t xml:space="preserve">To add definition of primary as it pertains to primary alcohol abuse disabilities as defined by the Federal Circuit in </w:t>
            </w:r>
            <w:r w:rsidRPr="0022714C">
              <w:rPr>
                <w:i/>
              </w:rPr>
              <w:t xml:space="preserve">Allen v. </w:t>
            </w:r>
            <w:proofErr w:type="spellStart"/>
            <w:r w:rsidRPr="0022714C">
              <w:rPr>
                <w:i/>
              </w:rPr>
              <w:lastRenderedPageBreak/>
              <w:t>Principi</w:t>
            </w:r>
            <w:proofErr w:type="spellEnd"/>
            <w:r>
              <w:t>.</w:t>
            </w:r>
            <w:r w:rsidR="00F03718">
              <w:t xml:space="preserve">  </w:t>
            </w:r>
          </w:p>
        </w:tc>
        <w:tc>
          <w:tcPr>
            <w:tcW w:w="1447" w:type="pct"/>
            <w:shd w:val="clear" w:color="auto" w:fill="auto"/>
          </w:tcPr>
          <w:p w14:paraId="6B9C2A5F" w14:textId="0966A588" w:rsidR="00F03718" w:rsidRDefault="00F03718" w:rsidP="002F7397">
            <w:pPr>
              <w:pStyle w:val="TableText"/>
            </w:pPr>
            <w:r>
              <w:lastRenderedPageBreak/>
              <w:t>IV.ii.2.K.2.h</w:t>
            </w:r>
          </w:p>
        </w:tc>
      </w:tr>
      <w:tr w:rsidR="00703A59" w14:paraId="3DE676FF" w14:textId="77777777" w:rsidTr="005C485E">
        <w:trPr>
          <w:trHeight w:val="180"/>
        </w:trPr>
        <w:tc>
          <w:tcPr>
            <w:tcW w:w="3553" w:type="pct"/>
            <w:shd w:val="clear" w:color="auto" w:fill="auto"/>
          </w:tcPr>
          <w:p w14:paraId="73478C1B" w14:textId="09BB5055" w:rsidR="00703A59" w:rsidRDefault="00703A59" w:rsidP="0022714C">
            <w:pPr>
              <w:pStyle w:val="TableText"/>
            </w:pPr>
            <w:r>
              <w:lastRenderedPageBreak/>
              <w:t>To incorporate the language of 38 CFR 3.301 concer</w:t>
            </w:r>
            <w:r w:rsidR="0022714C">
              <w:t>ning types of drug use that are not considered willful misconduct.</w:t>
            </w:r>
          </w:p>
        </w:tc>
        <w:tc>
          <w:tcPr>
            <w:tcW w:w="1447" w:type="pct"/>
            <w:shd w:val="clear" w:color="auto" w:fill="auto"/>
          </w:tcPr>
          <w:p w14:paraId="1AD6CF96" w14:textId="60DAB117" w:rsidR="00703A59" w:rsidRDefault="00703A59" w:rsidP="002F7397">
            <w:pPr>
              <w:pStyle w:val="TableText"/>
            </w:pPr>
            <w:r>
              <w:t>IV.ii.2.K.3.a</w:t>
            </w:r>
          </w:p>
        </w:tc>
      </w:tr>
      <w:tr w:rsidR="00703A59" w14:paraId="4E67904E" w14:textId="77777777" w:rsidTr="005C485E">
        <w:trPr>
          <w:trHeight w:val="180"/>
        </w:trPr>
        <w:tc>
          <w:tcPr>
            <w:tcW w:w="3553" w:type="pct"/>
            <w:shd w:val="clear" w:color="auto" w:fill="auto"/>
          </w:tcPr>
          <w:p w14:paraId="76A6E8F4" w14:textId="3EEB4DF8" w:rsidR="00703A59" w:rsidRDefault="00703A59" w:rsidP="00703A59">
            <w:pPr>
              <w:pStyle w:val="TableText"/>
            </w:pPr>
            <w:r>
              <w:t>To</w:t>
            </w:r>
            <w:r w:rsidR="0022714C">
              <w:t xml:space="preserve"> add a new Block b with </w:t>
            </w:r>
            <w:r>
              <w:t>the definition of drug abuse in 38 CFR 3.301.</w:t>
            </w:r>
          </w:p>
        </w:tc>
        <w:tc>
          <w:tcPr>
            <w:tcW w:w="1447" w:type="pct"/>
            <w:shd w:val="clear" w:color="auto" w:fill="auto"/>
          </w:tcPr>
          <w:p w14:paraId="7C43C19D" w14:textId="7617EC4E" w:rsidR="00703A59" w:rsidRDefault="00703A59" w:rsidP="002F7397">
            <w:pPr>
              <w:pStyle w:val="TableText"/>
            </w:pPr>
            <w:r>
              <w:t>IV.ii.2.K.3.b</w:t>
            </w:r>
          </w:p>
        </w:tc>
      </w:tr>
      <w:tr w:rsidR="00703A59" w14:paraId="26BDE6B0" w14:textId="77777777" w:rsidTr="005C485E">
        <w:trPr>
          <w:trHeight w:val="180"/>
        </w:trPr>
        <w:tc>
          <w:tcPr>
            <w:tcW w:w="3553" w:type="pct"/>
            <w:shd w:val="clear" w:color="auto" w:fill="auto"/>
          </w:tcPr>
          <w:p w14:paraId="51B71990" w14:textId="12426845" w:rsidR="00CC2196" w:rsidRPr="009B7C75" w:rsidRDefault="00CC2196" w:rsidP="00CC2196">
            <w:pPr>
              <w:pStyle w:val="ListParagraph"/>
              <w:numPr>
                <w:ilvl w:val="0"/>
                <w:numId w:val="12"/>
              </w:numPr>
              <w:ind w:left="158" w:hanging="187"/>
            </w:pPr>
            <w:r w:rsidRPr="009B7C75">
              <w:t xml:space="preserve">To move content on drug use for therapeutic purposes to IV.ii.2.K.3.a as a new bullet. </w:t>
            </w:r>
          </w:p>
          <w:p w14:paraId="431B507B" w14:textId="2914C609" w:rsidR="00703A59" w:rsidRDefault="00703A59" w:rsidP="00CC2196">
            <w:pPr>
              <w:pStyle w:val="ListParagraph"/>
              <w:numPr>
                <w:ilvl w:val="0"/>
                <w:numId w:val="12"/>
              </w:numPr>
              <w:ind w:left="158" w:hanging="187"/>
            </w:pPr>
            <w:r>
              <w:t xml:space="preserve">To incorporate the holding of </w:t>
            </w:r>
            <w:r w:rsidRPr="00CC2196">
              <w:rPr>
                <w:i/>
              </w:rPr>
              <w:t>Allen v. Principi</w:t>
            </w:r>
            <w:r>
              <w:t xml:space="preserve"> that service connection may be awarded for alcohol or drug abuse i</w:t>
            </w:r>
            <w:r w:rsidR="0022714C">
              <w:t>f secondary to, or a symptom, of</w:t>
            </w:r>
            <w:r>
              <w:t xml:space="preserve"> a service-connected disability.  </w:t>
            </w:r>
          </w:p>
        </w:tc>
        <w:tc>
          <w:tcPr>
            <w:tcW w:w="1447" w:type="pct"/>
            <w:shd w:val="clear" w:color="auto" w:fill="auto"/>
          </w:tcPr>
          <w:p w14:paraId="09EB663D" w14:textId="0ACF72A0" w:rsidR="00703A59" w:rsidRDefault="00703A59" w:rsidP="002F7397">
            <w:pPr>
              <w:pStyle w:val="TableText"/>
            </w:pPr>
            <w:r>
              <w:t>IV.ii.2.K.3.d</w:t>
            </w:r>
          </w:p>
        </w:tc>
      </w:tr>
      <w:tr w:rsidR="00DF7EBE" w14:paraId="3925874B" w14:textId="77777777" w:rsidTr="005C485E">
        <w:trPr>
          <w:trHeight w:val="180"/>
        </w:trPr>
        <w:tc>
          <w:tcPr>
            <w:tcW w:w="3553" w:type="pct"/>
            <w:shd w:val="clear" w:color="auto" w:fill="auto"/>
          </w:tcPr>
          <w:p w14:paraId="6F8DBF49" w14:textId="049C06B2" w:rsidR="00DF7EBE" w:rsidRDefault="00DF7EBE" w:rsidP="005C485E">
            <w:pPr>
              <w:pStyle w:val="TableText"/>
            </w:pPr>
            <w:r>
              <w:t>To add a new topic incorporating Training Letter (TL) 07-04 regarding</w:t>
            </w:r>
            <w:r w:rsidR="0022714C">
              <w:t xml:space="preserve"> diving-related disabilities</w:t>
            </w:r>
            <w:r w:rsidR="009B7C75">
              <w:t xml:space="preserve">. </w:t>
            </w:r>
          </w:p>
        </w:tc>
        <w:tc>
          <w:tcPr>
            <w:tcW w:w="1447" w:type="pct"/>
            <w:shd w:val="clear" w:color="auto" w:fill="auto"/>
          </w:tcPr>
          <w:p w14:paraId="2BF034C7" w14:textId="26B5F140" w:rsidR="00DF7EBE" w:rsidRDefault="00DF7EBE" w:rsidP="00DF7EBE">
            <w:pPr>
              <w:pStyle w:val="TableText"/>
            </w:pPr>
            <w:r>
              <w:t>IV.ii.2.K.5</w:t>
            </w:r>
          </w:p>
        </w:tc>
      </w:tr>
      <w:tr w:rsidR="00DF7EBE" w14:paraId="1E07F570" w14:textId="77777777" w:rsidTr="005C485E">
        <w:trPr>
          <w:trHeight w:val="180"/>
        </w:trPr>
        <w:tc>
          <w:tcPr>
            <w:tcW w:w="3553" w:type="pct"/>
            <w:shd w:val="clear" w:color="auto" w:fill="auto"/>
          </w:tcPr>
          <w:p w14:paraId="178AC311" w14:textId="70B97FE7" w:rsidR="00DF7EBE" w:rsidRDefault="00DF7EBE" w:rsidP="005C485E">
            <w:pPr>
              <w:pStyle w:val="TableText"/>
            </w:pPr>
            <w:r>
              <w:t>To add</w:t>
            </w:r>
            <w:r w:rsidR="009B7C75">
              <w:t xml:space="preserve"> a new Block </w:t>
            </w:r>
            <w:proofErr w:type="gramStart"/>
            <w:r w:rsidR="009B7C75">
              <w:t>a with</w:t>
            </w:r>
            <w:proofErr w:type="gramEnd"/>
            <w:r>
              <w:t xml:space="preserve"> guidance describing diving techniques and associated risks</w:t>
            </w:r>
            <w:r w:rsidR="00CC2196">
              <w:t>.</w:t>
            </w:r>
          </w:p>
        </w:tc>
        <w:tc>
          <w:tcPr>
            <w:tcW w:w="1447" w:type="pct"/>
            <w:shd w:val="clear" w:color="auto" w:fill="auto"/>
          </w:tcPr>
          <w:p w14:paraId="416A172D" w14:textId="325F863B" w:rsidR="00DF7EBE" w:rsidRDefault="00DF7EBE" w:rsidP="00DF7EBE">
            <w:pPr>
              <w:pStyle w:val="TableText"/>
            </w:pPr>
            <w:r>
              <w:t>IV.ii.2.K.5.a</w:t>
            </w:r>
          </w:p>
        </w:tc>
      </w:tr>
      <w:tr w:rsidR="00B70882" w14:paraId="6A789EBA" w14:textId="77777777" w:rsidTr="005C485E">
        <w:trPr>
          <w:trHeight w:val="180"/>
        </w:trPr>
        <w:tc>
          <w:tcPr>
            <w:tcW w:w="3553" w:type="pct"/>
            <w:shd w:val="clear" w:color="auto" w:fill="auto"/>
          </w:tcPr>
          <w:p w14:paraId="40C7C7BD" w14:textId="0D039E83" w:rsidR="00B70882" w:rsidRDefault="00B70882" w:rsidP="005C485E">
            <w:pPr>
              <w:pStyle w:val="TableText"/>
            </w:pPr>
            <w:r>
              <w:t>To add</w:t>
            </w:r>
            <w:r w:rsidR="009B7C75">
              <w:t xml:space="preserve"> a new Block b with</w:t>
            </w:r>
            <w:r>
              <w:t xml:space="preserve"> guidance describing decompression sickness and arterial gas emboli with potential chronic disabilities.  </w:t>
            </w:r>
          </w:p>
        </w:tc>
        <w:tc>
          <w:tcPr>
            <w:tcW w:w="1447" w:type="pct"/>
            <w:shd w:val="clear" w:color="auto" w:fill="auto"/>
          </w:tcPr>
          <w:p w14:paraId="4B467EBB" w14:textId="306E3AC2" w:rsidR="00B70882" w:rsidRDefault="00B70882" w:rsidP="00DF7EBE">
            <w:pPr>
              <w:pStyle w:val="TableText"/>
            </w:pPr>
            <w:r>
              <w:t>IV.ii.2.K.5.b</w:t>
            </w:r>
          </w:p>
        </w:tc>
      </w:tr>
      <w:tr w:rsidR="00B70882" w14:paraId="202F8C79" w14:textId="77777777" w:rsidTr="005C485E">
        <w:trPr>
          <w:trHeight w:val="180"/>
        </w:trPr>
        <w:tc>
          <w:tcPr>
            <w:tcW w:w="3553" w:type="pct"/>
            <w:shd w:val="clear" w:color="auto" w:fill="auto"/>
          </w:tcPr>
          <w:p w14:paraId="5983B4F3" w14:textId="5EE4BF43" w:rsidR="00B70882" w:rsidRDefault="00B70882" w:rsidP="005C485E">
            <w:pPr>
              <w:pStyle w:val="TableText"/>
            </w:pPr>
            <w:r>
              <w:t>To</w:t>
            </w:r>
            <w:r w:rsidR="009B7C75">
              <w:t xml:space="preserve"> add a new Block c to</w:t>
            </w:r>
            <w:r>
              <w:t xml:space="preserve"> incorporate a table describing the toxic effects of gases in diving.</w:t>
            </w:r>
          </w:p>
        </w:tc>
        <w:tc>
          <w:tcPr>
            <w:tcW w:w="1447" w:type="pct"/>
            <w:shd w:val="clear" w:color="auto" w:fill="auto"/>
          </w:tcPr>
          <w:p w14:paraId="2CC1C1AB" w14:textId="5EADC954" w:rsidR="00B70882" w:rsidRDefault="00B70882" w:rsidP="00DF7EBE">
            <w:pPr>
              <w:pStyle w:val="TableText"/>
            </w:pPr>
            <w:r>
              <w:t>IV.ii.2.K.5.c</w:t>
            </w:r>
          </w:p>
        </w:tc>
      </w:tr>
      <w:tr w:rsidR="00B70882" w14:paraId="01DAE85B" w14:textId="77777777" w:rsidTr="005C485E">
        <w:trPr>
          <w:trHeight w:val="180"/>
        </w:trPr>
        <w:tc>
          <w:tcPr>
            <w:tcW w:w="3553" w:type="pct"/>
            <w:shd w:val="clear" w:color="auto" w:fill="auto"/>
          </w:tcPr>
          <w:p w14:paraId="158EC7D9" w14:textId="088A459C" w:rsidR="00B70882" w:rsidRDefault="00B70882" w:rsidP="005C485E">
            <w:pPr>
              <w:pStyle w:val="TableText"/>
            </w:pPr>
            <w:r>
              <w:t>To</w:t>
            </w:r>
            <w:r w:rsidR="009B7C75">
              <w:t xml:space="preserve"> add a new Block d to</w:t>
            </w:r>
            <w:r>
              <w:t xml:space="preserve"> incorporate a table describing the potential long-term effects of diving.  </w:t>
            </w:r>
          </w:p>
        </w:tc>
        <w:tc>
          <w:tcPr>
            <w:tcW w:w="1447" w:type="pct"/>
            <w:shd w:val="clear" w:color="auto" w:fill="auto"/>
          </w:tcPr>
          <w:p w14:paraId="219590A6" w14:textId="46109970" w:rsidR="00B70882" w:rsidRDefault="00B70882" w:rsidP="00DF7EBE">
            <w:pPr>
              <w:pStyle w:val="TableText"/>
            </w:pPr>
            <w:r>
              <w:t>IV.ii.2.K.5.d</w:t>
            </w:r>
          </w:p>
        </w:tc>
      </w:tr>
      <w:tr w:rsidR="00B70882" w14:paraId="4ECE0F7A" w14:textId="77777777" w:rsidTr="005C485E">
        <w:trPr>
          <w:trHeight w:val="180"/>
        </w:trPr>
        <w:tc>
          <w:tcPr>
            <w:tcW w:w="3553" w:type="pct"/>
            <w:shd w:val="clear" w:color="auto" w:fill="auto"/>
          </w:tcPr>
          <w:p w14:paraId="6D06A2E3" w14:textId="3B9D2419" w:rsidR="00B70882" w:rsidRDefault="00B70882" w:rsidP="005C485E">
            <w:pPr>
              <w:pStyle w:val="TableText"/>
            </w:pPr>
            <w:r>
              <w:t>To add</w:t>
            </w:r>
            <w:r w:rsidR="009B7C75">
              <w:t xml:space="preserve"> a new Block e with</w:t>
            </w:r>
            <w:r>
              <w:t xml:space="preserve"> guidance concerning rating of disabilities related to diving injuries.  </w:t>
            </w:r>
          </w:p>
        </w:tc>
        <w:tc>
          <w:tcPr>
            <w:tcW w:w="1447" w:type="pct"/>
            <w:shd w:val="clear" w:color="auto" w:fill="auto"/>
          </w:tcPr>
          <w:p w14:paraId="32A3BE73" w14:textId="5234A305" w:rsidR="00B70882" w:rsidRDefault="00B70882" w:rsidP="00DF7EBE">
            <w:pPr>
              <w:pStyle w:val="TableText"/>
            </w:pPr>
            <w:r>
              <w:t>IV.ii.2.K.5.e</w:t>
            </w:r>
          </w:p>
        </w:tc>
      </w:tr>
      <w:tr w:rsidR="00940CFC" w14:paraId="334FE3D5" w14:textId="77777777" w:rsidTr="005C485E">
        <w:trPr>
          <w:trHeight w:val="180"/>
        </w:trPr>
        <w:tc>
          <w:tcPr>
            <w:tcW w:w="3553" w:type="pct"/>
            <w:shd w:val="clear" w:color="auto" w:fill="auto"/>
          </w:tcPr>
          <w:p w14:paraId="5610D408" w14:textId="167EB64A" w:rsidR="00940CFC" w:rsidRDefault="00940CFC" w:rsidP="005C485E">
            <w:pPr>
              <w:pStyle w:val="TableText"/>
            </w:pPr>
            <w:r>
              <w:t>To add</w:t>
            </w:r>
            <w:r w:rsidR="009B7C75">
              <w:t xml:space="preserve"> a new Block f with</w:t>
            </w:r>
            <w:r>
              <w:t xml:space="preserve"> guidance on when to obtain medical opinions in rating claims for disabilities based on diving injuries.  </w:t>
            </w:r>
          </w:p>
        </w:tc>
        <w:tc>
          <w:tcPr>
            <w:tcW w:w="1447" w:type="pct"/>
            <w:shd w:val="clear" w:color="auto" w:fill="auto"/>
          </w:tcPr>
          <w:p w14:paraId="5EA321AD" w14:textId="1AE43122" w:rsidR="00940CFC" w:rsidRDefault="00940CFC" w:rsidP="00DF7EBE">
            <w:pPr>
              <w:pStyle w:val="TableText"/>
            </w:pPr>
            <w:r>
              <w:t>IV.ii.2.K.5.f</w:t>
            </w:r>
          </w:p>
        </w:tc>
      </w:tr>
      <w:tr w:rsidR="00C16F35" w14:paraId="63C9D41F" w14:textId="77777777" w:rsidTr="005C485E">
        <w:trPr>
          <w:trHeight w:val="180"/>
        </w:trPr>
        <w:tc>
          <w:tcPr>
            <w:tcW w:w="3553" w:type="pct"/>
            <w:shd w:val="clear" w:color="auto" w:fill="auto"/>
          </w:tcPr>
          <w:p w14:paraId="65694C98" w14:textId="655B9891" w:rsidR="00C16F35" w:rsidRPr="00C24D50" w:rsidRDefault="00C16F35" w:rsidP="009B7C75">
            <w:pPr>
              <w:pStyle w:val="TableText"/>
            </w:pPr>
            <w:r>
              <w:t xml:space="preserve">To add </w:t>
            </w:r>
            <w:r w:rsidR="005C485E" w:rsidRPr="009B7C75">
              <w:t>a new topic</w:t>
            </w:r>
            <w:r w:rsidR="005C485E">
              <w:t xml:space="preserve"> </w:t>
            </w:r>
            <w:r>
              <w:t xml:space="preserve">that explains </w:t>
            </w:r>
            <w:r w:rsidR="009B7C75">
              <w:t>revision of the rating schedule, regulation, or statute while claim is pending.</w:t>
            </w:r>
          </w:p>
        </w:tc>
        <w:tc>
          <w:tcPr>
            <w:tcW w:w="1447" w:type="pct"/>
            <w:shd w:val="clear" w:color="auto" w:fill="auto"/>
          </w:tcPr>
          <w:p w14:paraId="13AC42E8" w14:textId="449511ED" w:rsidR="00C16F35" w:rsidRPr="00C24D50" w:rsidRDefault="00C16F35" w:rsidP="00DF7EBE">
            <w:pPr>
              <w:pStyle w:val="TableText"/>
            </w:pPr>
            <w:r>
              <w:t>IV.ii.2.K.</w:t>
            </w:r>
            <w:r w:rsidR="00DF7EBE">
              <w:t>6</w:t>
            </w:r>
          </w:p>
        </w:tc>
      </w:tr>
      <w:tr w:rsidR="00DD4FA6" w14:paraId="037EDB9B" w14:textId="77777777" w:rsidTr="00C16F35">
        <w:trPr>
          <w:trHeight w:val="180"/>
        </w:trPr>
        <w:tc>
          <w:tcPr>
            <w:tcW w:w="3553" w:type="pct"/>
            <w:shd w:val="clear" w:color="auto" w:fill="auto"/>
          </w:tcPr>
          <w:p w14:paraId="77217732" w14:textId="05F8E6BE" w:rsidR="00DD4FA6" w:rsidRDefault="00DD4FA6" w:rsidP="005C485E">
            <w:pPr>
              <w:pStyle w:val="TableText"/>
            </w:pPr>
            <w:r>
              <w:t>To</w:t>
            </w:r>
            <w:r w:rsidR="009B7C75">
              <w:t xml:space="preserve"> add a new Block a and</w:t>
            </w:r>
            <w:r>
              <w:t xml:space="preserve"> incorporate AO81 definitions of</w:t>
            </w:r>
            <w:r w:rsidR="001B3585">
              <w:t xml:space="preserve"> a</w:t>
            </w:r>
            <w:r>
              <w:t xml:space="preserve"> pending</w:t>
            </w:r>
            <w:r w:rsidR="001B3585">
              <w:t xml:space="preserve"> claim as a claim that has not been finally adjudicated</w:t>
            </w:r>
            <w:r>
              <w:t xml:space="preserve"> and </w:t>
            </w:r>
            <w:r w:rsidR="001B3585">
              <w:t xml:space="preserve">a </w:t>
            </w:r>
            <w:r>
              <w:t>final claim</w:t>
            </w:r>
            <w:r w:rsidR="001B3585">
              <w:t xml:space="preserve"> as a claim that VA adjudicates as allowed or disallowed followed by the earlier of expiration of the time frame to file a Notice of Disagreement or disposition of appellate review</w:t>
            </w:r>
            <w:r w:rsidR="005C485E">
              <w:t>.</w:t>
            </w:r>
          </w:p>
        </w:tc>
        <w:tc>
          <w:tcPr>
            <w:tcW w:w="1447" w:type="pct"/>
            <w:shd w:val="clear" w:color="auto" w:fill="auto"/>
          </w:tcPr>
          <w:p w14:paraId="59E6BA1D" w14:textId="25DD780F" w:rsidR="00DD4FA6" w:rsidRDefault="00DD4FA6" w:rsidP="002F7397">
            <w:pPr>
              <w:pStyle w:val="TableText"/>
            </w:pPr>
            <w:r>
              <w:t>IV.ii.2.K.</w:t>
            </w:r>
            <w:r w:rsidR="001B3585">
              <w:t>6</w:t>
            </w:r>
            <w:r>
              <w:t>.a</w:t>
            </w:r>
          </w:p>
        </w:tc>
      </w:tr>
      <w:tr w:rsidR="001B3585" w14:paraId="1246BADF" w14:textId="77777777" w:rsidTr="00C16F35">
        <w:trPr>
          <w:trHeight w:val="180"/>
        </w:trPr>
        <w:tc>
          <w:tcPr>
            <w:tcW w:w="3553" w:type="pct"/>
            <w:shd w:val="clear" w:color="auto" w:fill="auto"/>
          </w:tcPr>
          <w:p w14:paraId="6EEFEE3F" w14:textId="38B8C85D" w:rsidR="001B3585" w:rsidRDefault="001B3585" w:rsidP="005C485E">
            <w:pPr>
              <w:pStyle w:val="TableText"/>
            </w:pPr>
            <w:r>
              <w:t>To add</w:t>
            </w:r>
            <w:r w:rsidR="009B7C75">
              <w:t xml:space="preserve"> a new Block b with</w:t>
            </w:r>
            <w:r>
              <w:t xml:space="preserve"> guidance that the effective date of a favorable rating based on rating schedule change cannot be earlier than the date of the </w:t>
            </w:r>
            <w:r w:rsidR="009C5FEA">
              <w:t xml:space="preserve">rating schedule change. </w:t>
            </w:r>
          </w:p>
        </w:tc>
        <w:tc>
          <w:tcPr>
            <w:tcW w:w="1447" w:type="pct"/>
            <w:shd w:val="clear" w:color="auto" w:fill="auto"/>
          </w:tcPr>
          <w:p w14:paraId="0593CDB1" w14:textId="5B35DC2C" w:rsidR="001B3585" w:rsidRDefault="009C5FEA" w:rsidP="002F7397">
            <w:pPr>
              <w:pStyle w:val="TableText"/>
            </w:pPr>
            <w:r>
              <w:t>IV.ii.2.K.6.b</w:t>
            </w:r>
          </w:p>
        </w:tc>
      </w:tr>
      <w:tr w:rsidR="009C5FEA" w14:paraId="35E84855" w14:textId="77777777" w:rsidTr="005C485E">
        <w:trPr>
          <w:trHeight w:val="180"/>
        </w:trPr>
        <w:tc>
          <w:tcPr>
            <w:tcW w:w="3553" w:type="pct"/>
            <w:shd w:val="clear" w:color="auto" w:fill="auto"/>
          </w:tcPr>
          <w:p w14:paraId="37A11B8B" w14:textId="16F20126" w:rsidR="009C5FEA" w:rsidRDefault="009C5FEA" w:rsidP="00786B6A">
            <w:pPr>
              <w:pStyle w:val="TableText"/>
            </w:pPr>
            <w:r>
              <w:t>To add</w:t>
            </w:r>
            <w:r w:rsidR="009B7C75">
              <w:t xml:space="preserve"> a new Block c with</w:t>
            </w:r>
            <w:r>
              <w:t xml:space="preserve"> guidance that a new statute enacted or regulation issued that is applicable to a pending claim cannot be</w:t>
            </w:r>
            <w:r w:rsidR="009B7C75">
              <w:t xml:space="preserve"> retroactively</w:t>
            </w:r>
            <w:r>
              <w:t xml:space="preserve"> applied to the claim prior to the date of the enactment of the statute or issuance of the regulation unless specifically provided for by the statute or regulation.  </w:t>
            </w:r>
          </w:p>
        </w:tc>
        <w:tc>
          <w:tcPr>
            <w:tcW w:w="1447" w:type="pct"/>
            <w:shd w:val="clear" w:color="auto" w:fill="auto"/>
          </w:tcPr>
          <w:p w14:paraId="3AAA64C2" w14:textId="2B2BC743" w:rsidR="009C5FEA" w:rsidRDefault="009C5FEA" w:rsidP="001B3585">
            <w:pPr>
              <w:pStyle w:val="TableText"/>
            </w:pPr>
            <w:r>
              <w:t>IV.ii.2.K.6.c</w:t>
            </w:r>
          </w:p>
        </w:tc>
      </w:tr>
      <w:tr w:rsidR="009C5FEA" w14:paraId="7B13E1A2" w14:textId="77777777" w:rsidTr="005C485E">
        <w:trPr>
          <w:trHeight w:val="180"/>
        </w:trPr>
        <w:tc>
          <w:tcPr>
            <w:tcW w:w="3553" w:type="pct"/>
            <w:shd w:val="clear" w:color="auto" w:fill="auto"/>
          </w:tcPr>
          <w:p w14:paraId="696F92E1" w14:textId="5D22D59C" w:rsidR="009C5FEA" w:rsidRDefault="00DF7EBE" w:rsidP="00786B6A">
            <w:pPr>
              <w:pStyle w:val="TableText"/>
            </w:pPr>
            <w:r>
              <w:t>To add</w:t>
            </w:r>
            <w:r w:rsidR="009B7C75">
              <w:t xml:space="preserve"> a new Block d with</w:t>
            </w:r>
            <w:r>
              <w:t xml:space="preserve"> guidance concerning the binding effect of precedential court </w:t>
            </w:r>
            <w:r w:rsidR="00940CFC">
              <w:t>decisions.</w:t>
            </w:r>
          </w:p>
        </w:tc>
        <w:tc>
          <w:tcPr>
            <w:tcW w:w="1447" w:type="pct"/>
            <w:shd w:val="clear" w:color="auto" w:fill="auto"/>
          </w:tcPr>
          <w:p w14:paraId="7862A2FE" w14:textId="0B24C6EB" w:rsidR="009C5FEA" w:rsidRDefault="00DF7EBE" w:rsidP="001B3585">
            <w:pPr>
              <w:pStyle w:val="TableText"/>
            </w:pPr>
            <w:r>
              <w:t>IV.ii.2.K.6.d</w:t>
            </w:r>
          </w:p>
        </w:tc>
      </w:tr>
    </w:tbl>
    <w:p w14:paraId="7CB91F6B" w14:textId="77777777" w:rsidR="00504F80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1168DDEF" w14:textId="77777777" w:rsidTr="00237C22">
        <w:tc>
          <w:tcPr>
            <w:tcW w:w="1728" w:type="dxa"/>
          </w:tcPr>
          <w:p w14:paraId="64F7488D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7DA72CA6" w14:textId="1E3CF733" w:rsidR="00504F80" w:rsidRPr="00B4163A" w:rsidRDefault="00515688" w:rsidP="005C485E">
            <w:pPr>
              <w:pStyle w:val="BlockText"/>
            </w:pPr>
            <w:r>
              <w:t xml:space="preserve">TL </w:t>
            </w:r>
            <w:bookmarkStart w:id="0" w:name="_GoBack"/>
            <w:bookmarkEnd w:id="0"/>
            <w:r>
              <w:t>07-04</w:t>
            </w:r>
          </w:p>
        </w:tc>
      </w:tr>
    </w:tbl>
    <w:p w14:paraId="7F16D696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0D76FEFE" w14:textId="77777777" w:rsidTr="00237C22">
        <w:tc>
          <w:tcPr>
            <w:tcW w:w="1728" w:type="dxa"/>
          </w:tcPr>
          <w:p w14:paraId="2A33449C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0BDBE1ED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29210B19" w14:textId="77777777" w:rsidR="00504F80" w:rsidRPr="00B4163A" w:rsidRDefault="00504F80" w:rsidP="00504F80">
      <w:pPr>
        <w:pStyle w:val="ContinuedOnNextPa"/>
      </w:pPr>
      <w:r w:rsidRPr="00B4163A">
        <w:lastRenderedPageBreak/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437ACEFB" w14:textId="77777777" w:rsidTr="00237C22">
        <w:tc>
          <w:tcPr>
            <w:tcW w:w="1728" w:type="dxa"/>
          </w:tcPr>
          <w:p w14:paraId="73B39A17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4C2B66A8" w14:textId="77777777" w:rsidR="00504F80" w:rsidRPr="00B4163A" w:rsidRDefault="00504F80" w:rsidP="00237C22">
            <w:pPr>
              <w:pStyle w:val="BlockText"/>
            </w:pPr>
          </w:p>
          <w:p w14:paraId="380E1013" w14:textId="77777777" w:rsidR="00504F80" w:rsidRPr="00B4163A" w:rsidRDefault="00504F80" w:rsidP="00237C22">
            <w:pPr>
              <w:pStyle w:val="MemoLine"/>
              <w:ind w:left="-18" w:right="612"/>
            </w:pPr>
          </w:p>
          <w:p w14:paraId="0E8B88F7" w14:textId="77777777" w:rsidR="00504F80" w:rsidRPr="00B4163A" w:rsidRDefault="00504F80" w:rsidP="00237C22">
            <w:pPr>
              <w:rPr>
                <w:szCs w:val="20"/>
              </w:rPr>
            </w:pPr>
            <w:r w:rsidRPr="00B4163A">
              <w:t>Thomas J. Murphy, Director</w:t>
            </w:r>
          </w:p>
          <w:p w14:paraId="1A1219F7" w14:textId="77777777" w:rsidR="00504F80" w:rsidRPr="00B4163A" w:rsidRDefault="00504F80" w:rsidP="00237C22">
            <w:pPr>
              <w:pStyle w:val="BlockText"/>
            </w:pPr>
            <w:r w:rsidRPr="00B4163A">
              <w:t>Compensation Service</w:t>
            </w:r>
          </w:p>
        </w:tc>
      </w:tr>
    </w:tbl>
    <w:p w14:paraId="59633A24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2E1D799F" w14:textId="77777777" w:rsidTr="00237C22">
        <w:tc>
          <w:tcPr>
            <w:tcW w:w="1728" w:type="dxa"/>
          </w:tcPr>
          <w:p w14:paraId="4EBA5171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5CD33823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3BCF999C" w14:textId="77777777" w:rsidR="00504F80" w:rsidRDefault="00504F80" w:rsidP="00504F80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</w:p>
    <w:p w14:paraId="2644CF23" w14:textId="77777777" w:rsidR="007D5B97" w:rsidRDefault="00C24D50"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 w:rsidR="006D52FE">
        <w:fldChar w:fldCharType="begin">
          <w:fldData xml:space="preserve">RABvAGMAVABlAG0AcAAxAFYAYQByAFQAcgBhAGQAaQB0AGkAbwBuAGEAbAA=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52FE">
        <w:fldChar w:fldCharType="begin">
          <w:fldData xml:space="preserve">RgBvAG4AdABTAGUAdABGAG8AbgB0AFMAZQB0AGkAbQBpAHMAdAB5AGwAZQBzAC4AeABtAGwA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10E5">
        <w:fldChar w:fldCharType="begin">
          <w:fldData xml:space="preserve">RABvAGMAVABlAG0AcAAxAFYAYQByAFQAcgBhAGQAaQB0AGkAbwBuAGEAbAA=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D10E5">
        <w:fldChar w:fldCharType="begin">
          <w:fldData xml:space="preserve">RgBvAG4AdABTAGUAdABGAG8AbgB0AFMAZQB0AEYAbwBuAHQAUwBlAHQAaQBtAGkAcwB0AHkAbABl
AHMALgB4AG0AbAA=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00DC7">
        <w:fldChar w:fldCharType="begin">
          <w:fldData xml:space="preserve">RABvAGMAVABlAG0AcAAxAFYAYQByAFQAcgBhAGQAaQB0AGkAbwBuAGEAbAA=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600DC7">
        <w:fldChar w:fldCharType="begin">
          <w:fldData xml:space="preserve">RgBvAG4AdABTAGUAdABGAG8AbgB0AFMAZQB0AEYAbwBuAHQAUwBlAHQARgBvAG4AdABTAGUAdABp
AG0AaQBzAHQAeQBsAGUAcwAuAHgAbQBsAA==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3F3021">
        <w:fldChar w:fldCharType="begin">
          <w:fldData xml:space="preserve">RABvAGMAVABlAG0AcAAxAFYAYQByAFQAcgBhAGQAaQB0AGkAbwBuAGEAbAA=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3F3021">
        <w:fldChar w:fldCharType="begin">
          <w:fldData xml:space="preserve">RgBvAG4AdABTAGUAdABpAG0AaQBzAHQAeQBsAGUAcwAuAHgAbQBsAA==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D33A6E">
        <w:fldChar w:fldCharType="begin">
          <w:fldData xml:space="preserve">RABvAGMAVABlAG0AcAAxAFYAYQByAFQAcgBhAGQAaQB0AGkAbwBuAGEAbAA=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D33A6E">
        <w:fldChar w:fldCharType="begin">
          <w:fldData xml:space="preserve">RgBvAG4AdABTAGUAdABpAG0AaQBzAHQAeQBsAGUAcwAuAHgAbQBsAA==
</w:fldData>
        </w:fldChar>
      </w:r>
      <w:r w:rsidR="00D33A6E">
        <w:instrText xml:space="preserve"> ADDIN  \* MERGEFORMAT </w:instrText>
      </w:r>
      <w:r w:rsidR="00D33A6E">
        <w:fldChar w:fldCharType="end"/>
      </w:r>
    </w:p>
    <w:sectPr w:rsidR="007D5B97" w:rsidSect="00237C22">
      <w:footerReference w:type="even" r:id="rId13"/>
      <w:footerReference w:type="default" r:id="rId14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343419" w14:textId="77777777" w:rsidR="001B3587" w:rsidRDefault="001B3587" w:rsidP="00C765C7">
      <w:r>
        <w:separator/>
      </w:r>
    </w:p>
  </w:endnote>
  <w:endnote w:type="continuationSeparator" w:id="0">
    <w:p w14:paraId="2AFAEB85" w14:textId="77777777" w:rsidR="001B3587" w:rsidRDefault="001B3587" w:rsidP="00C765C7">
      <w:r>
        <w:continuationSeparator/>
      </w:r>
    </w:p>
  </w:endnote>
  <w:endnote w:type="continuationNotice" w:id="1">
    <w:p w14:paraId="0D419705" w14:textId="77777777" w:rsidR="00CC03BF" w:rsidRDefault="00CC03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52000" w14:textId="77777777" w:rsidR="001B3587" w:rsidRDefault="001B358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69895A" w14:textId="77777777" w:rsidR="001B3587" w:rsidRDefault="001B35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F1910D" w14:textId="77777777" w:rsidR="001B3587" w:rsidRDefault="001B358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584B">
      <w:rPr>
        <w:rStyle w:val="PageNumber"/>
        <w:noProof/>
      </w:rPr>
      <w:t>i</w:t>
    </w:r>
    <w:r>
      <w:rPr>
        <w:rStyle w:val="PageNumber"/>
      </w:rPr>
      <w:fldChar w:fldCharType="end"/>
    </w:r>
  </w:p>
  <w:p w14:paraId="0D566EC7" w14:textId="77777777" w:rsidR="001B3587" w:rsidRDefault="001B3587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C3785F" w14:textId="77777777" w:rsidR="001B3587" w:rsidRDefault="001B3587" w:rsidP="00C765C7">
      <w:r>
        <w:separator/>
      </w:r>
    </w:p>
  </w:footnote>
  <w:footnote w:type="continuationSeparator" w:id="0">
    <w:p w14:paraId="4CC5ACB7" w14:textId="77777777" w:rsidR="001B3587" w:rsidRDefault="001B3587" w:rsidP="00C765C7">
      <w:r>
        <w:continuationSeparator/>
      </w:r>
    </w:p>
  </w:footnote>
  <w:footnote w:type="continuationNotice" w:id="1">
    <w:p w14:paraId="5B7C3575" w14:textId="77777777" w:rsidR="00CC03BF" w:rsidRDefault="00CC03B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7pt;height:11.7pt" o:bullet="t">
        <v:imagedata r:id="rId1" o:title="fspro_2columns"/>
      </v:shape>
    </w:pict>
  </w:numPicBullet>
  <w:numPicBullet w:numPicBulletId="1">
    <w:pict>
      <v:shape id="_x0000_i1027" type="#_x0000_t75" style="width:11.7pt;height:11.7pt" o:bullet="t">
        <v:imagedata r:id="rId2" o:title="advanced"/>
      </v:shape>
    </w:pict>
  </w:numPicBullet>
  <w:numPicBullet w:numPicBulletId="2">
    <w:pict>
      <v:shape id="_x0000_i1028" type="#_x0000_t75" style="width:11.7pt;height:11.7pt" o:bullet="t">
        <v:imagedata r:id="rId3" o:title="continue"/>
      </v:shape>
    </w:pict>
  </w:numPicBullet>
  <w:numPicBullet w:numPicBulletId="3">
    <w:pict>
      <v:shape id="_x0000_i1029" type="#_x0000_t75" style="width:11.7pt;height:11.7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FE6D51"/>
    <w:multiLevelType w:val="hybridMultilevel"/>
    <w:tmpl w:val="106C4B1C"/>
    <w:lvl w:ilvl="0" w:tplc="982C377C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C4105E"/>
    <w:multiLevelType w:val="hybridMultilevel"/>
    <w:tmpl w:val="1F566FEC"/>
    <w:lvl w:ilvl="0" w:tplc="C1D807E4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227138"/>
    <w:multiLevelType w:val="hybridMultilevel"/>
    <w:tmpl w:val="7E8AFBDE"/>
    <w:lvl w:ilvl="0" w:tplc="C1D807E4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5BE43E5"/>
    <w:multiLevelType w:val="hybridMultilevel"/>
    <w:tmpl w:val="DF1CD5FC"/>
    <w:lvl w:ilvl="0" w:tplc="C1D807E4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11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7A7A69EF"/>
    <w:multiLevelType w:val="hybridMultilevel"/>
    <w:tmpl w:val="7DEA006C"/>
    <w:lvl w:ilvl="0" w:tplc="4254091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0"/>
  </w:num>
  <w:num w:numId="4">
    <w:abstractNumId w:val="11"/>
  </w:num>
  <w:num w:numId="5">
    <w:abstractNumId w:val="8"/>
  </w:num>
  <w:num w:numId="6">
    <w:abstractNumId w:val="7"/>
  </w:num>
  <w:num w:numId="7">
    <w:abstractNumId w:val="12"/>
  </w:num>
  <w:num w:numId="8">
    <w:abstractNumId w:val="6"/>
  </w:num>
  <w:num w:numId="9">
    <w:abstractNumId w:val="4"/>
  </w:num>
  <w:num w:numId="10">
    <w:abstractNumId w:val="10"/>
  </w:num>
  <w:num w:numId="11">
    <w:abstractNumId w:val="14"/>
  </w:num>
  <w:num w:numId="12">
    <w:abstractNumId w:val="1"/>
  </w:num>
  <w:num w:numId="13">
    <w:abstractNumId w:val="2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imistyles.xml"/>
  </w:docVars>
  <w:rsids>
    <w:rsidRoot w:val="00FF26A6"/>
    <w:rsid w:val="00002A1E"/>
    <w:rsid w:val="00014A89"/>
    <w:rsid w:val="000252C6"/>
    <w:rsid w:val="000256FB"/>
    <w:rsid w:val="00093228"/>
    <w:rsid w:val="000A7776"/>
    <w:rsid w:val="00100433"/>
    <w:rsid w:val="0010215F"/>
    <w:rsid w:val="00106EEF"/>
    <w:rsid w:val="00123973"/>
    <w:rsid w:val="001253ED"/>
    <w:rsid w:val="00186D46"/>
    <w:rsid w:val="001B3585"/>
    <w:rsid w:val="001B3587"/>
    <w:rsid w:val="001C3AE3"/>
    <w:rsid w:val="001C3EB5"/>
    <w:rsid w:val="002041BE"/>
    <w:rsid w:val="0022714C"/>
    <w:rsid w:val="00232686"/>
    <w:rsid w:val="00237C22"/>
    <w:rsid w:val="00240624"/>
    <w:rsid w:val="002B7A7E"/>
    <w:rsid w:val="002F5B21"/>
    <w:rsid w:val="002F7397"/>
    <w:rsid w:val="00332B80"/>
    <w:rsid w:val="00341981"/>
    <w:rsid w:val="00366D36"/>
    <w:rsid w:val="00386999"/>
    <w:rsid w:val="003B2927"/>
    <w:rsid w:val="003D47AF"/>
    <w:rsid w:val="003E2CA2"/>
    <w:rsid w:val="003F3021"/>
    <w:rsid w:val="003F6048"/>
    <w:rsid w:val="003F672A"/>
    <w:rsid w:val="00401EAD"/>
    <w:rsid w:val="0040351B"/>
    <w:rsid w:val="0041026E"/>
    <w:rsid w:val="00421403"/>
    <w:rsid w:val="00422836"/>
    <w:rsid w:val="00435BA5"/>
    <w:rsid w:val="00450FD6"/>
    <w:rsid w:val="00455EF7"/>
    <w:rsid w:val="004562CC"/>
    <w:rsid w:val="00471ECA"/>
    <w:rsid w:val="0047584B"/>
    <w:rsid w:val="00482FA3"/>
    <w:rsid w:val="0048559D"/>
    <w:rsid w:val="00494175"/>
    <w:rsid w:val="004F375E"/>
    <w:rsid w:val="00504F80"/>
    <w:rsid w:val="00506485"/>
    <w:rsid w:val="00513DA7"/>
    <w:rsid w:val="00515688"/>
    <w:rsid w:val="0051632B"/>
    <w:rsid w:val="00516C82"/>
    <w:rsid w:val="00544CF6"/>
    <w:rsid w:val="00577F75"/>
    <w:rsid w:val="00594258"/>
    <w:rsid w:val="005C485E"/>
    <w:rsid w:val="005E4363"/>
    <w:rsid w:val="00600DC7"/>
    <w:rsid w:val="0062068D"/>
    <w:rsid w:val="006317AA"/>
    <w:rsid w:val="006473C3"/>
    <w:rsid w:val="006708D7"/>
    <w:rsid w:val="006837E0"/>
    <w:rsid w:val="006B7262"/>
    <w:rsid w:val="006C3E5F"/>
    <w:rsid w:val="006C48FF"/>
    <w:rsid w:val="006D10E5"/>
    <w:rsid w:val="006D52FE"/>
    <w:rsid w:val="006F6D37"/>
    <w:rsid w:val="00703A59"/>
    <w:rsid w:val="00724248"/>
    <w:rsid w:val="00732186"/>
    <w:rsid w:val="00737049"/>
    <w:rsid w:val="00786B6A"/>
    <w:rsid w:val="007A0C5F"/>
    <w:rsid w:val="007D5B97"/>
    <w:rsid w:val="007D72EF"/>
    <w:rsid w:val="007E5515"/>
    <w:rsid w:val="0080590C"/>
    <w:rsid w:val="008144E7"/>
    <w:rsid w:val="00822A16"/>
    <w:rsid w:val="0086475B"/>
    <w:rsid w:val="00871B5B"/>
    <w:rsid w:val="00875AFA"/>
    <w:rsid w:val="0088609E"/>
    <w:rsid w:val="008B4CB5"/>
    <w:rsid w:val="008C723F"/>
    <w:rsid w:val="008D12C3"/>
    <w:rsid w:val="008D458B"/>
    <w:rsid w:val="008E22CF"/>
    <w:rsid w:val="008E5824"/>
    <w:rsid w:val="008E589A"/>
    <w:rsid w:val="008F14EA"/>
    <w:rsid w:val="008F1D5B"/>
    <w:rsid w:val="00916AE6"/>
    <w:rsid w:val="00933BDB"/>
    <w:rsid w:val="00940CFC"/>
    <w:rsid w:val="00945950"/>
    <w:rsid w:val="009769CD"/>
    <w:rsid w:val="00997D98"/>
    <w:rsid w:val="009B7C75"/>
    <w:rsid w:val="009C22C8"/>
    <w:rsid w:val="009C5FEA"/>
    <w:rsid w:val="009E6E1A"/>
    <w:rsid w:val="00A315CB"/>
    <w:rsid w:val="00A3579D"/>
    <w:rsid w:val="00A55356"/>
    <w:rsid w:val="00A557BB"/>
    <w:rsid w:val="00A8520D"/>
    <w:rsid w:val="00AC2993"/>
    <w:rsid w:val="00AD0EDC"/>
    <w:rsid w:val="00AF2CD6"/>
    <w:rsid w:val="00B0548B"/>
    <w:rsid w:val="00B30D2F"/>
    <w:rsid w:val="00B50AD7"/>
    <w:rsid w:val="00B64F2F"/>
    <w:rsid w:val="00B70882"/>
    <w:rsid w:val="00B93A3C"/>
    <w:rsid w:val="00B96287"/>
    <w:rsid w:val="00BB3345"/>
    <w:rsid w:val="00BF7FE3"/>
    <w:rsid w:val="00C0404B"/>
    <w:rsid w:val="00C16F35"/>
    <w:rsid w:val="00C24D50"/>
    <w:rsid w:val="00C273AD"/>
    <w:rsid w:val="00C765C7"/>
    <w:rsid w:val="00CC03BF"/>
    <w:rsid w:val="00CC2196"/>
    <w:rsid w:val="00CD2D08"/>
    <w:rsid w:val="00D33A6E"/>
    <w:rsid w:val="00D36508"/>
    <w:rsid w:val="00D41E96"/>
    <w:rsid w:val="00D57B91"/>
    <w:rsid w:val="00D61497"/>
    <w:rsid w:val="00D77146"/>
    <w:rsid w:val="00D823AF"/>
    <w:rsid w:val="00D87741"/>
    <w:rsid w:val="00D9207B"/>
    <w:rsid w:val="00DA11C2"/>
    <w:rsid w:val="00DB074F"/>
    <w:rsid w:val="00DB2902"/>
    <w:rsid w:val="00DB743E"/>
    <w:rsid w:val="00DD4FA6"/>
    <w:rsid w:val="00DE0E35"/>
    <w:rsid w:val="00DE37E6"/>
    <w:rsid w:val="00DF44AC"/>
    <w:rsid w:val="00DF7EBE"/>
    <w:rsid w:val="00E2529E"/>
    <w:rsid w:val="00E36906"/>
    <w:rsid w:val="00E41D10"/>
    <w:rsid w:val="00E648E9"/>
    <w:rsid w:val="00E964FD"/>
    <w:rsid w:val="00ED4D5E"/>
    <w:rsid w:val="00ED71C8"/>
    <w:rsid w:val="00F006B2"/>
    <w:rsid w:val="00F03718"/>
    <w:rsid w:val="00F36BD2"/>
    <w:rsid w:val="00F43DFA"/>
    <w:rsid w:val="00F87670"/>
    <w:rsid w:val="00F90609"/>
    <w:rsid w:val="00FB6AD1"/>
    <w:rsid w:val="00FC7F1C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5D58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  <w:style w:type="paragraph" w:styleId="ListParagraph">
    <w:name w:val="List Paragraph"/>
    <w:basedOn w:val="Normal"/>
    <w:uiPriority w:val="34"/>
    <w:qFormat/>
    <w:rsid w:val="005C48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  <w:style w:type="paragraph" w:styleId="ListParagraph">
    <w:name w:val="List Paragraph"/>
    <w:basedOn w:val="Normal"/>
    <w:uiPriority w:val="34"/>
    <w:qFormat/>
    <w:rsid w:val="005C48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pktibb\AppData\Roaming\Microsoft\Templates\Transmittal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f46cc7b5527e7c7d5dbbc0c04eeeb083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f3f4c0ff34dd50b43aae98cd4e8e0e68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B3262-7E72-4827-AF20-6F4868708AA5}">
  <ds:schemaRefs>
    <ds:schemaRef ds:uri="http://purl.org/dc/dcmitype/"/>
    <ds:schemaRef ds:uri="http://schemas.microsoft.com/office/2006/metadata/properties"/>
    <ds:schemaRef ds:uri="http://www.w3.org/XML/1998/namespace"/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b438dcf7-3998-4283-b7fc-0ec6fa8e430f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3CBB837-CD8D-46F2-B59F-5DE8F0D70A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6CD41DE-D683-4CAE-8D13-ED42DB5E2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Transmittal Sheet</Template>
  <TotalTime>148</TotalTime>
  <Pages>3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M21-1MR_IV_ii_2_SecK_TS</vt:lpstr>
    </vt:vector>
  </TitlesOfParts>
  <Company>Department of Veterans Affairs</Company>
  <LinksUpToDate>false</LinksUpToDate>
  <CharactersWithSpaces>5935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M21-1MR_IV_ii_2_SecK_TS</dc:title>
  <dc:creator>capktibb</dc:creator>
  <cp:lastModifiedBy>Amy Hamma</cp:lastModifiedBy>
  <cp:revision>13</cp:revision>
  <dcterms:created xsi:type="dcterms:W3CDTF">2015-01-05T08:07:00Z</dcterms:created>
  <dcterms:modified xsi:type="dcterms:W3CDTF">2015-05-13T16:46:00Z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</Properties>
</file>