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452" w:rsidRPr="00F97452" w:rsidRDefault="00504F80" w:rsidP="00F97452">
      <w:pPr>
        <w:pStyle w:val="Header"/>
        <w:tabs>
          <w:tab w:val="left" w:pos="0"/>
        </w:tabs>
        <w:rPr>
          <w:b/>
          <w:bCs/>
          <w:color w:val="000000"/>
          <w:sz w:val="20"/>
        </w:rPr>
      </w:pPr>
      <w:r w:rsidRPr="00F97452">
        <w:rPr>
          <w:b/>
          <w:sz w:val="20"/>
        </w:rPr>
        <w:t>Department of Veterans Affairs</w:t>
      </w:r>
      <w:r>
        <w:rPr>
          <w:sz w:val="20"/>
        </w:rPr>
        <w:tab/>
      </w:r>
      <w:r w:rsidR="00F97452">
        <w:rPr>
          <w:sz w:val="20"/>
        </w:rPr>
        <w:tab/>
      </w:r>
      <w:r w:rsidR="00815883">
        <w:rPr>
          <w:b/>
          <w:sz w:val="20"/>
        </w:rPr>
        <w:t xml:space="preserve">M21-1, </w:t>
      </w:r>
      <w:r w:rsidR="00F97452" w:rsidRPr="00F97452">
        <w:rPr>
          <w:b/>
          <w:bCs/>
          <w:color w:val="000000"/>
          <w:sz w:val="20"/>
        </w:rPr>
        <w:t xml:space="preserve">Part </w:t>
      </w:r>
      <w:r w:rsidR="00096CEA">
        <w:rPr>
          <w:b/>
          <w:bCs/>
          <w:color w:val="000000"/>
          <w:sz w:val="20"/>
        </w:rPr>
        <w:t>I</w:t>
      </w:r>
      <w:r w:rsidR="00223E13">
        <w:rPr>
          <w:b/>
          <w:bCs/>
          <w:color w:val="000000"/>
          <w:sz w:val="20"/>
        </w:rPr>
        <w:t>V</w:t>
      </w:r>
      <w:r w:rsidR="00F97452" w:rsidRPr="00F97452">
        <w:rPr>
          <w:b/>
          <w:bCs/>
          <w:color w:val="000000"/>
          <w:sz w:val="20"/>
        </w:rPr>
        <w:t>, Subpart i</w:t>
      </w:r>
      <w:r w:rsidR="00223E13">
        <w:rPr>
          <w:b/>
          <w:bCs/>
          <w:color w:val="000000"/>
          <w:sz w:val="20"/>
        </w:rPr>
        <w:t>i</w:t>
      </w:r>
    </w:p>
    <w:p w:rsidR="00504F80" w:rsidRDefault="00504F80" w:rsidP="00504F80">
      <w:pPr>
        <w:rPr>
          <w:b/>
          <w:bCs/>
          <w:sz w:val="20"/>
        </w:rPr>
      </w:pPr>
      <w:r>
        <w:rPr>
          <w:b/>
          <w:bCs/>
          <w:sz w:val="20"/>
        </w:rPr>
        <w:t>Veterans Benefits Administration</w:t>
      </w:r>
      <w:r>
        <w:rPr>
          <w:b/>
          <w:bCs/>
          <w:sz w:val="20"/>
        </w:rPr>
        <w:tab/>
      </w:r>
      <w:r>
        <w:rPr>
          <w:b/>
          <w:bCs/>
          <w:sz w:val="20"/>
        </w:rPr>
        <w:tab/>
      </w:r>
      <w:r>
        <w:rPr>
          <w:b/>
          <w:bCs/>
          <w:sz w:val="20"/>
        </w:rPr>
        <w:tab/>
      </w:r>
      <w:r>
        <w:rPr>
          <w:b/>
          <w:bCs/>
          <w:sz w:val="20"/>
        </w:rPr>
        <w:tab/>
      </w:r>
      <w:r>
        <w:rPr>
          <w:b/>
          <w:bCs/>
          <w:sz w:val="20"/>
        </w:rPr>
        <w:tab/>
      </w:r>
      <w:r>
        <w:rPr>
          <w:b/>
          <w:bCs/>
          <w:sz w:val="20"/>
        </w:rPr>
        <w:tab/>
        <w:t xml:space="preserve">    </w:t>
      </w:r>
      <w:r w:rsidR="00AF417C">
        <w:rPr>
          <w:b/>
          <w:bCs/>
          <w:sz w:val="20"/>
        </w:rPr>
        <w:t xml:space="preserve">       </w:t>
      </w:r>
      <w:r w:rsidR="00AF417C">
        <w:rPr>
          <w:b/>
          <w:bCs/>
          <w:sz w:val="20"/>
        </w:rPr>
        <w:tab/>
      </w:r>
      <w:r w:rsidR="00AF417C">
        <w:rPr>
          <w:b/>
          <w:bCs/>
          <w:sz w:val="20"/>
        </w:rPr>
        <w:tab/>
        <w:t xml:space="preserve">   August 7, 2015</w:t>
      </w:r>
      <w:r w:rsidR="00F97452">
        <w:rPr>
          <w:b/>
          <w:bCs/>
          <w:sz w:val="20"/>
        </w:rPr>
        <w:t xml:space="preserve">           </w:t>
      </w:r>
    </w:p>
    <w:p w:rsidR="00504F80" w:rsidRDefault="00504F80" w:rsidP="00504F80">
      <w:pPr>
        <w:rPr>
          <w:b/>
          <w:bCs/>
          <w:sz w:val="20"/>
        </w:rPr>
      </w:pPr>
      <w:r>
        <w:rPr>
          <w:b/>
          <w:bCs/>
          <w:sz w:val="20"/>
        </w:rPr>
        <w:t>Washington, DC  20420</w:t>
      </w:r>
    </w:p>
    <w:p w:rsidR="00504F80" w:rsidRDefault="00504F80" w:rsidP="00504F80">
      <w:pPr>
        <w:rPr>
          <w:b/>
          <w:bCs/>
          <w:sz w:val="20"/>
        </w:rPr>
      </w:pPr>
    </w:p>
    <w:p w:rsidR="00504F80" w:rsidRDefault="00504F80" w:rsidP="00504F80">
      <w:pPr>
        <w:pStyle w:val="Heading4"/>
      </w:pPr>
      <w:r>
        <w:t xml:space="preserve">Transmittal Sheet </w:t>
      </w:r>
    </w:p>
    <w:p w:rsidR="00504F80" w:rsidRDefault="00504F80" w:rsidP="00504F80">
      <w:pPr>
        <w:pStyle w:val="BlockLine"/>
      </w:pPr>
      <w:r>
        <w:t xml:space="preserve"> </w:t>
      </w:r>
    </w:p>
    <w:tbl>
      <w:tblPr>
        <w:tblW w:w="9468" w:type="dxa"/>
        <w:tblLayout w:type="fixed"/>
        <w:tblLook w:val="0000" w:firstRow="0" w:lastRow="0" w:firstColumn="0" w:lastColumn="0" w:noHBand="0" w:noVBand="0"/>
      </w:tblPr>
      <w:tblGrid>
        <w:gridCol w:w="1728"/>
        <w:gridCol w:w="7740"/>
      </w:tblGrid>
      <w:tr w:rsidR="00504F80" w:rsidRPr="00C24D50" w:rsidTr="00C24D50">
        <w:tc>
          <w:tcPr>
            <w:tcW w:w="1728" w:type="dxa"/>
          </w:tcPr>
          <w:p w:rsidR="00504F80" w:rsidRDefault="00504F80" w:rsidP="00237C22">
            <w:pPr>
              <w:pStyle w:val="Heading5"/>
            </w:pPr>
            <w:r>
              <w:t>Changes Included in This Revision</w:t>
            </w:r>
          </w:p>
        </w:tc>
        <w:tc>
          <w:tcPr>
            <w:tcW w:w="7740" w:type="dxa"/>
          </w:tcPr>
          <w:p w:rsidR="00F97452" w:rsidRPr="0080401C" w:rsidRDefault="00504F80" w:rsidP="00F97452">
            <w:pPr>
              <w:rPr>
                <w:szCs w:val="20"/>
              </w:rPr>
            </w:pPr>
            <w:r>
              <w:t xml:space="preserve">The table below describes the changes included in this revision of </w:t>
            </w:r>
            <w:r w:rsidR="00815883">
              <w:t>Veterans Benefits Manual M21-1</w:t>
            </w:r>
            <w:r>
              <w:t xml:space="preserve">, Part </w:t>
            </w:r>
            <w:r w:rsidR="00F97452">
              <w:t>I</w:t>
            </w:r>
            <w:r w:rsidR="00223E13">
              <w:t>V</w:t>
            </w:r>
            <w:r>
              <w:t xml:space="preserve">, </w:t>
            </w:r>
            <w:proofErr w:type="gramStart"/>
            <w:r>
              <w:t>“</w:t>
            </w:r>
            <w:proofErr w:type="gramEnd"/>
            <w:r w:rsidR="00223E13">
              <w:t>Compensation, DIC</w:t>
            </w:r>
            <w:r>
              <w:t>,</w:t>
            </w:r>
            <w:r w:rsidR="00223E13">
              <w:t xml:space="preserve"> and Death Compensation Benefits,</w:t>
            </w:r>
            <w:r>
              <w:t xml:space="preserve">” Subpart </w:t>
            </w:r>
            <w:r w:rsidR="00F97452">
              <w:t>i</w:t>
            </w:r>
            <w:r w:rsidR="00223E13">
              <w:t>i</w:t>
            </w:r>
            <w:r>
              <w:t>, “</w:t>
            </w:r>
            <w:r w:rsidR="00223E13">
              <w:t>Compensation</w:t>
            </w:r>
            <w:r w:rsidR="00815883">
              <w:t>.</w:t>
            </w:r>
            <w:r>
              <w:t>”</w:t>
            </w:r>
          </w:p>
          <w:p w:rsidR="00504F80" w:rsidRPr="00F97452" w:rsidRDefault="00504F80" w:rsidP="00237C22">
            <w:pPr>
              <w:pStyle w:val="BlockText"/>
              <w:rPr>
                <w:szCs w:val="20"/>
              </w:rPr>
            </w:pPr>
          </w:p>
          <w:p w:rsidR="00504F80" w:rsidRDefault="00504F80" w:rsidP="00237C22">
            <w:pPr>
              <w:pStyle w:val="BulletText1"/>
              <w:numPr>
                <w:ilvl w:val="0"/>
                <w:numId w:val="0"/>
              </w:numPr>
            </w:pPr>
            <w:r>
              <w:rPr>
                <w:b/>
                <w:i/>
              </w:rPr>
              <w:t>Notes</w:t>
            </w:r>
            <w:r>
              <w:t xml:space="preserve">:  </w:t>
            </w:r>
          </w:p>
          <w:p w:rsidR="002F369E" w:rsidRDefault="002F369E" w:rsidP="002F369E">
            <w:pPr>
              <w:pStyle w:val="ListParagraph"/>
              <w:numPr>
                <w:ilvl w:val="0"/>
                <w:numId w:val="39"/>
              </w:numPr>
              <w:ind w:left="158" w:hanging="187"/>
            </w:pPr>
            <w:r>
              <w:t>Unless otherwise noted, the term “claims folder” refers to the official, numbered, Department of Veterans Affairs (VA) repository – whether paper or electronic – for all documentation relating to claims that a Veteran and/or his/her survivors file with VA.</w:t>
            </w:r>
          </w:p>
          <w:p w:rsidR="002F369E" w:rsidRDefault="00504F80" w:rsidP="002F369E">
            <w:pPr>
              <w:pStyle w:val="ListParagraph"/>
              <w:numPr>
                <w:ilvl w:val="0"/>
                <w:numId w:val="39"/>
              </w:numPr>
              <w:ind w:left="158" w:hanging="187"/>
            </w:pPr>
            <w:r>
              <w:t xml:space="preserve">Minor editorial changes have also been made to </w:t>
            </w:r>
          </w:p>
          <w:p w:rsidR="002F369E" w:rsidRDefault="002F369E" w:rsidP="002F369E">
            <w:pPr>
              <w:pStyle w:val="ListParagraph"/>
              <w:numPr>
                <w:ilvl w:val="0"/>
                <w:numId w:val="40"/>
              </w:numPr>
              <w:ind w:left="346" w:hanging="187"/>
            </w:pPr>
            <w:r>
              <w:t>renumber each topic based on the standard that the first topic in each section is Topic 1</w:t>
            </w:r>
          </w:p>
          <w:p w:rsidR="002F369E" w:rsidRDefault="002F369E" w:rsidP="002F369E">
            <w:pPr>
              <w:pStyle w:val="ListParagraph"/>
              <w:numPr>
                <w:ilvl w:val="0"/>
                <w:numId w:val="40"/>
              </w:numPr>
              <w:ind w:left="346" w:hanging="187"/>
            </w:pPr>
            <w:r>
              <w:t>reassign alphabetical designations to individual blocks, where necessary, to account for new and/or deleted blocks within a topic</w:t>
            </w:r>
          </w:p>
          <w:p w:rsidR="002F369E" w:rsidRDefault="002F369E" w:rsidP="002F369E">
            <w:pPr>
              <w:pStyle w:val="ListParagraph"/>
              <w:numPr>
                <w:ilvl w:val="0"/>
                <w:numId w:val="40"/>
              </w:numPr>
              <w:ind w:left="346" w:hanging="187"/>
            </w:pPr>
            <w:r>
              <w:t>clarify medical terms, where needed</w:t>
            </w:r>
          </w:p>
          <w:p w:rsidR="00504F80" w:rsidRDefault="00504F80" w:rsidP="002F369E">
            <w:pPr>
              <w:pStyle w:val="ListParagraph"/>
              <w:numPr>
                <w:ilvl w:val="0"/>
                <w:numId w:val="40"/>
              </w:numPr>
              <w:ind w:left="346" w:hanging="187"/>
            </w:pPr>
            <w:r>
              <w:t xml:space="preserve">clarify </w:t>
            </w:r>
            <w:r w:rsidR="00724248">
              <w:t>B</w:t>
            </w:r>
            <w:r w:rsidR="00D61497">
              <w:t>lock labels and/or B</w:t>
            </w:r>
            <w:r>
              <w:t xml:space="preserve">lock text, and </w:t>
            </w:r>
          </w:p>
          <w:p w:rsidR="00504F80" w:rsidRPr="00EA3A57" w:rsidRDefault="00504F80" w:rsidP="002F369E">
            <w:pPr>
              <w:pStyle w:val="ListParagraph"/>
              <w:numPr>
                <w:ilvl w:val="0"/>
                <w:numId w:val="40"/>
              </w:numPr>
              <w:ind w:left="346" w:hanging="187"/>
            </w:pPr>
            <w:proofErr w:type="gramStart"/>
            <w:r>
              <w:t>bring</w:t>
            </w:r>
            <w:proofErr w:type="gramEnd"/>
            <w:r>
              <w:t xml:space="preserve"> the documen</w:t>
            </w:r>
            <w:r w:rsidR="00815883">
              <w:t>ts into conformance with M21-1</w:t>
            </w:r>
            <w:r>
              <w:t xml:space="preserve"> standards.</w:t>
            </w:r>
          </w:p>
        </w:tc>
      </w:tr>
    </w:tbl>
    <w:p w:rsidR="00C24D50" w:rsidRDefault="00C24D50" w:rsidP="00C24D50"/>
    <w:tbl>
      <w:tblPr>
        <w:tblW w:w="9324"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264"/>
        <w:gridCol w:w="3060"/>
      </w:tblGrid>
      <w:tr w:rsidR="00815883" w:rsidTr="002F369E">
        <w:trPr>
          <w:trHeight w:val="180"/>
        </w:trPr>
        <w:tc>
          <w:tcPr>
            <w:tcW w:w="3359" w:type="pct"/>
            <w:shd w:val="clear" w:color="auto" w:fill="auto"/>
          </w:tcPr>
          <w:p w:rsidR="00815883" w:rsidRPr="00C24D50" w:rsidRDefault="00815883" w:rsidP="00456F5B">
            <w:pPr>
              <w:pStyle w:val="TableHeaderText"/>
            </w:pPr>
            <w:r>
              <w:t>Reason</w:t>
            </w:r>
            <w:r w:rsidRPr="00C24D50">
              <w:t>s for the Change</w:t>
            </w:r>
            <w:r>
              <w:t>s</w:t>
            </w:r>
          </w:p>
        </w:tc>
        <w:tc>
          <w:tcPr>
            <w:tcW w:w="1641" w:type="pct"/>
            <w:shd w:val="clear" w:color="auto" w:fill="auto"/>
          </w:tcPr>
          <w:p w:rsidR="00815883" w:rsidRPr="00C24D50" w:rsidRDefault="00815883" w:rsidP="002F7397">
            <w:pPr>
              <w:pStyle w:val="TableHeaderText"/>
            </w:pPr>
            <w:r w:rsidRPr="00C24D50">
              <w:t>Citation</w:t>
            </w:r>
          </w:p>
        </w:tc>
      </w:tr>
      <w:tr w:rsidR="0092270A" w:rsidTr="002F369E">
        <w:trPr>
          <w:trHeight w:val="180"/>
        </w:trPr>
        <w:tc>
          <w:tcPr>
            <w:tcW w:w="3359" w:type="pct"/>
            <w:shd w:val="clear" w:color="auto" w:fill="auto"/>
          </w:tcPr>
          <w:p w:rsidR="002D36D9" w:rsidRDefault="0092270A" w:rsidP="002D36D9">
            <w:pPr>
              <w:pStyle w:val="BulletText1"/>
              <w:numPr>
                <w:ilvl w:val="0"/>
                <w:numId w:val="0"/>
              </w:numPr>
              <w:ind w:left="173" w:hanging="173"/>
            </w:pPr>
            <w:r>
              <w:t xml:space="preserve">To add a note that </w:t>
            </w:r>
            <w:r w:rsidR="002D36D9">
              <w:t xml:space="preserve">asbestos exposure may have been </w:t>
            </w:r>
          </w:p>
          <w:p w:rsidR="002D36D9" w:rsidRDefault="0092270A" w:rsidP="002D36D9">
            <w:pPr>
              <w:pStyle w:val="BulletText1"/>
              <w:numPr>
                <w:ilvl w:val="0"/>
                <w:numId w:val="0"/>
              </w:numPr>
              <w:ind w:left="173" w:hanging="173"/>
            </w:pPr>
            <w:r>
              <w:t xml:space="preserve">direct or indirect and that extent and duration of </w:t>
            </w:r>
          </w:p>
          <w:p w:rsidR="0092270A" w:rsidRDefault="0092270A" w:rsidP="002D36D9">
            <w:pPr>
              <w:pStyle w:val="BulletText1"/>
              <w:numPr>
                <w:ilvl w:val="0"/>
                <w:numId w:val="0"/>
              </w:numPr>
              <w:ind w:left="173" w:hanging="173"/>
            </w:pPr>
            <w:proofErr w:type="gramStart"/>
            <w:r>
              <w:t>exposure</w:t>
            </w:r>
            <w:proofErr w:type="gramEnd"/>
            <w:r>
              <w:t xml:space="preserve"> is not a factor.</w:t>
            </w:r>
          </w:p>
        </w:tc>
        <w:tc>
          <w:tcPr>
            <w:tcW w:w="1641" w:type="pct"/>
            <w:shd w:val="clear" w:color="auto" w:fill="auto"/>
          </w:tcPr>
          <w:p w:rsidR="0092270A" w:rsidRDefault="002F369E" w:rsidP="00124CD2">
            <w:pPr>
              <w:pStyle w:val="TableText"/>
            </w:pPr>
            <w:r>
              <w:t>M21-1, Part IV, Subpart ii, Chapter 2, Section C, Topic 2, Block f (</w:t>
            </w:r>
            <w:r w:rsidR="0092270A">
              <w:t>IV.ii.2.C.2.f</w:t>
            </w:r>
            <w:r>
              <w:t>)</w:t>
            </w:r>
          </w:p>
        </w:tc>
      </w:tr>
      <w:tr w:rsidR="0092270A" w:rsidTr="002F369E">
        <w:trPr>
          <w:trHeight w:val="180"/>
        </w:trPr>
        <w:tc>
          <w:tcPr>
            <w:tcW w:w="3359" w:type="pct"/>
            <w:shd w:val="clear" w:color="auto" w:fill="auto"/>
          </w:tcPr>
          <w:p w:rsidR="0092270A" w:rsidRDefault="0092270A" w:rsidP="002F369E">
            <w:r>
              <w:t xml:space="preserve">To add </w:t>
            </w:r>
            <w:r w:rsidR="002F369E">
              <w:t>relevant</w:t>
            </w:r>
            <w:r>
              <w:t xml:space="preserve"> cross-reference</w:t>
            </w:r>
            <w:r w:rsidR="002F369E">
              <w:t>s</w:t>
            </w:r>
            <w:r>
              <w:t>.</w:t>
            </w:r>
          </w:p>
        </w:tc>
        <w:tc>
          <w:tcPr>
            <w:tcW w:w="1641" w:type="pct"/>
            <w:shd w:val="clear" w:color="auto" w:fill="auto"/>
          </w:tcPr>
          <w:p w:rsidR="0092270A" w:rsidRDefault="0092270A" w:rsidP="00124CD2">
            <w:pPr>
              <w:pStyle w:val="TableText"/>
            </w:pPr>
            <w:r>
              <w:t>IV.ii.2.C.2.h</w:t>
            </w:r>
          </w:p>
        </w:tc>
      </w:tr>
      <w:tr w:rsidR="00815883" w:rsidTr="002F369E">
        <w:trPr>
          <w:trHeight w:val="180"/>
        </w:trPr>
        <w:tc>
          <w:tcPr>
            <w:tcW w:w="3359" w:type="pct"/>
            <w:shd w:val="clear" w:color="auto" w:fill="auto"/>
          </w:tcPr>
          <w:p w:rsidR="00815883" w:rsidRPr="00C24D50" w:rsidRDefault="00E8453C" w:rsidP="008E7197">
            <w:pPr>
              <w:pStyle w:val="BulletText1"/>
              <w:numPr>
                <w:ilvl w:val="0"/>
                <w:numId w:val="0"/>
              </w:numPr>
            </w:pPr>
            <w:r>
              <w:t>To add</w:t>
            </w:r>
            <w:r w:rsidR="00975DF2">
              <w:t xml:space="preserve"> a new Block </w:t>
            </w:r>
            <w:proofErr w:type="gramStart"/>
            <w:r w:rsidR="00975DF2">
              <w:t>a with</w:t>
            </w:r>
            <w:proofErr w:type="gramEnd"/>
            <w:r>
              <w:t xml:space="preserve"> information related to presumpti</w:t>
            </w:r>
            <w:r w:rsidR="008E7197">
              <w:t>ve service connection</w:t>
            </w:r>
            <w:r>
              <w:t xml:space="preserve"> based on herbicide exposure.</w:t>
            </w:r>
          </w:p>
        </w:tc>
        <w:tc>
          <w:tcPr>
            <w:tcW w:w="1641" w:type="pct"/>
            <w:shd w:val="clear" w:color="auto" w:fill="auto"/>
          </w:tcPr>
          <w:p w:rsidR="00815883" w:rsidRPr="00C24D50" w:rsidRDefault="00E8453C" w:rsidP="00124CD2">
            <w:pPr>
              <w:pStyle w:val="TableText"/>
            </w:pPr>
            <w:r>
              <w:t>IV.ii.2.C.3.a</w:t>
            </w:r>
          </w:p>
        </w:tc>
      </w:tr>
      <w:tr w:rsidR="00815883" w:rsidTr="002F369E">
        <w:trPr>
          <w:trHeight w:val="180"/>
        </w:trPr>
        <w:tc>
          <w:tcPr>
            <w:tcW w:w="3359" w:type="pct"/>
            <w:shd w:val="clear" w:color="auto" w:fill="auto"/>
          </w:tcPr>
          <w:p w:rsidR="00815883" w:rsidRDefault="00975DF2" w:rsidP="008E7197">
            <w:pPr>
              <w:pStyle w:val="BulletText1"/>
              <w:numPr>
                <w:ilvl w:val="0"/>
                <w:numId w:val="0"/>
              </w:numPr>
            </w:pPr>
            <w:r>
              <w:t>To provide</w:t>
            </w:r>
            <w:r w:rsidR="00E8453C">
              <w:t xml:space="preserve"> information on the d</w:t>
            </w:r>
            <w:r w:rsidR="008E7197">
              <w:t xml:space="preserve">efinition of an herbicide </w:t>
            </w:r>
            <w:proofErr w:type="gramStart"/>
            <w:r w:rsidR="008E7197">
              <w:t xml:space="preserve">agent  </w:t>
            </w:r>
            <w:r w:rsidR="00E8453C">
              <w:t>with</w:t>
            </w:r>
            <w:proofErr w:type="gramEnd"/>
            <w:r w:rsidR="00E8453C">
              <w:t xml:space="preserve"> examples.</w:t>
            </w:r>
          </w:p>
        </w:tc>
        <w:tc>
          <w:tcPr>
            <w:tcW w:w="1641" w:type="pct"/>
            <w:shd w:val="clear" w:color="auto" w:fill="auto"/>
          </w:tcPr>
          <w:p w:rsidR="00815883" w:rsidRPr="00C24D50" w:rsidRDefault="00E8453C" w:rsidP="00CA4269">
            <w:pPr>
              <w:pStyle w:val="TableText"/>
            </w:pPr>
            <w:r>
              <w:t>IV.ii.2.C.3.b</w:t>
            </w:r>
          </w:p>
        </w:tc>
      </w:tr>
      <w:tr w:rsidR="00815883" w:rsidTr="002F369E">
        <w:trPr>
          <w:trHeight w:val="180"/>
        </w:trPr>
        <w:tc>
          <w:tcPr>
            <w:tcW w:w="3359" w:type="pct"/>
            <w:shd w:val="clear" w:color="auto" w:fill="auto"/>
          </w:tcPr>
          <w:p w:rsidR="00815883" w:rsidRDefault="00E8453C" w:rsidP="008E7197">
            <w:pPr>
              <w:pStyle w:val="BulletText1"/>
              <w:numPr>
                <w:ilvl w:val="0"/>
                <w:numId w:val="0"/>
              </w:numPr>
            </w:pPr>
            <w:r>
              <w:t>To add</w:t>
            </w:r>
            <w:r w:rsidR="00975DF2">
              <w:t xml:space="preserve"> a new Block c with</w:t>
            </w:r>
            <w:r>
              <w:t xml:space="preserve"> information on what is necessary to rebut the presumption of herbicide exposure under 38 CFR 3.307(a).</w:t>
            </w:r>
            <w:r w:rsidR="00815883">
              <w:t xml:space="preserve"> </w:t>
            </w:r>
          </w:p>
        </w:tc>
        <w:tc>
          <w:tcPr>
            <w:tcW w:w="1641" w:type="pct"/>
            <w:shd w:val="clear" w:color="auto" w:fill="auto"/>
          </w:tcPr>
          <w:p w:rsidR="00815883" w:rsidRDefault="00E8453C" w:rsidP="00CA4269">
            <w:pPr>
              <w:pStyle w:val="TableText"/>
            </w:pPr>
            <w:r>
              <w:t>IV.ii.2.C.3.c</w:t>
            </w:r>
          </w:p>
        </w:tc>
      </w:tr>
      <w:tr w:rsidR="00815883" w:rsidTr="002F369E">
        <w:trPr>
          <w:trHeight w:val="180"/>
        </w:trPr>
        <w:tc>
          <w:tcPr>
            <w:tcW w:w="3359" w:type="pct"/>
            <w:shd w:val="clear" w:color="auto" w:fill="auto"/>
          </w:tcPr>
          <w:p w:rsidR="00815883" w:rsidRDefault="00E8453C" w:rsidP="007337A8">
            <w:pPr>
              <w:pStyle w:val="BulletText1"/>
            </w:pPr>
            <w:r>
              <w:t>To add</w:t>
            </w:r>
            <w:r w:rsidR="00975DF2">
              <w:t xml:space="preserve"> a new Block d with</w:t>
            </w:r>
            <w:r>
              <w:t xml:space="preserve"> </w:t>
            </w:r>
            <w:r w:rsidR="00DF6E81">
              <w:t>guidance for Vietnam Veterans and establishment of a presumption related to</w:t>
            </w:r>
            <w:r>
              <w:t xml:space="preserve"> </w:t>
            </w:r>
            <w:r w:rsidR="008E7197">
              <w:t>service in the Korean Demilitarized Zone.</w:t>
            </w:r>
          </w:p>
          <w:p w:rsidR="00815883" w:rsidRPr="00C24D50" w:rsidRDefault="008E7197" w:rsidP="008E7197">
            <w:pPr>
              <w:pStyle w:val="BulletText1"/>
            </w:pPr>
            <w:r>
              <w:t>To add</w:t>
            </w:r>
            <w:r w:rsidR="00E8453C">
              <w:t xml:space="preserve"> cross-reference</w:t>
            </w:r>
            <w:r>
              <w:t>s</w:t>
            </w:r>
            <w:r w:rsidR="00E8453C">
              <w:t>.</w:t>
            </w:r>
          </w:p>
        </w:tc>
        <w:tc>
          <w:tcPr>
            <w:tcW w:w="1641" w:type="pct"/>
            <w:shd w:val="clear" w:color="auto" w:fill="auto"/>
          </w:tcPr>
          <w:p w:rsidR="00815883" w:rsidRPr="00C24D50" w:rsidRDefault="00E8453C" w:rsidP="00B3164C">
            <w:pPr>
              <w:pStyle w:val="TableText"/>
            </w:pPr>
            <w:r>
              <w:t>IV.ii.2.C.3.d</w:t>
            </w:r>
          </w:p>
        </w:tc>
      </w:tr>
      <w:tr w:rsidR="00815883" w:rsidTr="002F369E">
        <w:trPr>
          <w:trHeight w:val="180"/>
        </w:trPr>
        <w:tc>
          <w:tcPr>
            <w:tcW w:w="3359" w:type="pct"/>
            <w:shd w:val="clear" w:color="auto" w:fill="auto"/>
          </w:tcPr>
          <w:p w:rsidR="00815883" w:rsidRDefault="00975DF2" w:rsidP="007337A8">
            <w:pPr>
              <w:pStyle w:val="BulletText1"/>
            </w:pPr>
            <w:r>
              <w:t>To provide</w:t>
            </w:r>
            <w:r w:rsidR="00E8453C">
              <w:t xml:space="preserve"> information on what types of service qualify for presumption of exposure to herbicide agents and specify that there is no presumption of exposure based on documentation of service in the offshore waters of Vietnam or in other locations not specified (with exception).</w:t>
            </w:r>
          </w:p>
          <w:p w:rsidR="00815883" w:rsidRDefault="00E8453C" w:rsidP="00F94D47">
            <w:pPr>
              <w:pStyle w:val="BulletText1"/>
            </w:pPr>
            <w:r>
              <w:t xml:space="preserve">To add that the term “service in the Republic of Vietnam” does not include service of a Vietnam Era Veteran whose </w:t>
            </w:r>
            <w:r>
              <w:lastRenderedPageBreak/>
              <w:t>only contact with Vietnam was flying high-altitude missions in Vietnamese airspace.</w:t>
            </w:r>
          </w:p>
          <w:p w:rsidR="008E7197" w:rsidRDefault="008E7197" w:rsidP="00F94D47">
            <w:pPr>
              <w:pStyle w:val="BulletText1"/>
            </w:pPr>
            <w:r>
              <w:t>To add additional cross-references.</w:t>
            </w:r>
          </w:p>
        </w:tc>
        <w:tc>
          <w:tcPr>
            <w:tcW w:w="1641" w:type="pct"/>
            <w:shd w:val="clear" w:color="auto" w:fill="auto"/>
          </w:tcPr>
          <w:p w:rsidR="00815883" w:rsidRPr="00C24D50" w:rsidRDefault="00E8453C" w:rsidP="00B3164C">
            <w:pPr>
              <w:pStyle w:val="TableText"/>
            </w:pPr>
            <w:r>
              <w:lastRenderedPageBreak/>
              <w:t>IV.ii.2.C.3.e</w:t>
            </w:r>
          </w:p>
        </w:tc>
      </w:tr>
      <w:tr w:rsidR="00815883" w:rsidTr="002F369E">
        <w:trPr>
          <w:trHeight w:val="180"/>
        </w:trPr>
        <w:tc>
          <w:tcPr>
            <w:tcW w:w="3359" w:type="pct"/>
            <w:shd w:val="clear" w:color="auto" w:fill="auto"/>
          </w:tcPr>
          <w:p w:rsidR="002C6E91" w:rsidRDefault="002C6E91" w:rsidP="002C6E91">
            <w:pPr>
              <w:pStyle w:val="BulletText1"/>
              <w:numPr>
                <w:ilvl w:val="0"/>
                <w:numId w:val="0"/>
              </w:numPr>
              <w:ind w:left="173" w:hanging="173"/>
            </w:pPr>
            <w:r>
              <w:lastRenderedPageBreak/>
              <w:t>To specify that peripheral neuropathy is that of early-</w:t>
            </w:r>
          </w:p>
          <w:p w:rsidR="00815883" w:rsidRDefault="002C6E91" w:rsidP="002C6E91">
            <w:pPr>
              <w:pStyle w:val="BulletText1"/>
              <w:numPr>
                <w:ilvl w:val="0"/>
                <w:numId w:val="0"/>
              </w:numPr>
              <w:ind w:left="173" w:hanging="173"/>
            </w:pPr>
            <w:r>
              <w:t>onset for presumptive purposes under 38 CFR 3.309(e)</w:t>
            </w:r>
          </w:p>
        </w:tc>
        <w:tc>
          <w:tcPr>
            <w:tcW w:w="1641" w:type="pct"/>
            <w:shd w:val="clear" w:color="auto" w:fill="auto"/>
          </w:tcPr>
          <w:p w:rsidR="00815883" w:rsidRPr="00C24D50" w:rsidRDefault="007B6350" w:rsidP="00BA3E9A">
            <w:pPr>
              <w:pStyle w:val="TableText"/>
            </w:pPr>
            <w:r>
              <w:t>IV.ii.2.C.3.f</w:t>
            </w:r>
          </w:p>
        </w:tc>
      </w:tr>
      <w:tr w:rsidR="002D36D9" w:rsidTr="002F369E">
        <w:trPr>
          <w:trHeight w:val="180"/>
        </w:trPr>
        <w:tc>
          <w:tcPr>
            <w:tcW w:w="3359" w:type="pct"/>
            <w:shd w:val="clear" w:color="auto" w:fill="auto"/>
          </w:tcPr>
          <w:p w:rsidR="002D36D9" w:rsidRDefault="002D36D9" w:rsidP="00E845AB">
            <w:r>
              <w:t xml:space="preserve">To </w:t>
            </w:r>
            <w:r w:rsidR="00E845AB">
              <w:t>delete</w:t>
            </w:r>
            <w:r>
              <w:t xml:space="preserve"> old Block g with the definition of acute and subacute peripheral neuropathy.</w:t>
            </w:r>
          </w:p>
        </w:tc>
        <w:tc>
          <w:tcPr>
            <w:tcW w:w="1641" w:type="pct"/>
            <w:shd w:val="clear" w:color="auto" w:fill="auto"/>
          </w:tcPr>
          <w:p w:rsidR="002D36D9" w:rsidRDefault="00E845AB" w:rsidP="00E845AB">
            <w:pPr>
              <w:pStyle w:val="TableText"/>
            </w:pPr>
            <w:r>
              <w:t>--</w:t>
            </w:r>
          </w:p>
        </w:tc>
      </w:tr>
      <w:tr w:rsidR="002D36D9" w:rsidTr="002F369E">
        <w:trPr>
          <w:trHeight w:val="180"/>
        </w:trPr>
        <w:tc>
          <w:tcPr>
            <w:tcW w:w="3359" w:type="pct"/>
            <w:shd w:val="clear" w:color="auto" w:fill="auto"/>
          </w:tcPr>
          <w:p w:rsidR="002D36D9" w:rsidRDefault="002D36D9" w:rsidP="00E845AB">
            <w:r>
              <w:t xml:space="preserve">To </w:t>
            </w:r>
            <w:r w:rsidR="00E845AB">
              <w:t>delete</w:t>
            </w:r>
            <w:r>
              <w:t xml:space="preserve"> old Block h with information on handling claims based on a history of acute and subacute peripheral neuropathy and late-occurring peripheral neuropathy.</w:t>
            </w:r>
          </w:p>
        </w:tc>
        <w:tc>
          <w:tcPr>
            <w:tcW w:w="1641" w:type="pct"/>
            <w:shd w:val="clear" w:color="auto" w:fill="auto"/>
          </w:tcPr>
          <w:p w:rsidR="002D36D9" w:rsidRDefault="00E845AB" w:rsidP="00E845AB">
            <w:pPr>
              <w:pStyle w:val="TableText"/>
            </w:pPr>
            <w:r>
              <w:t>--</w:t>
            </w:r>
          </w:p>
        </w:tc>
      </w:tr>
      <w:tr w:rsidR="007B6350" w:rsidTr="002F369E">
        <w:trPr>
          <w:trHeight w:val="180"/>
        </w:trPr>
        <w:tc>
          <w:tcPr>
            <w:tcW w:w="3359" w:type="pct"/>
            <w:shd w:val="clear" w:color="auto" w:fill="auto"/>
          </w:tcPr>
          <w:p w:rsidR="007B6350" w:rsidRDefault="007B6350" w:rsidP="008E7197">
            <w:r>
              <w:t>To add</w:t>
            </w:r>
            <w:r w:rsidR="0092270A">
              <w:t xml:space="preserve"> a new Block </w:t>
            </w:r>
            <w:r w:rsidR="00154738">
              <w:t xml:space="preserve">h </w:t>
            </w:r>
            <w:r w:rsidR="0092270A">
              <w:t>with guidance</w:t>
            </w:r>
            <w:r>
              <w:t xml:space="preserve"> to consider direct service connection when </w:t>
            </w:r>
            <w:r w:rsidR="008E7197">
              <w:t>entitlement to presumptive service connection does not exist</w:t>
            </w:r>
            <w:r>
              <w:t>.</w:t>
            </w:r>
          </w:p>
        </w:tc>
        <w:tc>
          <w:tcPr>
            <w:tcW w:w="1641" w:type="pct"/>
            <w:shd w:val="clear" w:color="auto" w:fill="auto"/>
          </w:tcPr>
          <w:p w:rsidR="007B6350" w:rsidRDefault="007B6350" w:rsidP="00F94D47">
            <w:pPr>
              <w:pStyle w:val="TableText"/>
            </w:pPr>
            <w:r>
              <w:t>IV.ii.2.C.3.h</w:t>
            </w:r>
          </w:p>
        </w:tc>
      </w:tr>
      <w:tr w:rsidR="00815883" w:rsidTr="002F369E">
        <w:trPr>
          <w:trHeight w:val="180"/>
        </w:trPr>
        <w:tc>
          <w:tcPr>
            <w:tcW w:w="3359" w:type="pct"/>
            <w:shd w:val="clear" w:color="auto" w:fill="auto"/>
          </w:tcPr>
          <w:p w:rsidR="00815883" w:rsidRDefault="002C6E91" w:rsidP="001E32F1">
            <w:pPr>
              <w:pStyle w:val="ListParagraph"/>
              <w:numPr>
                <w:ilvl w:val="0"/>
                <w:numId w:val="24"/>
              </w:numPr>
              <w:ind w:left="158" w:hanging="187"/>
            </w:pPr>
            <w:r>
              <w:t>To add early-onset peripheral neuropathy with effective date of September 6, 2013, to the table listing the date disabilities became subject to presumptive service connection under 38 CFR 3.309(e).</w:t>
            </w:r>
          </w:p>
          <w:p w:rsidR="001E32F1" w:rsidRDefault="001E32F1" w:rsidP="001E32F1">
            <w:pPr>
              <w:pStyle w:val="ListParagraph"/>
              <w:numPr>
                <w:ilvl w:val="0"/>
                <w:numId w:val="25"/>
              </w:numPr>
              <w:ind w:left="158" w:hanging="187"/>
            </w:pPr>
            <w:r>
              <w:t xml:space="preserve">To specify that for claims on or after September 6, 2013, entitlement to presumptive service connection based on peripheral neuropathy only exists when the Veteran meets qualifying service requirements and medical evidence establishes a confirmed diagnosis of early-onset peripheral neuropathy. </w:t>
            </w:r>
          </w:p>
        </w:tc>
        <w:tc>
          <w:tcPr>
            <w:tcW w:w="1641" w:type="pct"/>
            <w:shd w:val="clear" w:color="auto" w:fill="auto"/>
          </w:tcPr>
          <w:p w:rsidR="00815883" w:rsidRDefault="007B6350" w:rsidP="007E11D5">
            <w:pPr>
              <w:pStyle w:val="TableText"/>
            </w:pPr>
            <w:r>
              <w:t>IV.ii.2.C.3.i</w:t>
            </w:r>
          </w:p>
        </w:tc>
      </w:tr>
      <w:tr w:rsidR="00815883" w:rsidTr="002F369E">
        <w:trPr>
          <w:trHeight w:val="180"/>
        </w:trPr>
        <w:tc>
          <w:tcPr>
            <w:tcW w:w="3359" w:type="pct"/>
            <w:shd w:val="clear" w:color="auto" w:fill="auto"/>
          </w:tcPr>
          <w:p w:rsidR="00CD199A" w:rsidRDefault="002C6E91" w:rsidP="008E7197">
            <w:pPr>
              <w:pStyle w:val="ListParagraph"/>
              <w:numPr>
                <w:ilvl w:val="0"/>
                <w:numId w:val="41"/>
              </w:numPr>
              <w:ind w:left="158" w:hanging="187"/>
            </w:pPr>
            <w:r>
              <w:t>To add</w:t>
            </w:r>
            <w:r w:rsidR="007B6350">
              <w:t xml:space="preserve"> a new Block j</w:t>
            </w:r>
            <w:r w:rsidR="00975DF2">
              <w:t xml:space="preserve"> with</w:t>
            </w:r>
            <w:r>
              <w:t xml:space="preserve"> revised guidance related to early-onset peripheral neuropathy</w:t>
            </w:r>
            <w:r w:rsidR="001E32F1">
              <w:t>.</w:t>
            </w:r>
          </w:p>
          <w:p w:rsidR="001E32F1" w:rsidRDefault="001E32F1" w:rsidP="001E32F1">
            <w:pPr>
              <w:pStyle w:val="ListParagraph"/>
              <w:numPr>
                <w:ilvl w:val="0"/>
                <w:numId w:val="26"/>
              </w:numPr>
              <w:ind w:left="158" w:hanging="187"/>
            </w:pPr>
            <w:r>
              <w:t>To provide guidance that peripheral neuropathy still must have manifest to a compensable degree of 10 percent or more within one year of the date of last herbicide exposure during active military, naval, or air service.</w:t>
            </w:r>
          </w:p>
          <w:p w:rsidR="001E32F1" w:rsidRDefault="001E32F1" w:rsidP="001E32F1">
            <w:pPr>
              <w:pStyle w:val="ListParagraph"/>
              <w:numPr>
                <w:ilvl w:val="0"/>
                <w:numId w:val="26"/>
              </w:numPr>
              <w:ind w:left="158" w:hanging="187"/>
            </w:pPr>
            <w:r>
              <w:t>To specify that evidence does not support an association between herbicide exposure and delayed-onset peripheral neuropathy.</w:t>
            </w:r>
          </w:p>
        </w:tc>
        <w:tc>
          <w:tcPr>
            <w:tcW w:w="1641" w:type="pct"/>
            <w:shd w:val="clear" w:color="auto" w:fill="auto"/>
          </w:tcPr>
          <w:p w:rsidR="00815883" w:rsidRDefault="007B6350" w:rsidP="007A3B12">
            <w:pPr>
              <w:pStyle w:val="TableText"/>
            </w:pPr>
            <w:r>
              <w:t>IV.ii.2.C.3.j</w:t>
            </w:r>
          </w:p>
        </w:tc>
      </w:tr>
      <w:tr w:rsidR="00815883" w:rsidTr="002F369E">
        <w:trPr>
          <w:trHeight w:val="180"/>
        </w:trPr>
        <w:tc>
          <w:tcPr>
            <w:tcW w:w="3359" w:type="pct"/>
            <w:shd w:val="clear" w:color="auto" w:fill="auto"/>
          </w:tcPr>
          <w:p w:rsidR="00815883" w:rsidRDefault="003316CE" w:rsidP="008E7197">
            <w:pPr>
              <w:pStyle w:val="BulletText1"/>
              <w:numPr>
                <w:ilvl w:val="0"/>
                <w:numId w:val="0"/>
              </w:numPr>
            </w:pPr>
            <w:r>
              <w:t xml:space="preserve">To </w:t>
            </w:r>
            <w:r w:rsidR="008E7197">
              <w:t>update</w:t>
            </w:r>
            <w:r>
              <w:t xml:space="preserve"> information on conditions determined to have no positive association with herbicide exposure.</w:t>
            </w:r>
          </w:p>
        </w:tc>
        <w:tc>
          <w:tcPr>
            <w:tcW w:w="1641" w:type="pct"/>
            <w:shd w:val="clear" w:color="auto" w:fill="auto"/>
          </w:tcPr>
          <w:p w:rsidR="00815883" w:rsidRDefault="007B6350" w:rsidP="007E11D5">
            <w:pPr>
              <w:pStyle w:val="TableText"/>
            </w:pPr>
            <w:r>
              <w:t>IV.ii.2.C.3.k</w:t>
            </w:r>
          </w:p>
        </w:tc>
      </w:tr>
      <w:tr w:rsidR="007B6350" w:rsidTr="002F369E">
        <w:trPr>
          <w:trHeight w:val="180"/>
        </w:trPr>
        <w:tc>
          <w:tcPr>
            <w:tcW w:w="3359" w:type="pct"/>
            <w:shd w:val="clear" w:color="auto" w:fill="auto"/>
          </w:tcPr>
          <w:p w:rsidR="007B6350" w:rsidRDefault="008E7197" w:rsidP="007B6350">
            <w:pPr>
              <w:pStyle w:val="BulletText1"/>
              <w:numPr>
                <w:ilvl w:val="0"/>
                <w:numId w:val="0"/>
              </w:numPr>
              <w:ind w:left="173" w:hanging="173"/>
            </w:pPr>
            <w:r>
              <w:t>To add a new Block</w:t>
            </w:r>
            <w:r w:rsidR="007B6350">
              <w:t xml:space="preserve"> </w:t>
            </w:r>
            <w:r w:rsidR="00154738">
              <w:t xml:space="preserve">l </w:t>
            </w:r>
            <w:r w:rsidR="007B6350">
              <w:t xml:space="preserve">with information that </w:t>
            </w:r>
          </w:p>
          <w:p w:rsidR="007B6350" w:rsidRDefault="007B6350" w:rsidP="007B6350">
            <w:pPr>
              <w:pStyle w:val="BulletText1"/>
              <w:numPr>
                <w:ilvl w:val="0"/>
                <w:numId w:val="0"/>
              </w:numPr>
              <w:ind w:left="173" w:hanging="173"/>
            </w:pPr>
            <w:r>
              <w:t xml:space="preserve">presumptive service connection may not be </w:t>
            </w:r>
          </w:p>
          <w:p w:rsidR="007B6350" w:rsidRDefault="007B6350" w:rsidP="007B6350">
            <w:pPr>
              <w:pStyle w:val="BulletText1"/>
              <w:numPr>
                <w:ilvl w:val="0"/>
                <w:numId w:val="0"/>
              </w:numPr>
              <w:ind w:left="173" w:hanging="173"/>
            </w:pPr>
            <w:r>
              <w:t xml:space="preserve">established on the basis of herbicide exposure for a </w:t>
            </w:r>
          </w:p>
          <w:p w:rsidR="007B6350" w:rsidRDefault="007B6350" w:rsidP="007B6350">
            <w:pPr>
              <w:pStyle w:val="BulletText1"/>
              <w:numPr>
                <w:ilvl w:val="0"/>
                <w:numId w:val="0"/>
              </w:numPr>
              <w:ind w:left="173" w:hanging="173"/>
            </w:pPr>
            <w:r>
              <w:t xml:space="preserve">cancer listed in 38 CFR 3.309(e) when medical evidence </w:t>
            </w:r>
          </w:p>
          <w:p w:rsidR="007B6350" w:rsidRDefault="007B6350" w:rsidP="007B6350">
            <w:pPr>
              <w:pStyle w:val="BulletText1"/>
              <w:numPr>
                <w:ilvl w:val="0"/>
                <w:numId w:val="0"/>
              </w:numPr>
              <w:ind w:left="173" w:hanging="173"/>
            </w:pPr>
            <w:r>
              <w:t xml:space="preserve">shows the cancer developed as the result of a metastasis </w:t>
            </w:r>
          </w:p>
          <w:p w:rsidR="007B6350" w:rsidRDefault="007B6350" w:rsidP="007B6350">
            <w:pPr>
              <w:pStyle w:val="BulletText1"/>
              <w:numPr>
                <w:ilvl w:val="0"/>
                <w:numId w:val="0"/>
              </w:numPr>
              <w:ind w:left="173" w:hanging="173"/>
            </w:pPr>
            <w:r>
              <w:t xml:space="preserve">of a non-recognized cancer or of a cancer that is a </w:t>
            </w:r>
          </w:p>
          <w:p w:rsidR="007B6350" w:rsidRDefault="007B6350" w:rsidP="007B6350">
            <w:pPr>
              <w:pStyle w:val="BulletText1"/>
              <w:numPr>
                <w:ilvl w:val="0"/>
                <w:numId w:val="0"/>
              </w:numPr>
              <w:ind w:left="173" w:hanging="173"/>
            </w:pPr>
            <w:proofErr w:type="gramStart"/>
            <w:r>
              <w:t>recognized</w:t>
            </w:r>
            <w:proofErr w:type="gramEnd"/>
            <w:r>
              <w:t xml:space="preserve"> cause of metastasis.</w:t>
            </w:r>
          </w:p>
        </w:tc>
        <w:tc>
          <w:tcPr>
            <w:tcW w:w="1641" w:type="pct"/>
            <w:shd w:val="clear" w:color="auto" w:fill="auto"/>
          </w:tcPr>
          <w:p w:rsidR="007B6350" w:rsidRDefault="007B6350" w:rsidP="00F94D47">
            <w:pPr>
              <w:pStyle w:val="TableText"/>
            </w:pPr>
            <w:r>
              <w:t>IV.ii.2.C.3.l</w:t>
            </w:r>
          </w:p>
        </w:tc>
      </w:tr>
      <w:tr w:rsidR="00CD199A" w:rsidTr="002F369E">
        <w:trPr>
          <w:trHeight w:val="180"/>
        </w:trPr>
        <w:tc>
          <w:tcPr>
            <w:tcW w:w="3359" w:type="pct"/>
            <w:shd w:val="clear" w:color="auto" w:fill="auto"/>
          </w:tcPr>
          <w:p w:rsidR="00CD199A" w:rsidRDefault="00CD199A" w:rsidP="00645552">
            <w:pPr>
              <w:pStyle w:val="BulletText1"/>
              <w:numPr>
                <w:ilvl w:val="0"/>
                <w:numId w:val="0"/>
              </w:numPr>
            </w:pPr>
            <w:r>
              <w:t xml:space="preserve">To </w:t>
            </w:r>
            <w:r w:rsidR="00B11A9B">
              <w:t>delete old</w:t>
            </w:r>
            <w:r>
              <w:t xml:space="preserve"> Block</w:t>
            </w:r>
            <w:r w:rsidR="00645552">
              <w:t>s</w:t>
            </w:r>
            <w:r w:rsidR="00365DE2">
              <w:t xml:space="preserve"> l-t</w:t>
            </w:r>
            <w:r>
              <w:t xml:space="preserve"> and </w:t>
            </w:r>
            <w:r w:rsidR="00B11A9B">
              <w:t>relocate</w:t>
            </w:r>
            <w:r>
              <w:t xml:space="preserve"> </w:t>
            </w:r>
            <w:r w:rsidR="00B11A9B">
              <w:t xml:space="preserve">the guidance </w:t>
            </w:r>
            <w:r>
              <w:t>t</w:t>
            </w:r>
            <w:r w:rsidR="0087671F">
              <w:t>o IV.ii.1.H</w:t>
            </w:r>
            <w:r>
              <w:t>.</w:t>
            </w:r>
          </w:p>
        </w:tc>
        <w:tc>
          <w:tcPr>
            <w:tcW w:w="1641" w:type="pct"/>
            <w:shd w:val="clear" w:color="auto" w:fill="auto"/>
          </w:tcPr>
          <w:p w:rsidR="00CD199A" w:rsidRDefault="00E845AB" w:rsidP="00E845AB">
            <w:pPr>
              <w:pStyle w:val="TableText"/>
            </w:pPr>
            <w:r>
              <w:t>--</w:t>
            </w:r>
          </w:p>
        </w:tc>
      </w:tr>
      <w:tr w:rsidR="00645552" w:rsidTr="002F369E">
        <w:trPr>
          <w:trHeight w:val="180"/>
        </w:trPr>
        <w:tc>
          <w:tcPr>
            <w:tcW w:w="3359" w:type="pct"/>
            <w:shd w:val="clear" w:color="auto" w:fill="auto"/>
          </w:tcPr>
          <w:p w:rsidR="00645552" w:rsidRDefault="00645552" w:rsidP="00645552">
            <w:pPr>
              <w:pStyle w:val="BulletText1"/>
              <w:numPr>
                <w:ilvl w:val="0"/>
                <w:numId w:val="0"/>
              </w:numPr>
            </w:pPr>
            <w:r>
              <w:t xml:space="preserve">To clarify what constitutes presumption of exposure based on </w:t>
            </w:r>
            <w:r w:rsidRPr="00110EE3">
              <w:t>service aboard a Navy or Coast Guard ship</w:t>
            </w:r>
            <w:r>
              <w:t>.</w:t>
            </w:r>
          </w:p>
        </w:tc>
        <w:tc>
          <w:tcPr>
            <w:tcW w:w="1641" w:type="pct"/>
            <w:shd w:val="clear" w:color="auto" w:fill="auto"/>
          </w:tcPr>
          <w:p w:rsidR="00645552" w:rsidRDefault="00645552" w:rsidP="00645552">
            <w:pPr>
              <w:pStyle w:val="TableText"/>
            </w:pPr>
            <w:r>
              <w:t>IV.ii.2.C.3.m</w:t>
            </w:r>
          </w:p>
        </w:tc>
      </w:tr>
      <w:tr w:rsidR="007B6350" w:rsidTr="002F369E">
        <w:trPr>
          <w:trHeight w:val="180"/>
        </w:trPr>
        <w:tc>
          <w:tcPr>
            <w:tcW w:w="3359" w:type="pct"/>
            <w:shd w:val="clear" w:color="auto" w:fill="auto"/>
          </w:tcPr>
          <w:p w:rsidR="007B6350" w:rsidRDefault="007B6350" w:rsidP="00645552">
            <w:pPr>
              <w:pStyle w:val="ListParagraph"/>
              <w:numPr>
                <w:ilvl w:val="0"/>
                <w:numId w:val="42"/>
              </w:numPr>
              <w:ind w:left="158" w:hanging="187"/>
            </w:pPr>
            <w:r>
              <w:t xml:space="preserve">To add mycosis </w:t>
            </w:r>
            <w:proofErr w:type="spellStart"/>
            <w:r>
              <w:t>fungoides</w:t>
            </w:r>
            <w:proofErr w:type="spellEnd"/>
            <w:r>
              <w:t xml:space="preserve"> as a subcategory of Non-</w:t>
            </w:r>
            <w:proofErr w:type="spellStart"/>
            <w:r>
              <w:t>Hodgkins</w:t>
            </w:r>
            <w:proofErr w:type="spellEnd"/>
            <w:r>
              <w:t xml:space="preserve"> Lymphoma as qualifying for presumptive service connection</w:t>
            </w:r>
            <w:r w:rsidR="00645552">
              <w:t>.</w:t>
            </w:r>
          </w:p>
          <w:p w:rsidR="007B6350" w:rsidRDefault="007B6350" w:rsidP="00A0675B">
            <w:pPr>
              <w:pStyle w:val="ListParagraph"/>
              <w:numPr>
                <w:ilvl w:val="0"/>
                <w:numId w:val="43"/>
              </w:numPr>
              <w:ind w:left="158" w:hanging="187"/>
            </w:pPr>
            <w:r>
              <w:t>To add cross-reference to III</w:t>
            </w:r>
            <w:r w:rsidR="00A0675B">
              <w:t>.</w:t>
            </w:r>
            <w:r>
              <w:t>iv</w:t>
            </w:r>
            <w:r w:rsidR="00A0675B">
              <w:t>.</w:t>
            </w:r>
            <w:r>
              <w:t xml:space="preserve">4.I.4.i for additional </w:t>
            </w:r>
            <w:r>
              <w:lastRenderedPageBreak/>
              <w:t xml:space="preserve">guidance on considering claims for service connection for mycosis </w:t>
            </w:r>
            <w:proofErr w:type="spellStart"/>
            <w:r>
              <w:t>fungoides</w:t>
            </w:r>
            <w:proofErr w:type="spellEnd"/>
            <w:r>
              <w:t>.</w:t>
            </w:r>
          </w:p>
        </w:tc>
        <w:tc>
          <w:tcPr>
            <w:tcW w:w="1641" w:type="pct"/>
            <w:shd w:val="clear" w:color="auto" w:fill="auto"/>
          </w:tcPr>
          <w:p w:rsidR="007B6350" w:rsidRDefault="007B6350" w:rsidP="00C33940">
            <w:pPr>
              <w:pStyle w:val="TableText"/>
            </w:pPr>
            <w:r>
              <w:lastRenderedPageBreak/>
              <w:t>IV.ii.2.C.3.o</w:t>
            </w:r>
          </w:p>
        </w:tc>
      </w:tr>
      <w:tr w:rsidR="001E32F1" w:rsidTr="002F369E">
        <w:trPr>
          <w:trHeight w:val="180"/>
        </w:trPr>
        <w:tc>
          <w:tcPr>
            <w:tcW w:w="3359" w:type="pct"/>
            <w:shd w:val="clear" w:color="auto" w:fill="auto"/>
          </w:tcPr>
          <w:p w:rsidR="001E32F1" w:rsidRPr="001E32F1" w:rsidRDefault="00BA56EB" w:rsidP="00BA56EB">
            <w:r>
              <w:lastRenderedPageBreak/>
              <w:t xml:space="preserve">To provide guidance on the categories of class members entitled to consideration under the </w:t>
            </w:r>
            <w:r w:rsidRPr="00FB71E5">
              <w:rPr>
                <w:i/>
              </w:rPr>
              <w:t>Nehmer</w:t>
            </w:r>
            <w:r>
              <w:t xml:space="preserve"> stipulation.</w:t>
            </w:r>
            <w:bookmarkStart w:id="0" w:name="_GoBack"/>
            <w:bookmarkEnd w:id="0"/>
          </w:p>
        </w:tc>
        <w:tc>
          <w:tcPr>
            <w:tcW w:w="1641" w:type="pct"/>
            <w:shd w:val="clear" w:color="auto" w:fill="auto"/>
          </w:tcPr>
          <w:p w:rsidR="001E32F1" w:rsidRDefault="001E32F1" w:rsidP="00EB4BFC">
            <w:pPr>
              <w:pStyle w:val="TableText"/>
            </w:pPr>
            <w:r>
              <w:t>IV.ii.2.C.4.b</w:t>
            </w:r>
          </w:p>
        </w:tc>
      </w:tr>
      <w:tr w:rsidR="00815883" w:rsidTr="002F369E">
        <w:trPr>
          <w:trHeight w:val="180"/>
        </w:trPr>
        <w:tc>
          <w:tcPr>
            <w:tcW w:w="3359" w:type="pct"/>
            <w:shd w:val="clear" w:color="auto" w:fill="auto"/>
          </w:tcPr>
          <w:p w:rsidR="00815883" w:rsidRDefault="00137E1F" w:rsidP="00645552">
            <w:pPr>
              <w:pStyle w:val="BulletText1"/>
              <w:numPr>
                <w:ilvl w:val="0"/>
                <w:numId w:val="0"/>
              </w:numPr>
            </w:pPr>
            <w:r>
              <w:t xml:space="preserve">To </w:t>
            </w:r>
            <w:r w:rsidR="00645552">
              <w:t>update</w:t>
            </w:r>
            <w:r>
              <w:t xml:space="preserve"> information on covered herbicide diseases</w:t>
            </w:r>
            <w:r w:rsidR="00645552">
              <w:t xml:space="preserve"> under 38 CFR 3.816</w:t>
            </w:r>
            <w:r>
              <w:t>.</w:t>
            </w:r>
          </w:p>
        </w:tc>
        <w:tc>
          <w:tcPr>
            <w:tcW w:w="1641" w:type="pct"/>
            <w:shd w:val="clear" w:color="auto" w:fill="auto"/>
          </w:tcPr>
          <w:p w:rsidR="00815883" w:rsidRDefault="00137E1F" w:rsidP="00EB4BFC">
            <w:pPr>
              <w:pStyle w:val="TableText"/>
            </w:pPr>
            <w:r>
              <w:t>IV.ii.2.C.4.c</w:t>
            </w:r>
          </w:p>
        </w:tc>
      </w:tr>
      <w:tr w:rsidR="00815883" w:rsidTr="002F369E">
        <w:trPr>
          <w:trHeight w:val="180"/>
        </w:trPr>
        <w:tc>
          <w:tcPr>
            <w:tcW w:w="3359" w:type="pct"/>
            <w:shd w:val="clear" w:color="auto" w:fill="auto"/>
          </w:tcPr>
          <w:p w:rsidR="00815883" w:rsidRPr="00137E1F" w:rsidRDefault="00137E1F" w:rsidP="00693745">
            <w:pPr>
              <w:pStyle w:val="BulletText1"/>
              <w:numPr>
                <w:ilvl w:val="0"/>
                <w:numId w:val="0"/>
              </w:numPr>
            </w:pPr>
            <w:r>
              <w:t xml:space="preserve">To add information related to what constitutes a </w:t>
            </w:r>
            <w:r>
              <w:rPr>
                <w:i/>
              </w:rPr>
              <w:t>Nehmer</w:t>
            </w:r>
            <w:r>
              <w:t xml:space="preserve"> class member as well as a definition of which claims qualify as </w:t>
            </w:r>
            <w:r>
              <w:rPr>
                <w:i/>
              </w:rPr>
              <w:t>Nehmer</w:t>
            </w:r>
            <w:r>
              <w:t>-related and which claims do not qualify.</w:t>
            </w:r>
          </w:p>
        </w:tc>
        <w:tc>
          <w:tcPr>
            <w:tcW w:w="1641" w:type="pct"/>
            <w:shd w:val="clear" w:color="auto" w:fill="auto"/>
          </w:tcPr>
          <w:p w:rsidR="00815883" w:rsidRPr="00C24D50" w:rsidRDefault="00137E1F" w:rsidP="00C33940">
            <w:pPr>
              <w:pStyle w:val="TableText"/>
            </w:pPr>
            <w:r>
              <w:t>IV.ii.2.C.4.d</w:t>
            </w:r>
          </w:p>
        </w:tc>
      </w:tr>
      <w:tr w:rsidR="00815883" w:rsidTr="002F369E">
        <w:trPr>
          <w:trHeight w:val="180"/>
        </w:trPr>
        <w:tc>
          <w:tcPr>
            <w:tcW w:w="3359" w:type="pct"/>
            <w:shd w:val="clear" w:color="auto" w:fill="auto"/>
          </w:tcPr>
          <w:p w:rsidR="00E04DA4" w:rsidRPr="00E04DA4" w:rsidRDefault="00E04DA4" w:rsidP="00693745">
            <w:pPr>
              <w:pStyle w:val="ListParagraph"/>
              <w:numPr>
                <w:ilvl w:val="0"/>
                <w:numId w:val="46"/>
              </w:numPr>
              <w:ind w:left="158" w:hanging="187"/>
            </w:pPr>
            <w:r>
              <w:t xml:space="preserve">To </w:t>
            </w:r>
            <w:r w:rsidR="00693745">
              <w:t>add</w:t>
            </w:r>
            <w:r>
              <w:t xml:space="preserve"> guidance </w:t>
            </w:r>
            <w:r w:rsidR="00693745">
              <w:t>on assigning</w:t>
            </w:r>
            <w:r>
              <w:t xml:space="preserve"> an earlier effective date under </w:t>
            </w:r>
            <w:r w:rsidRPr="00693745">
              <w:rPr>
                <w:i/>
              </w:rPr>
              <w:t>Nehmer</w:t>
            </w:r>
            <w:r>
              <w:t xml:space="preserve"> </w:t>
            </w:r>
            <w:r w:rsidR="00693745">
              <w:t>from the</w:t>
            </w:r>
            <w:r w:rsidR="009B7604">
              <w:t xml:space="preserve"> Training Letter 10-04 Addendum</w:t>
            </w:r>
            <w:r>
              <w:t>.</w:t>
            </w:r>
          </w:p>
          <w:p w:rsidR="00815883" w:rsidRDefault="00137E1F" w:rsidP="00693745">
            <w:pPr>
              <w:pStyle w:val="ListParagraph"/>
              <w:numPr>
                <w:ilvl w:val="0"/>
                <w:numId w:val="44"/>
              </w:numPr>
              <w:ind w:left="158" w:hanging="187"/>
            </w:pPr>
            <w:r>
              <w:t xml:space="preserve">To add information that </w:t>
            </w:r>
            <w:r w:rsidRPr="00693745">
              <w:rPr>
                <w:i/>
              </w:rPr>
              <w:t>Nehmer</w:t>
            </w:r>
            <w:r>
              <w:t xml:space="preserve"> requires that the condition must have been present on the effective date from which we grant service connection.</w:t>
            </w:r>
          </w:p>
          <w:p w:rsidR="00FB2E6B" w:rsidRPr="00137E1F" w:rsidRDefault="00FB2E6B" w:rsidP="00693745">
            <w:pPr>
              <w:pStyle w:val="ListParagraph"/>
              <w:numPr>
                <w:ilvl w:val="0"/>
                <w:numId w:val="44"/>
              </w:numPr>
              <w:ind w:left="158" w:hanging="187"/>
            </w:pPr>
            <w:r>
              <w:t xml:space="preserve">To </w:t>
            </w:r>
            <w:r w:rsidR="00693745">
              <w:t>delete and relocate</w:t>
            </w:r>
            <w:r>
              <w:t xml:space="preserve"> guidance on the effective date of Dependency and Indemnity Compensation </w:t>
            </w:r>
            <w:r w:rsidR="00693745">
              <w:t>to</w:t>
            </w:r>
            <w:r>
              <w:t xml:space="preserve"> IV.ii.3.A.5. </w:t>
            </w:r>
          </w:p>
        </w:tc>
        <w:tc>
          <w:tcPr>
            <w:tcW w:w="1641" w:type="pct"/>
            <w:shd w:val="clear" w:color="auto" w:fill="auto"/>
          </w:tcPr>
          <w:p w:rsidR="00815883" w:rsidRPr="00C24D50" w:rsidRDefault="00137E1F" w:rsidP="00C33940">
            <w:pPr>
              <w:pStyle w:val="TableText"/>
            </w:pPr>
            <w:r>
              <w:t>IV.ii.2.C.4.e</w:t>
            </w:r>
          </w:p>
        </w:tc>
      </w:tr>
      <w:tr w:rsidR="00693745" w:rsidTr="002F369E">
        <w:trPr>
          <w:trHeight w:val="180"/>
        </w:trPr>
        <w:tc>
          <w:tcPr>
            <w:tcW w:w="3359" w:type="pct"/>
            <w:shd w:val="clear" w:color="auto" w:fill="auto"/>
          </w:tcPr>
          <w:p w:rsidR="00693745" w:rsidRDefault="00693745" w:rsidP="00693745">
            <w:r>
              <w:t>To clarify the examples.</w:t>
            </w:r>
          </w:p>
        </w:tc>
        <w:tc>
          <w:tcPr>
            <w:tcW w:w="1641" w:type="pct"/>
            <w:shd w:val="clear" w:color="auto" w:fill="auto"/>
          </w:tcPr>
          <w:p w:rsidR="00693745" w:rsidRDefault="00693745" w:rsidP="00C33940">
            <w:pPr>
              <w:pStyle w:val="TableText"/>
            </w:pPr>
            <w:r>
              <w:t>IV.ii.2.C.4.f-g</w:t>
            </w:r>
          </w:p>
        </w:tc>
      </w:tr>
      <w:tr w:rsidR="00815883" w:rsidTr="002F369E">
        <w:trPr>
          <w:trHeight w:val="180"/>
        </w:trPr>
        <w:tc>
          <w:tcPr>
            <w:tcW w:w="3359" w:type="pct"/>
            <w:shd w:val="clear" w:color="auto" w:fill="auto"/>
          </w:tcPr>
          <w:p w:rsidR="00815883" w:rsidRPr="00137E1F" w:rsidRDefault="00137E1F" w:rsidP="00693745">
            <w:pPr>
              <w:pStyle w:val="BulletText1"/>
              <w:numPr>
                <w:ilvl w:val="0"/>
                <w:numId w:val="0"/>
              </w:numPr>
            </w:pPr>
            <w:r>
              <w:t xml:space="preserve">To add information under a February 11, 1999, court order that a claim received from a </w:t>
            </w:r>
            <w:r>
              <w:rPr>
                <w:i/>
              </w:rPr>
              <w:t>Nehmer</w:t>
            </w:r>
            <w:r>
              <w:t xml:space="preserve"> class member for a covered disease does not have to specifically mention herbicide exposure or assert a condition resulted from herbicide exposure in order to qualify as a </w:t>
            </w:r>
            <w:r>
              <w:rPr>
                <w:i/>
              </w:rPr>
              <w:t>Nehmer</w:t>
            </w:r>
            <w:r>
              <w:t xml:space="preserve"> claim.</w:t>
            </w:r>
          </w:p>
        </w:tc>
        <w:tc>
          <w:tcPr>
            <w:tcW w:w="1641" w:type="pct"/>
            <w:shd w:val="clear" w:color="auto" w:fill="auto"/>
          </w:tcPr>
          <w:p w:rsidR="00815883" w:rsidRPr="00C24D50" w:rsidRDefault="00137E1F" w:rsidP="00E24BDA">
            <w:pPr>
              <w:pStyle w:val="TableText"/>
            </w:pPr>
            <w:r>
              <w:t>IV.ii.2.C.4.i</w:t>
            </w:r>
          </w:p>
        </w:tc>
      </w:tr>
      <w:tr w:rsidR="00815883" w:rsidTr="002F369E">
        <w:trPr>
          <w:trHeight w:val="180"/>
        </w:trPr>
        <w:tc>
          <w:tcPr>
            <w:tcW w:w="3359" w:type="pct"/>
            <w:shd w:val="clear" w:color="auto" w:fill="auto"/>
          </w:tcPr>
          <w:p w:rsidR="00084A5A" w:rsidRPr="00137E1F" w:rsidRDefault="00137E1F" w:rsidP="00693745">
            <w:r>
              <w:t>To add</w:t>
            </w:r>
            <w:r w:rsidR="007639C1">
              <w:t xml:space="preserve"> a new Block j with</w:t>
            </w:r>
            <w:r>
              <w:t xml:space="preserve"> </w:t>
            </w:r>
            <w:r w:rsidR="00693745">
              <w:t>guidance tha</w:t>
            </w:r>
            <w:r>
              <w:t xml:space="preserve">t there is no requirement </w:t>
            </w:r>
            <w:r w:rsidR="00693745">
              <w:t xml:space="preserve">that a </w:t>
            </w:r>
            <w:r w:rsidR="00693745" w:rsidRPr="00693745">
              <w:rPr>
                <w:i/>
              </w:rPr>
              <w:t>Nehmer</w:t>
            </w:r>
            <w:r w:rsidR="00693745">
              <w:t xml:space="preserve"> class member file a</w:t>
            </w:r>
            <w:r>
              <w:t xml:space="preserve"> new claim or claim for an earlier effective date in order for </w:t>
            </w:r>
            <w:r w:rsidRPr="00693745">
              <w:rPr>
                <w:i/>
              </w:rPr>
              <w:t>Nehmer</w:t>
            </w:r>
            <w:r>
              <w:t xml:space="preserve"> to apply when a new presumptive condition is added.</w:t>
            </w:r>
          </w:p>
        </w:tc>
        <w:tc>
          <w:tcPr>
            <w:tcW w:w="1641" w:type="pct"/>
            <w:shd w:val="clear" w:color="auto" w:fill="auto"/>
          </w:tcPr>
          <w:p w:rsidR="00815883" w:rsidRPr="00C24D50" w:rsidRDefault="00137E1F" w:rsidP="00F94D47">
            <w:pPr>
              <w:pStyle w:val="TableText"/>
            </w:pPr>
            <w:r>
              <w:t>IV.ii.2.C.4.j</w:t>
            </w:r>
          </w:p>
        </w:tc>
      </w:tr>
      <w:tr w:rsidR="00815883" w:rsidTr="002F369E">
        <w:trPr>
          <w:trHeight w:val="180"/>
        </w:trPr>
        <w:tc>
          <w:tcPr>
            <w:tcW w:w="3359" w:type="pct"/>
            <w:shd w:val="clear" w:color="auto" w:fill="auto"/>
          </w:tcPr>
          <w:p w:rsidR="007639C1" w:rsidRDefault="00DD50A2" w:rsidP="00DD50A2">
            <w:pPr>
              <w:pStyle w:val="BulletText1"/>
              <w:numPr>
                <w:ilvl w:val="0"/>
                <w:numId w:val="0"/>
              </w:numPr>
              <w:ind w:left="173" w:hanging="173"/>
            </w:pPr>
            <w:r>
              <w:t xml:space="preserve">To </w:t>
            </w:r>
            <w:r w:rsidR="00693745">
              <w:t>delete</w:t>
            </w:r>
            <w:r w:rsidR="007639C1">
              <w:t xml:space="preserve"> old Block k with</w:t>
            </w:r>
            <w:r>
              <w:t xml:space="preserve"> outdated information on </w:t>
            </w:r>
          </w:p>
          <w:p w:rsidR="00815883" w:rsidRDefault="00DD50A2" w:rsidP="007639C1">
            <w:pPr>
              <w:pStyle w:val="BulletText1"/>
              <w:numPr>
                <w:ilvl w:val="0"/>
                <w:numId w:val="0"/>
              </w:numPr>
              <w:ind w:left="173" w:hanging="173"/>
            </w:pPr>
            <w:proofErr w:type="gramStart"/>
            <w:r>
              <w:t>porphyria</w:t>
            </w:r>
            <w:proofErr w:type="gramEnd"/>
            <w:r>
              <w:t xml:space="preserve"> </w:t>
            </w:r>
            <w:proofErr w:type="spellStart"/>
            <w:r>
              <w:t>cutanea</w:t>
            </w:r>
            <w:proofErr w:type="spellEnd"/>
            <w:r>
              <w:t xml:space="preserve"> </w:t>
            </w:r>
            <w:proofErr w:type="spellStart"/>
            <w:r>
              <w:t>tarda</w:t>
            </w:r>
            <w:proofErr w:type="spellEnd"/>
            <w:r>
              <w:t>.</w:t>
            </w:r>
          </w:p>
        </w:tc>
        <w:tc>
          <w:tcPr>
            <w:tcW w:w="1641" w:type="pct"/>
            <w:shd w:val="clear" w:color="auto" w:fill="auto"/>
          </w:tcPr>
          <w:p w:rsidR="00815883" w:rsidRPr="00C24D50" w:rsidRDefault="00E845AB" w:rsidP="00E845AB">
            <w:pPr>
              <w:pStyle w:val="TableText"/>
            </w:pPr>
            <w:r>
              <w:t>--</w:t>
            </w:r>
          </w:p>
        </w:tc>
      </w:tr>
      <w:tr w:rsidR="00815883" w:rsidTr="002F369E">
        <w:trPr>
          <w:trHeight w:val="180"/>
        </w:trPr>
        <w:tc>
          <w:tcPr>
            <w:tcW w:w="3359" w:type="pct"/>
            <w:shd w:val="clear" w:color="auto" w:fill="auto"/>
          </w:tcPr>
          <w:p w:rsidR="00815883" w:rsidRPr="00DD50A2" w:rsidRDefault="00DD50A2" w:rsidP="00693745">
            <w:pPr>
              <w:pStyle w:val="BulletText1"/>
              <w:numPr>
                <w:ilvl w:val="0"/>
                <w:numId w:val="0"/>
              </w:numPr>
            </w:pPr>
            <w:r>
              <w:t xml:space="preserve">To </w:t>
            </w:r>
            <w:r w:rsidR="00693745">
              <w:t xml:space="preserve">delete </w:t>
            </w:r>
            <w:r w:rsidR="007639C1">
              <w:t>old Block</w:t>
            </w:r>
            <w:r w:rsidR="00693745">
              <w:t>s</w:t>
            </w:r>
            <w:r w:rsidR="007639C1">
              <w:t xml:space="preserve"> o</w:t>
            </w:r>
            <w:r w:rsidR="00693745">
              <w:t>-q</w:t>
            </w:r>
            <w:r>
              <w:t xml:space="preserve"> </w:t>
            </w:r>
            <w:r w:rsidR="00693745">
              <w:t>with guidance on</w:t>
            </w:r>
            <w:r>
              <w:t xml:space="preserve"> survivor</w:t>
            </w:r>
            <w:r w:rsidR="00693745">
              <w:t>s claims</w:t>
            </w:r>
            <w:r>
              <w:t xml:space="preserve"> </w:t>
            </w:r>
            <w:r w:rsidR="00693745">
              <w:t xml:space="preserve">and </w:t>
            </w:r>
            <w:proofErr w:type="gramStart"/>
            <w:r w:rsidR="00693745">
              <w:t>relocate</w:t>
            </w:r>
            <w:proofErr w:type="gramEnd"/>
            <w:r w:rsidR="00693745">
              <w:t xml:space="preserve"> the guidance to</w:t>
            </w:r>
            <w:r w:rsidR="006E4D0E">
              <w:t xml:space="preserve"> IV.ii.3.A</w:t>
            </w:r>
            <w:r>
              <w:t>.</w:t>
            </w:r>
          </w:p>
        </w:tc>
        <w:tc>
          <w:tcPr>
            <w:tcW w:w="1641" w:type="pct"/>
            <w:shd w:val="clear" w:color="auto" w:fill="auto"/>
          </w:tcPr>
          <w:p w:rsidR="00815883" w:rsidRPr="00C24D50" w:rsidRDefault="00E845AB" w:rsidP="00E845AB">
            <w:pPr>
              <w:pStyle w:val="TableText"/>
            </w:pPr>
            <w:r>
              <w:t>--</w:t>
            </w:r>
          </w:p>
        </w:tc>
      </w:tr>
      <w:tr w:rsidR="00CA7D37" w:rsidTr="002F369E">
        <w:trPr>
          <w:trHeight w:val="180"/>
        </w:trPr>
        <w:tc>
          <w:tcPr>
            <w:tcW w:w="3359" w:type="pct"/>
            <w:shd w:val="clear" w:color="auto" w:fill="auto"/>
          </w:tcPr>
          <w:p w:rsidR="00CA7D37" w:rsidRPr="00CA7D37" w:rsidRDefault="00CA7D37" w:rsidP="006E781B">
            <w:pPr>
              <w:pStyle w:val="BulletText1"/>
              <w:numPr>
                <w:ilvl w:val="0"/>
                <w:numId w:val="0"/>
              </w:numPr>
            </w:pPr>
            <w:r>
              <w:t>To add a new Block o to provide guidance on information to include in t</w:t>
            </w:r>
            <w:r w:rsidR="00772D4B">
              <w:t>he rating decision for any</w:t>
            </w:r>
            <w:r>
              <w:t xml:space="preserve"> </w:t>
            </w:r>
            <w:r>
              <w:rPr>
                <w:i/>
              </w:rPr>
              <w:t>Nehmer</w:t>
            </w:r>
            <w:r>
              <w:t xml:space="preserve"> rating.</w:t>
            </w:r>
          </w:p>
        </w:tc>
        <w:tc>
          <w:tcPr>
            <w:tcW w:w="1641" w:type="pct"/>
            <w:shd w:val="clear" w:color="auto" w:fill="auto"/>
          </w:tcPr>
          <w:p w:rsidR="00CA7D37" w:rsidRPr="00B116AC" w:rsidRDefault="00CA7D37" w:rsidP="00B73D34">
            <w:r w:rsidRPr="00B116AC">
              <w:t>IV.ii.2.C.4.o</w:t>
            </w:r>
          </w:p>
        </w:tc>
      </w:tr>
      <w:tr w:rsidR="00772D4B" w:rsidTr="002F369E">
        <w:trPr>
          <w:trHeight w:val="180"/>
        </w:trPr>
        <w:tc>
          <w:tcPr>
            <w:tcW w:w="3359" w:type="pct"/>
            <w:shd w:val="clear" w:color="auto" w:fill="auto"/>
          </w:tcPr>
          <w:p w:rsidR="00772D4B" w:rsidRPr="00772D4B" w:rsidRDefault="00772D4B" w:rsidP="006E781B">
            <w:pPr>
              <w:pStyle w:val="BulletText1"/>
              <w:numPr>
                <w:ilvl w:val="0"/>
                <w:numId w:val="0"/>
              </w:numPr>
            </w:pPr>
            <w:r>
              <w:t xml:space="preserve">To add a new Block p to provide guidance on information to include in the rating decision when awarding retroactive benefits under </w:t>
            </w:r>
            <w:r>
              <w:rPr>
                <w:i/>
              </w:rPr>
              <w:t>Nehmer</w:t>
            </w:r>
            <w:r>
              <w:t>.</w:t>
            </w:r>
          </w:p>
        </w:tc>
        <w:tc>
          <w:tcPr>
            <w:tcW w:w="1641" w:type="pct"/>
            <w:shd w:val="clear" w:color="auto" w:fill="auto"/>
          </w:tcPr>
          <w:p w:rsidR="00772D4B" w:rsidRPr="00B73D34" w:rsidRDefault="00772D4B" w:rsidP="00B73D34">
            <w:r w:rsidRPr="00B73D34">
              <w:t>IV.ii.2.C.4.p</w:t>
            </w:r>
          </w:p>
        </w:tc>
      </w:tr>
      <w:tr w:rsidR="00EC2E07" w:rsidTr="002F369E">
        <w:trPr>
          <w:trHeight w:val="180"/>
        </w:trPr>
        <w:tc>
          <w:tcPr>
            <w:tcW w:w="3359" w:type="pct"/>
            <w:shd w:val="clear" w:color="auto" w:fill="auto"/>
          </w:tcPr>
          <w:p w:rsidR="00EC2E07" w:rsidRDefault="00772D4B" w:rsidP="006E781B">
            <w:pPr>
              <w:pStyle w:val="BulletText1"/>
              <w:numPr>
                <w:ilvl w:val="0"/>
                <w:numId w:val="0"/>
              </w:numPr>
            </w:pPr>
            <w:r>
              <w:t>To add a new Block q</w:t>
            </w:r>
            <w:r w:rsidR="00EC2E07">
              <w:t xml:space="preserve"> to provide guidance to consider entitlement to a rating for total disability based on individual </w:t>
            </w:r>
            <w:proofErr w:type="spellStart"/>
            <w:r w:rsidR="00EC2E07">
              <w:t>unemployability</w:t>
            </w:r>
            <w:proofErr w:type="spellEnd"/>
            <w:r w:rsidR="00EC2E07">
              <w:t xml:space="preserve"> (TDIU) in claims in which </w:t>
            </w:r>
            <w:r w:rsidR="006E781B">
              <w:t>Veterans P</w:t>
            </w:r>
            <w:r w:rsidR="00EC2E07">
              <w:t>ension was previously awarded.</w:t>
            </w:r>
          </w:p>
        </w:tc>
        <w:tc>
          <w:tcPr>
            <w:tcW w:w="1641" w:type="pct"/>
            <w:shd w:val="clear" w:color="auto" w:fill="auto"/>
          </w:tcPr>
          <w:p w:rsidR="00EC2E07" w:rsidRPr="00B73D34" w:rsidRDefault="00772D4B" w:rsidP="00B73D34">
            <w:r w:rsidRPr="00B73D34">
              <w:t>IV.ii.2.C.4.q</w:t>
            </w:r>
          </w:p>
        </w:tc>
      </w:tr>
      <w:tr w:rsidR="0097066E" w:rsidTr="002F369E">
        <w:trPr>
          <w:trHeight w:val="180"/>
        </w:trPr>
        <w:tc>
          <w:tcPr>
            <w:tcW w:w="3359" w:type="pct"/>
            <w:shd w:val="clear" w:color="auto" w:fill="auto"/>
          </w:tcPr>
          <w:p w:rsidR="0097066E" w:rsidRPr="0097066E" w:rsidRDefault="0097066E" w:rsidP="006E781B">
            <w:pPr>
              <w:pStyle w:val="BulletText1"/>
              <w:numPr>
                <w:ilvl w:val="0"/>
                <w:numId w:val="0"/>
              </w:numPr>
            </w:pPr>
            <w:r>
              <w:t xml:space="preserve">To add a new Block r to provide information on the second signature requirement for </w:t>
            </w:r>
            <w:r>
              <w:rPr>
                <w:i/>
              </w:rPr>
              <w:t>Nehmer</w:t>
            </w:r>
            <w:r>
              <w:t xml:space="preserve"> rating decisions.</w:t>
            </w:r>
          </w:p>
        </w:tc>
        <w:tc>
          <w:tcPr>
            <w:tcW w:w="1641" w:type="pct"/>
            <w:shd w:val="clear" w:color="auto" w:fill="auto"/>
          </w:tcPr>
          <w:p w:rsidR="0097066E" w:rsidRPr="00B73D34" w:rsidRDefault="0097066E" w:rsidP="00F94D47">
            <w:pPr>
              <w:pStyle w:val="TableText"/>
            </w:pPr>
            <w:r w:rsidRPr="00B73D34">
              <w:t>IV.ii.2.C.4.r</w:t>
            </w:r>
          </w:p>
        </w:tc>
      </w:tr>
      <w:tr w:rsidR="006E781B" w:rsidTr="002F369E">
        <w:trPr>
          <w:trHeight w:val="180"/>
        </w:trPr>
        <w:tc>
          <w:tcPr>
            <w:tcW w:w="3359" w:type="pct"/>
            <w:shd w:val="clear" w:color="auto" w:fill="auto"/>
          </w:tcPr>
          <w:p w:rsidR="006E781B" w:rsidRDefault="006E781B" w:rsidP="006E781B">
            <w:pPr>
              <w:pStyle w:val="BulletText1"/>
              <w:numPr>
                <w:ilvl w:val="0"/>
                <w:numId w:val="0"/>
              </w:numPr>
            </w:pPr>
            <w:r>
              <w:t>To remove reference to Training Letters 10-03 and 11-03 as the relevant content of these letters has been incorporated into the manual.</w:t>
            </w:r>
          </w:p>
        </w:tc>
        <w:tc>
          <w:tcPr>
            <w:tcW w:w="1641" w:type="pct"/>
            <w:shd w:val="clear" w:color="auto" w:fill="auto"/>
          </w:tcPr>
          <w:p w:rsidR="006E781B" w:rsidRPr="00B73D34" w:rsidRDefault="006E781B" w:rsidP="00F94D47">
            <w:pPr>
              <w:pStyle w:val="TableText"/>
            </w:pPr>
            <w:r w:rsidRPr="00B73D34">
              <w:t>IV.ii.2.C.5.a</w:t>
            </w:r>
          </w:p>
        </w:tc>
      </w:tr>
      <w:tr w:rsidR="008A0844" w:rsidTr="002F369E">
        <w:trPr>
          <w:trHeight w:val="180"/>
        </w:trPr>
        <w:tc>
          <w:tcPr>
            <w:tcW w:w="3359" w:type="pct"/>
            <w:shd w:val="clear" w:color="auto" w:fill="auto"/>
          </w:tcPr>
          <w:p w:rsidR="008A0844" w:rsidRDefault="008A0844" w:rsidP="006E781B">
            <w:pPr>
              <w:pStyle w:val="BulletText1"/>
              <w:numPr>
                <w:ilvl w:val="0"/>
                <w:numId w:val="0"/>
              </w:numPr>
            </w:pPr>
            <w:r>
              <w:t xml:space="preserve">To </w:t>
            </w:r>
            <w:r w:rsidR="006E781B">
              <w:t>delete</w:t>
            </w:r>
            <w:r w:rsidR="007639C1">
              <w:t xml:space="preserve"> old Block b</w:t>
            </w:r>
            <w:r>
              <w:t xml:space="preserve"> on using Department of Defense records to verify exposure to environmental hazards </w:t>
            </w:r>
            <w:r w:rsidR="006E781B">
              <w:t>and relocate the guidance to</w:t>
            </w:r>
            <w:r w:rsidR="006E4D0E">
              <w:t xml:space="preserve"> IV.ii.3.A</w:t>
            </w:r>
            <w:r>
              <w:t>.</w:t>
            </w:r>
          </w:p>
        </w:tc>
        <w:tc>
          <w:tcPr>
            <w:tcW w:w="1641" w:type="pct"/>
            <w:shd w:val="clear" w:color="auto" w:fill="auto"/>
          </w:tcPr>
          <w:p w:rsidR="008A0844" w:rsidRDefault="006E781B" w:rsidP="006E781B">
            <w:pPr>
              <w:pStyle w:val="TableText"/>
              <w:jc w:val="center"/>
            </w:pPr>
            <w:r>
              <w:t>---</w:t>
            </w:r>
          </w:p>
        </w:tc>
      </w:tr>
      <w:tr w:rsidR="00DD50A2" w:rsidTr="002F369E">
        <w:trPr>
          <w:trHeight w:val="180"/>
        </w:trPr>
        <w:tc>
          <w:tcPr>
            <w:tcW w:w="3359" w:type="pct"/>
            <w:shd w:val="clear" w:color="auto" w:fill="auto"/>
          </w:tcPr>
          <w:p w:rsidR="00DD50A2" w:rsidRDefault="00DD50A2" w:rsidP="006E781B">
            <w:pPr>
              <w:pStyle w:val="BulletText1"/>
              <w:numPr>
                <w:ilvl w:val="0"/>
                <w:numId w:val="0"/>
              </w:numPr>
            </w:pPr>
            <w:r>
              <w:t>To add</w:t>
            </w:r>
            <w:r w:rsidR="007639C1">
              <w:t xml:space="preserve"> a new Block b with</w:t>
            </w:r>
            <w:r>
              <w:t xml:space="preserve"> examples of burned waste </w:t>
            </w:r>
            <w:r>
              <w:lastRenderedPageBreak/>
              <w:t>products.</w:t>
            </w:r>
          </w:p>
        </w:tc>
        <w:tc>
          <w:tcPr>
            <w:tcW w:w="1641" w:type="pct"/>
            <w:shd w:val="clear" w:color="auto" w:fill="auto"/>
          </w:tcPr>
          <w:p w:rsidR="00DD50A2" w:rsidRDefault="00DD50A2" w:rsidP="00F94D47">
            <w:pPr>
              <w:pStyle w:val="TableText"/>
            </w:pPr>
            <w:r>
              <w:lastRenderedPageBreak/>
              <w:t>IV.ii.2.C.5.b</w:t>
            </w:r>
          </w:p>
        </w:tc>
      </w:tr>
      <w:tr w:rsidR="00DD50A2" w:rsidTr="002F369E">
        <w:trPr>
          <w:trHeight w:val="180"/>
        </w:trPr>
        <w:tc>
          <w:tcPr>
            <w:tcW w:w="3359" w:type="pct"/>
            <w:shd w:val="clear" w:color="auto" w:fill="auto"/>
          </w:tcPr>
          <w:p w:rsidR="00DD50A2" w:rsidRDefault="00DD50A2" w:rsidP="006E781B">
            <w:pPr>
              <w:pStyle w:val="BulletText1"/>
              <w:numPr>
                <w:ilvl w:val="0"/>
                <w:numId w:val="0"/>
              </w:numPr>
            </w:pPr>
            <w:r>
              <w:lastRenderedPageBreak/>
              <w:t>To add</w:t>
            </w:r>
            <w:r w:rsidR="007639C1">
              <w:t xml:space="preserve"> a new Block c with</w:t>
            </w:r>
            <w:r>
              <w:t xml:space="preserve"> information on bases throughout Iraq, Afghanistan, and Djibouti on the Horn of Africa that utilize burn pits.</w:t>
            </w:r>
          </w:p>
        </w:tc>
        <w:tc>
          <w:tcPr>
            <w:tcW w:w="1641" w:type="pct"/>
            <w:shd w:val="clear" w:color="auto" w:fill="auto"/>
          </w:tcPr>
          <w:p w:rsidR="00DD50A2" w:rsidRDefault="00DD50A2" w:rsidP="00F94D47">
            <w:pPr>
              <w:pStyle w:val="TableText"/>
            </w:pPr>
            <w:r>
              <w:t>IV.ii.2.C.5.c</w:t>
            </w:r>
          </w:p>
        </w:tc>
      </w:tr>
      <w:tr w:rsidR="00DD50A2" w:rsidTr="002F369E">
        <w:trPr>
          <w:trHeight w:val="180"/>
        </w:trPr>
        <w:tc>
          <w:tcPr>
            <w:tcW w:w="3359" w:type="pct"/>
            <w:shd w:val="clear" w:color="auto" w:fill="auto"/>
          </w:tcPr>
          <w:p w:rsidR="00DD50A2" w:rsidRDefault="00DD50A2" w:rsidP="006E781B">
            <w:pPr>
              <w:pStyle w:val="BulletText1"/>
              <w:numPr>
                <w:ilvl w:val="0"/>
                <w:numId w:val="0"/>
              </w:numPr>
            </w:pPr>
            <w:r>
              <w:t>To add a</w:t>
            </w:r>
            <w:r w:rsidR="007639C1">
              <w:t xml:space="preserve"> new Block d with</w:t>
            </w:r>
            <w:r>
              <w:t xml:space="preserve"> definition of particulate matter.</w:t>
            </w:r>
          </w:p>
        </w:tc>
        <w:tc>
          <w:tcPr>
            <w:tcW w:w="1641" w:type="pct"/>
            <w:shd w:val="clear" w:color="auto" w:fill="auto"/>
          </w:tcPr>
          <w:p w:rsidR="00DD50A2" w:rsidRDefault="00DD50A2" w:rsidP="00F94D47">
            <w:pPr>
              <w:pStyle w:val="TableText"/>
            </w:pPr>
            <w:r>
              <w:t>IV.ii.2.C.5.d</w:t>
            </w:r>
          </w:p>
        </w:tc>
      </w:tr>
      <w:tr w:rsidR="00DD50A2" w:rsidTr="002F369E">
        <w:trPr>
          <w:trHeight w:val="180"/>
        </w:trPr>
        <w:tc>
          <w:tcPr>
            <w:tcW w:w="3359" w:type="pct"/>
            <w:shd w:val="clear" w:color="auto" w:fill="auto"/>
          </w:tcPr>
          <w:p w:rsidR="00DD50A2" w:rsidRDefault="00DD50A2" w:rsidP="006E781B">
            <w:pPr>
              <w:pStyle w:val="BulletText1"/>
              <w:numPr>
                <w:ilvl w:val="0"/>
                <w:numId w:val="0"/>
              </w:numPr>
            </w:pPr>
            <w:r>
              <w:t>To add a</w:t>
            </w:r>
            <w:r w:rsidR="007639C1">
              <w:t xml:space="preserve"> new Block e with</w:t>
            </w:r>
            <w:r>
              <w:t xml:space="preserve"> description of the sulfur fire at </w:t>
            </w:r>
            <w:proofErr w:type="spellStart"/>
            <w:r>
              <w:t>Mishraq</w:t>
            </w:r>
            <w:proofErr w:type="spellEnd"/>
            <w:r>
              <w:t xml:space="preserve"> State Sulfur Mine near Mosul, Iraq.</w:t>
            </w:r>
          </w:p>
        </w:tc>
        <w:tc>
          <w:tcPr>
            <w:tcW w:w="1641" w:type="pct"/>
            <w:shd w:val="clear" w:color="auto" w:fill="auto"/>
          </w:tcPr>
          <w:p w:rsidR="00DD50A2" w:rsidRDefault="00DD50A2" w:rsidP="00F94D47">
            <w:pPr>
              <w:pStyle w:val="TableText"/>
            </w:pPr>
            <w:r>
              <w:t>IV.ii.2.C.5.e</w:t>
            </w:r>
          </w:p>
        </w:tc>
      </w:tr>
      <w:tr w:rsidR="00DD50A2" w:rsidTr="002F369E">
        <w:trPr>
          <w:trHeight w:val="180"/>
        </w:trPr>
        <w:tc>
          <w:tcPr>
            <w:tcW w:w="3359" w:type="pct"/>
            <w:shd w:val="clear" w:color="auto" w:fill="auto"/>
          </w:tcPr>
          <w:p w:rsidR="00DD50A2" w:rsidRDefault="00DD50A2" w:rsidP="006E781B">
            <w:pPr>
              <w:pStyle w:val="BulletText1"/>
              <w:numPr>
                <w:ilvl w:val="0"/>
                <w:numId w:val="0"/>
              </w:numPr>
            </w:pPr>
            <w:r>
              <w:t>To add</w:t>
            </w:r>
            <w:r w:rsidR="007639C1">
              <w:t xml:space="preserve"> a new Block f with</w:t>
            </w:r>
            <w:r>
              <w:t xml:space="preserve"> guidance on recognizing constrictive bronchiolitis in the 101</w:t>
            </w:r>
            <w:r w:rsidRPr="00DD50A2">
              <w:rPr>
                <w:vertAlign w:val="superscript"/>
              </w:rPr>
              <w:t>st</w:t>
            </w:r>
            <w:r>
              <w:t xml:space="preserve"> Airborne Division as related to the </w:t>
            </w:r>
            <w:proofErr w:type="spellStart"/>
            <w:r>
              <w:t>Mishraq</w:t>
            </w:r>
            <w:proofErr w:type="spellEnd"/>
            <w:r>
              <w:t xml:space="preserve"> State Sulfur Mine Fire.</w:t>
            </w:r>
          </w:p>
        </w:tc>
        <w:tc>
          <w:tcPr>
            <w:tcW w:w="1641" w:type="pct"/>
            <w:shd w:val="clear" w:color="auto" w:fill="auto"/>
          </w:tcPr>
          <w:p w:rsidR="00DD50A2" w:rsidRDefault="00DD50A2" w:rsidP="00F94D47">
            <w:pPr>
              <w:pStyle w:val="TableText"/>
            </w:pPr>
            <w:r>
              <w:t>IV.ii.2.C.5.f</w:t>
            </w:r>
          </w:p>
        </w:tc>
      </w:tr>
      <w:tr w:rsidR="00DD50A2" w:rsidTr="002F369E">
        <w:trPr>
          <w:trHeight w:val="180"/>
        </w:trPr>
        <w:tc>
          <w:tcPr>
            <w:tcW w:w="3359" w:type="pct"/>
            <w:shd w:val="clear" w:color="auto" w:fill="auto"/>
          </w:tcPr>
          <w:p w:rsidR="00DD50A2" w:rsidRDefault="00DD50A2" w:rsidP="006E781B">
            <w:pPr>
              <w:pStyle w:val="BulletText1"/>
              <w:numPr>
                <w:ilvl w:val="0"/>
                <w:numId w:val="0"/>
              </w:numPr>
            </w:pPr>
            <w:r>
              <w:t>To add</w:t>
            </w:r>
            <w:r w:rsidR="007639C1">
              <w:t xml:space="preserve"> a new Block g with</w:t>
            </w:r>
            <w:r>
              <w:t xml:space="preserve"> information on findings common in constrictive bronchiolitis.</w:t>
            </w:r>
          </w:p>
        </w:tc>
        <w:tc>
          <w:tcPr>
            <w:tcW w:w="1641" w:type="pct"/>
            <w:shd w:val="clear" w:color="auto" w:fill="auto"/>
          </w:tcPr>
          <w:p w:rsidR="00DD50A2" w:rsidRDefault="00DD50A2" w:rsidP="00F94D47">
            <w:pPr>
              <w:pStyle w:val="TableText"/>
            </w:pPr>
            <w:r>
              <w:t>IV.ii.2.C.5.g</w:t>
            </w:r>
          </w:p>
        </w:tc>
      </w:tr>
      <w:tr w:rsidR="00DD50A2" w:rsidTr="002F369E">
        <w:trPr>
          <w:trHeight w:val="180"/>
        </w:trPr>
        <w:tc>
          <w:tcPr>
            <w:tcW w:w="3359" w:type="pct"/>
            <w:shd w:val="clear" w:color="auto" w:fill="auto"/>
          </w:tcPr>
          <w:p w:rsidR="00DD50A2" w:rsidRDefault="00DD50A2" w:rsidP="006E781B">
            <w:pPr>
              <w:pStyle w:val="BulletText1"/>
              <w:numPr>
                <w:ilvl w:val="0"/>
                <w:numId w:val="0"/>
              </w:numPr>
            </w:pPr>
            <w:r>
              <w:t>To add</w:t>
            </w:r>
            <w:r w:rsidR="007639C1">
              <w:t xml:space="preserve"> a new Block h with</w:t>
            </w:r>
            <w:r>
              <w:t xml:space="preserve"> guidance</w:t>
            </w:r>
            <w:r w:rsidR="006E4D0E">
              <w:t xml:space="preserve"> on rating constrictive bronchiolitis</w:t>
            </w:r>
            <w:r>
              <w:t xml:space="preserve"> to</w:t>
            </w:r>
            <w:r w:rsidR="006E4D0E">
              <w:t xml:space="preserve"> include utilizing</w:t>
            </w:r>
            <w:r>
              <w:t xml:space="preserve"> an appropriate diagnostic code and consider</w:t>
            </w:r>
            <w:r w:rsidR="006E4D0E">
              <w:t>ing</w:t>
            </w:r>
            <w:r>
              <w:t xml:space="preserve"> extra-</w:t>
            </w:r>
            <w:proofErr w:type="spellStart"/>
            <w:r>
              <w:t>schedular</w:t>
            </w:r>
            <w:proofErr w:type="spellEnd"/>
            <w:r>
              <w:t xml:space="preserve"> evalu</w:t>
            </w:r>
            <w:r w:rsidR="006E4D0E">
              <w:t>ations</w:t>
            </w:r>
            <w:r>
              <w:t>.</w:t>
            </w:r>
          </w:p>
        </w:tc>
        <w:tc>
          <w:tcPr>
            <w:tcW w:w="1641" w:type="pct"/>
            <w:shd w:val="clear" w:color="auto" w:fill="auto"/>
          </w:tcPr>
          <w:p w:rsidR="00DD50A2" w:rsidRDefault="00DD50A2" w:rsidP="00F94D47">
            <w:pPr>
              <w:pStyle w:val="TableText"/>
            </w:pPr>
            <w:r>
              <w:t>IV.ii.2.C.5.h</w:t>
            </w:r>
          </w:p>
        </w:tc>
      </w:tr>
      <w:tr w:rsidR="00DD50A2" w:rsidTr="002F369E">
        <w:trPr>
          <w:trHeight w:val="180"/>
        </w:trPr>
        <w:tc>
          <w:tcPr>
            <w:tcW w:w="3359" w:type="pct"/>
            <w:shd w:val="clear" w:color="auto" w:fill="auto"/>
          </w:tcPr>
          <w:p w:rsidR="00DD50A2" w:rsidRDefault="00DD50A2" w:rsidP="006E781B">
            <w:pPr>
              <w:pStyle w:val="BulletText1"/>
              <w:numPr>
                <w:ilvl w:val="0"/>
                <w:numId w:val="0"/>
              </w:numPr>
            </w:pPr>
            <w:r>
              <w:t>To add</w:t>
            </w:r>
            <w:r w:rsidR="007639C1">
              <w:t xml:space="preserve"> a new Block </w:t>
            </w:r>
            <w:proofErr w:type="spellStart"/>
            <w:r w:rsidR="006E781B">
              <w:t>i</w:t>
            </w:r>
            <w:proofErr w:type="spellEnd"/>
            <w:r w:rsidR="007639C1">
              <w:t xml:space="preserve"> with</w:t>
            </w:r>
            <w:r>
              <w:t xml:space="preserve"> information on National Guard exposure to </w:t>
            </w:r>
            <w:r w:rsidR="007639C1">
              <w:t>C</w:t>
            </w:r>
            <w:r>
              <w:t xml:space="preserve">hromium VI at </w:t>
            </w:r>
            <w:proofErr w:type="spellStart"/>
            <w:r>
              <w:t>Qarmat</w:t>
            </w:r>
            <w:proofErr w:type="spellEnd"/>
            <w:r>
              <w:t xml:space="preserve"> Ali Water Treatment Plant in </w:t>
            </w:r>
            <w:proofErr w:type="spellStart"/>
            <w:r>
              <w:t>Basrah</w:t>
            </w:r>
            <w:proofErr w:type="spellEnd"/>
            <w:r>
              <w:t>, Iraq.</w:t>
            </w:r>
          </w:p>
        </w:tc>
        <w:tc>
          <w:tcPr>
            <w:tcW w:w="1641" w:type="pct"/>
            <w:shd w:val="clear" w:color="auto" w:fill="auto"/>
          </w:tcPr>
          <w:p w:rsidR="00DD50A2" w:rsidRDefault="00DD50A2" w:rsidP="00F94D47">
            <w:pPr>
              <w:pStyle w:val="TableText"/>
            </w:pPr>
            <w:r>
              <w:t>IV.ii.2.C.5.i</w:t>
            </w:r>
          </w:p>
        </w:tc>
      </w:tr>
      <w:tr w:rsidR="00DD50A2" w:rsidTr="002F369E">
        <w:trPr>
          <w:trHeight w:val="180"/>
        </w:trPr>
        <w:tc>
          <w:tcPr>
            <w:tcW w:w="3359" w:type="pct"/>
            <w:shd w:val="clear" w:color="auto" w:fill="auto"/>
          </w:tcPr>
          <w:p w:rsidR="00DD50A2" w:rsidRDefault="00DD50A2" w:rsidP="006E781B">
            <w:pPr>
              <w:pStyle w:val="BulletText1"/>
              <w:numPr>
                <w:ilvl w:val="0"/>
                <w:numId w:val="0"/>
              </w:numPr>
            </w:pPr>
            <w:r>
              <w:t>To add</w:t>
            </w:r>
            <w:r w:rsidR="007639C1">
              <w:t xml:space="preserve"> a new Block j with</w:t>
            </w:r>
            <w:r>
              <w:t xml:space="preserve"> details on contaminated drinking water on the Marine Corps. Base at Camp Lejeune, North Carolina.</w:t>
            </w:r>
          </w:p>
        </w:tc>
        <w:tc>
          <w:tcPr>
            <w:tcW w:w="1641" w:type="pct"/>
            <w:shd w:val="clear" w:color="auto" w:fill="auto"/>
          </w:tcPr>
          <w:p w:rsidR="00DD50A2" w:rsidRDefault="00DD50A2" w:rsidP="00F94D47">
            <w:pPr>
              <w:pStyle w:val="TableText"/>
            </w:pPr>
            <w:r>
              <w:t>IV.ii.2.C.5.j</w:t>
            </w:r>
          </w:p>
        </w:tc>
      </w:tr>
      <w:tr w:rsidR="00DD50A2" w:rsidTr="002F369E">
        <w:trPr>
          <w:trHeight w:val="180"/>
        </w:trPr>
        <w:tc>
          <w:tcPr>
            <w:tcW w:w="3359" w:type="pct"/>
            <w:shd w:val="clear" w:color="auto" w:fill="auto"/>
          </w:tcPr>
          <w:p w:rsidR="00DD50A2" w:rsidRDefault="00DD50A2" w:rsidP="006E781B">
            <w:pPr>
              <w:pStyle w:val="BulletText1"/>
              <w:numPr>
                <w:ilvl w:val="0"/>
                <w:numId w:val="0"/>
              </w:numPr>
            </w:pPr>
            <w:r>
              <w:t>To add</w:t>
            </w:r>
            <w:r w:rsidR="007639C1">
              <w:t xml:space="preserve"> a new Block k with</w:t>
            </w:r>
            <w:r>
              <w:t xml:space="preserve"> details on pollutants from a waste incinerator near a Naval air facility in Atsugi, Japan.</w:t>
            </w:r>
          </w:p>
        </w:tc>
        <w:tc>
          <w:tcPr>
            <w:tcW w:w="1641" w:type="pct"/>
            <w:shd w:val="clear" w:color="auto" w:fill="auto"/>
          </w:tcPr>
          <w:p w:rsidR="00DD50A2" w:rsidRDefault="00DD50A2" w:rsidP="00F94D47">
            <w:pPr>
              <w:pStyle w:val="TableText"/>
            </w:pPr>
            <w:r>
              <w:t>IV.ii.2.C.5.k</w:t>
            </w:r>
          </w:p>
        </w:tc>
      </w:tr>
      <w:tr w:rsidR="00DD50A2" w:rsidTr="002F369E">
        <w:trPr>
          <w:trHeight w:val="180"/>
        </w:trPr>
        <w:tc>
          <w:tcPr>
            <w:tcW w:w="3359" w:type="pct"/>
            <w:shd w:val="clear" w:color="auto" w:fill="auto"/>
          </w:tcPr>
          <w:p w:rsidR="00DD50A2" w:rsidRDefault="007639C1" w:rsidP="006E781B">
            <w:pPr>
              <w:pStyle w:val="BulletText1"/>
              <w:numPr>
                <w:ilvl w:val="0"/>
                <w:numId w:val="0"/>
              </w:numPr>
            </w:pPr>
            <w:r>
              <w:t>To provide</w:t>
            </w:r>
            <w:r w:rsidR="008A0844">
              <w:t xml:space="preserve"> guidance to thoroughly review military personnel records and service treatment records for evidence corroborating the Veteran’s statement of exposure.</w:t>
            </w:r>
          </w:p>
        </w:tc>
        <w:tc>
          <w:tcPr>
            <w:tcW w:w="1641" w:type="pct"/>
            <w:shd w:val="clear" w:color="auto" w:fill="auto"/>
          </w:tcPr>
          <w:p w:rsidR="00DD50A2" w:rsidRDefault="008A0844" w:rsidP="00F94D47">
            <w:pPr>
              <w:pStyle w:val="TableText"/>
            </w:pPr>
            <w:r>
              <w:t>IV.ii.2.C.5.l</w:t>
            </w:r>
          </w:p>
        </w:tc>
      </w:tr>
      <w:tr w:rsidR="00DD50A2" w:rsidTr="002F369E">
        <w:trPr>
          <w:trHeight w:val="180"/>
        </w:trPr>
        <w:tc>
          <w:tcPr>
            <w:tcW w:w="3359" w:type="pct"/>
            <w:shd w:val="clear" w:color="auto" w:fill="auto"/>
          </w:tcPr>
          <w:p w:rsidR="00DD50A2" w:rsidRDefault="008A0844" w:rsidP="006E781B">
            <w:pPr>
              <w:pStyle w:val="BulletText1"/>
              <w:numPr>
                <w:ilvl w:val="0"/>
                <w:numId w:val="0"/>
              </w:numPr>
            </w:pPr>
            <w:r>
              <w:t>To add</w:t>
            </w:r>
            <w:r w:rsidR="007639C1">
              <w:t xml:space="preserve"> a new Block m with</w:t>
            </w:r>
            <w:r>
              <w:t xml:space="preserve"> information on considering lay statements in verifying exposure to environmental hazards with example.</w:t>
            </w:r>
          </w:p>
        </w:tc>
        <w:tc>
          <w:tcPr>
            <w:tcW w:w="1641" w:type="pct"/>
            <w:shd w:val="clear" w:color="auto" w:fill="auto"/>
          </w:tcPr>
          <w:p w:rsidR="00DD50A2" w:rsidRDefault="008A0844" w:rsidP="00F94D47">
            <w:pPr>
              <w:pStyle w:val="TableText"/>
            </w:pPr>
            <w:r>
              <w:t>IV.ii.2.C.5.m</w:t>
            </w:r>
          </w:p>
        </w:tc>
      </w:tr>
      <w:tr w:rsidR="00DD50A2" w:rsidTr="002F369E">
        <w:trPr>
          <w:trHeight w:val="180"/>
        </w:trPr>
        <w:tc>
          <w:tcPr>
            <w:tcW w:w="3359" w:type="pct"/>
            <w:shd w:val="clear" w:color="auto" w:fill="auto"/>
          </w:tcPr>
          <w:p w:rsidR="006E4D0E" w:rsidRDefault="007639C1" w:rsidP="006E781B">
            <w:r>
              <w:t xml:space="preserve">To </w:t>
            </w:r>
            <w:r w:rsidR="006E781B">
              <w:t xml:space="preserve">delete guidance on what to include in the VA examination and/or medical opinion request and </w:t>
            </w:r>
            <w:r>
              <w:t>provide</w:t>
            </w:r>
            <w:r w:rsidR="00EA091C">
              <w:t xml:space="preserve"> a cross-reference to</w:t>
            </w:r>
            <w:r w:rsidR="006E781B">
              <w:t xml:space="preserve"> the location of the guidance in</w:t>
            </w:r>
            <w:r w:rsidR="00EA091C">
              <w:t xml:space="preserve"> </w:t>
            </w:r>
            <w:r w:rsidR="006E781B">
              <w:t>IV.ii.1.I.</w:t>
            </w:r>
            <w:r w:rsidR="00EA091C">
              <w:t xml:space="preserve"> </w:t>
            </w:r>
          </w:p>
        </w:tc>
        <w:tc>
          <w:tcPr>
            <w:tcW w:w="1641" w:type="pct"/>
            <w:shd w:val="clear" w:color="auto" w:fill="auto"/>
          </w:tcPr>
          <w:p w:rsidR="00DD50A2" w:rsidRDefault="008A0844" w:rsidP="00F94D47">
            <w:pPr>
              <w:pStyle w:val="TableText"/>
            </w:pPr>
            <w:r>
              <w:t>IV.ii.2.C.5.n</w:t>
            </w:r>
          </w:p>
        </w:tc>
      </w:tr>
      <w:tr w:rsidR="00DD50A2" w:rsidTr="002F369E">
        <w:trPr>
          <w:trHeight w:val="180"/>
        </w:trPr>
        <w:tc>
          <w:tcPr>
            <w:tcW w:w="3359" w:type="pct"/>
            <w:shd w:val="clear" w:color="auto" w:fill="auto"/>
          </w:tcPr>
          <w:p w:rsidR="00DD50A2" w:rsidRDefault="007639C1" w:rsidP="006E781B">
            <w:pPr>
              <w:pStyle w:val="BulletText1"/>
              <w:numPr>
                <w:ilvl w:val="0"/>
                <w:numId w:val="0"/>
              </w:numPr>
            </w:pPr>
            <w:r>
              <w:t>To provide</w:t>
            </w:r>
            <w:r w:rsidR="008A0844">
              <w:t xml:space="preserve"> information that many Veterans may not associate illnesses with burn pit exposure or be aware of which toxins were released and emphasize that a decision maker should actively review the claim whenever exposure issues are reasonably raised.</w:t>
            </w:r>
          </w:p>
        </w:tc>
        <w:tc>
          <w:tcPr>
            <w:tcW w:w="1641" w:type="pct"/>
            <w:shd w:val="clear" w:color="auto" w:fill="auto"/>
          </w:tcPr>
          <w:p w:rsidR="00DD50A2" w:rsidRDefault="008A0844" w:rsidP="00F94D47">
            <w:pPr>
              <w:pStyle w:val="TableText"/>
            </w:pPr>
            <w:r>
              <w:t>IV.ii.2.C.5.o</w:t>
            </w:r>
          </w:p>
        </w:tc>
      </w:tr>
      <w:tr w:rsidR="00DD50A2" w:rsidTr="002F369E">
        <w:trPr>
          <w:trHeight w:val="180"/>
        </w:trPr>
        <w:tc>
          <w:tcPr>
            <w:tcW w:w="3359" w:type="pct"/>
            <w:shd w:val="clear" w:color="auto" w:fill="auto"/>
          </w:tcPr>
          <w:p w:rsidR="00DD50A2" w:rsidRDefault="005E4AB1" w:rsidP="006E781B">
            <w:pPr>
              <w:pStyle w:val="ListParagraph"/>
              <w:numPr>
                <w:ilvl w:val="0"/>
                <w:numId w:val="49"/>
              </w:numPr>
              <w:ind w:left="158" w:hanging="187"/>
            </w:pPr>
            <w:r>
              <w:t>To provide information</w:t>
            </w:r>
            <w:r w:rsidR="008A0844">
              <w:t xml:space="preserve"> that there are currently no presumptive diseases attributed to service at Camp Lejeune by statute, regulation, or VA policy.</w:t>
            </w:r>
          </w:p>
          <w:p w:rsidR="006E781B" w:rsidRDefault="006E781B" w:rsidP="006E781B">
            <w:pPr>
              <w:pStyle w:val="ListParagraph"/>
              <w:numPr>
                <w:ilvl w:val="0"/>
                <w:numId w:val="49"/>
              </w:numPr>
              <w:ind w:left="158" w:hanging="187"/>
            </w:pPr>
            <w:r>
              <w:t>To add a cross-reference to additional guidance on claim for Camp Lejeune.</w:t>
            </w:r>
          </w:p>
        </w:tc>
        <w:tc>
          <w:tcPr>
            <w:tcW w:w="1641" w:type="pct"/>
            <w:shd w:val="clear" w:color="auto" w:fill="auto"/>
          </w:tcPr>
          <w:p w:rsidR="00DD50A2" w:rsidRDefault="008A0844" w:rsidP="00F94D47">
            <w:pPr>
              <w:pStyle w:val="TableText"/>
            </w:pPr>
            <w:r>
              <w:t>IV.ii.2.C.5.p</w:t>
            </w:r>
          </w:p>
        </w:tc>
      </w:tr>
      <w:tr w:rsidR="0061636B" w:rsidTr="002F369E">
        <w:trPr>
          <w:trHeight w:val="180"/>
        </w:trPr>
        <w:tc>
          <w:tcPr>
            <w:tcW w:w="3359" w:type="pct"/>
            <w:shd w:val="clear" w:color="auto" w:fill="auto"/>
          </w:tcPr>
          <w:p w:rsidR="0061636B" w:rsidRDefault="0061636B" w:rsidP="001C118E">
            <w:pPr>
              <w:pStyle w:val="BulletText1"/>
              <w:numPr>
                <w:ilvl w:val="0"/>
                <w:numId w:val="0"/>
              </w:numPr>
            </w:pPr>
            <w:r>
              <w:t>To add a new topic and provide information on claims based on Project Shipboard Hazard and Defense (SHAD).</w:t>
            </w:r>
          </w:p>
        </w:tc>
        <w:tc>
          <w:tcPr>
            <w:tcW w:w="1641" w:type="pct"/>
            <w:shd w:val="clear" w:color="auto" w:fill="auto"/>
          </w:tcPr>
          <w:p w:rsidR="0061636B" w:rsidRDefault="0061636B" w:rsidP="00F94D47">
            <w:pPr>
              <w:pStyle w:val="TableText"/>
            </w:pPr>
            <w:r>
              <w:t>IV.ii.2.C.6</w:t>
            </w:r>
          </w:p>
        </w:tc>
      </w:tr>
      <w:tr w:rsidR="0044076B" w:rsidTr="002F369E">
        <w:trPr>
          <w:trHeight w:val="180"/>
        </w:trPr>
        <w:tc>
          <w:tcPr>
            <w:tcW w:w="3359" w:type="pct"/>
            <w:shd w:val="clear" w:color="auto" w:fill="auto"/>
          </w:tcPr>
          <w:p w:rsidR="0044076B" w:rsidRDefault="0044076B" w:rsidP="001C118E">
            <w:pPr>
              <w:pStyle w:val="BulletText1"/>
              <w:numPr>
                <w:ilvl w:val="0"/>
                <w:numId w:val="0"/>
              </w:numPr>
            </w:pPr>
            <w:r>
              <w:t xml:space="preserve">To add a new topic and provide information on claims based on Chemical Biological Radiological Nuclear and </w:t>
            </w:r>
            <w:r w:rsidR="0061636B">
              <w:t>Explosives (CBRNE) testing</w:t>
            </w:r>
            <w:r>
              <w:t>.</w:t>
            </w:r>
          </w:p>
        </w:tc>
        <w:tc>
          <w:tcPr>
            <w:tcW w:w="1641" w:type="pct"/>
            <w:shd w:val="clear" w:color="auto" w:fill="auto"/>
          </w:tcPr>
          <w:p w:rsidR="0044076B" w:rsidRDefault="0061636B" w:rsidP="00F94D47">
            <w:pPr>
              <w:pStyle w:val="TableText"/>
            </w:pPr>
            <w:r>
              <w:t>IV.ii.2.C.7</w:t>
            </w:r>
          </w:p>
        </w:tc>
      </w:tr>
    </w:tbl>
    <w:p w:rsidR="00952CF5" w:rsidRPr="00952CF5" w:rsidRDefault="00952CF5" w:rsidP="00952CF5"/>
    <w:tbl>
      <w:tblPr>
        <w:tblW w:w="0" w:type="auto"/>
        <w:tblLayout w:type="fixed"/>
        <w:tblLook w:val="0000" w:firstRow="0" w:lastRow="0" w:firstColumn="0" w:lastColumn="0" w:noHBand="0" w:noVBand="0"/>
      </w:tblPr>
      <w:tblGrid>
        <w:gridCol w:w="1728"/>
        <w:gridCol w:w="7740"/>
      </w:tblGrid>
      <w:tr w:rsidR="00504F80" w:rsidRPr="00B4163A" w:rsidTr="00237C22">
        <w:tc>
          <w:tcPr>
            <w:tcW w:w="1728" w:type="dxa"/>
          </w:tcPr>
          <w:p w:rsidR="00504F80" w:rsidRPr="00B4163A" w:rsidRDefault="00504F80" w:rsidP="00237C22">
            <w:pPr>
              <w:pStyle w:val="Heading5"/>
              <w:rPr>
                <w:sz w:val="24"/>
              </w:rPr>
            </w:pPr>
            <w:r w:rsidRPr="00B4163A">
              <w:rPr>
                <w:sz w:val="24"/>
              </w:rPr>
              <w:lastRenderedPageBreak/>
              <w:t>Rescissions</w:t>
            </w:r>
          </w:p>
        </w:tc>
        <w:tc>
          <w:tcPr>
            <w:tcW w:w="7740" w:type="dxa"/>
          </w:tcPr>
          <w:p w:rsidR="00504F80" w:rsidRPr="00B4163A" w:rsidRDefault="00504F80" w:rsidP="00237C22">
            <w:pPr>
              <w:pStyle w:val="BlockText"/>
            </w:pPr>
          </w:p>
        </w:tc>
      </w:tr>
    </w:tbl>
    <w:p w:rsidR="00504F80" w:rsidRPr="00B4163A" w:rsidRDefault="00504F80" w:rsidP="00504F80">
      <w:pPr>
        <w:pStyle w:val="BlockLine"/>
      </w:pPr>
      <w:r w:rsidRPr="00B4163A">
        <w:t xml:space="preserve"> </w:t>
      </w:r>
    </w:p>
    <w:tbl>
      <w:tblPr>
        <w:tblW w:w="0" w:type="auto"/>
        <w:tblLayout w:type="fixed"/>
        <w:tblLook w:val="0000" w:firstRow="0" w:lastRow="0" w:firstColumn="0" w:lastColumn="0" w:noHBand="0" w:noVBand="0"/>
      </w:tblPr>
      <w:tblGrid>
        <w:gridCol w:w="1728"/>
        <w:gridCol w:w="7740"/>
      </w:tblGrid>
      <w:tr w:rsidR="00504F80" w:rsidRPr="00B4163A" w:rsidTr="00237C22">
        <w:tc>
          <w:tcPr>
            <w:tcW w:w="1728" w:type="dxa"/>
          </w:tcPr>
          <w:p w:rsidR="00504F80" w:rsidRPr="00B4163A" w:rsidRDefault="00504F80" w:rsidP="00237C22">
            <w:pPr>
              <w:pStyle w:val="Heading5"/>
              <w:rPr>
                <w:sz w:val="24"/>
              </w:rPr>
            </w:pPr>
            <w:r w:rsidRPr="00B4163A">
              <w:rPr>
                <w:sz w:val="24"/>
              </w:rPr>
              <w:t>Authority</w:t>
            </w:r>
          </w:p>
        </w:tc>
        <w:tc>
          <w:tcPr>
            <w:tcW w:w="7740" w:type="dxa"/>
          </w:tcPr>
          <w:p w:rsidR="00504F80" w:rsidRPr="00B4163A" w:rsidRDefault="00504F80" w:rsidP="00237C22">
            <w:pPr>
              <w:pStyle w:val="BlockText"/>
            </w:pPr>
            <w:r w:rsidRPr="00B4163A">
              <w:t>By Direction of the Under Secretary for Benefits</w:t>
            </w:r>
          </w:p>
        </w:tc>
      </w:tr>
    </w:tbl>
    <w:p w:rsidR="00504F80" w:rsidRPr="00B4163A" w:rsidRDefault="00504F80" w:rsidP="001E2ED4">
      <w:pPr>
        <w:pStyle w:val="BlockLine"/>
      </w:pPr>
    </w:p>
    <w:tbl>
      <w:tblPr>
        <w:tblW w:w="0" w:type="auto"/>
        <w:tblLayout w:type="fixed"/>
        <w:tblLook w:val="0000" w:firstRow="0" w:lastRow="0" w:firstColumn="0" w:lastColumn="0" w:noHBand="0" w:noVBand="0"/>
      </w:tblPr>
      <w:tblGrid>
        <w:gridCol w:w="1728"/>
        <w:gridCol w:w="7740"/>
      </w:tblGrid>
      <w:tr w:rsidR="00504F80" w:rsidRPr="00B4163A" w:rsidTr="00237C22">
        <w:tc>
          <w:tcPr>
            <w:tcW w:w="1728" w:type="dxa"/>
          </w:tcPr>
          <w:p w:rsidR="00504F80" w:rsidRPr="00B4163A" w:rsidRDefault="00504F80" w:rsidP="00237C22">
            <w:pPr>
              <w:pStyle w:val="Heading5"/>
              <w:rPr>
                <w:sz w:val="24"/>
              </w:rPr>
            </w:pPr>
            <w:r w:rsidRPr="00B4163A">
              <w:rPr>
                <w:sz w:val="24"/>
              </w:rPr>
              <w:t>Signature</w:t>
            </w:r>
          </w:p>
        </w:tc>
        <w:tc>
          <w:tcPr>
            <w:tcW w:w="7740" w:type="dxa"/>
          </w:tcPr>
          <w:p w:rsidR="00504F80" w:rsidRPr="00B4163A" w:rsidRDefault="00504F80" w:rsidP="00237C22">
            <w:pPr>
              <w:pStyle w:val="BlockText"/>
            </w:pPr>
          </w:p>
          <w:p w:rsidR="00504F80" w:rsidRPr="00B4163A" w:rsidRDefault="00504F80" w:rsidP="00237C22">
            <w:pPr>
              <w:pStyle w:val="MemoLine"/>
              <w:ind w:left="-18" w:right="612"/>
            </w:pPr>
          </w:p>
          <w:p w:rsidR="00504F80" w:rsidRPr="00B4163A" w:rsidRDefault="00504F80" w:rsidP="00237C22">
            <w:pPr>
              <w:rPr>
                <w:szCs w:val="20"/>
              </w:rPr>
            </w:pPr>
            <w:r w:rsidRPr="00B4163A">
              <w:t>Thomas J. Murphy, Director</w:t>
            </w:r>
          </w:p>
          <w:p w:rsidR="00504F80" w:rsidRPr="00B4163A" w:rsidRDefault="00504F80" w:rsidP="00237C22">
            <w:pPr>
              <w:pStyle w:val="BlockText"/>
            </w:pPr>
            <w:r w:rsidRPr="00B4163A">
              <w:t>Compensation Service</w:t>
            </w:r>
          </w:p>
        </w:tc>
      </w:tr>
    </w:tbl>
    <w:p w:rsidR="00504F80" w:rsidRPr="00B4163A" w:rsidRDefault="00504F80" w:rsidP="00504F80">
      <w:pPr>
        <w:pStyle w:val="BlockLine"/>
      </w:pPr>
      <w:r w:rsidRPr="00B4163A">
        <w:t xml:space="preserve"> </w:t>
      </w:r>
    </w:p>
    <w:tbl>
      <w:tblPr>
        <w:tblW w:w="0" w:type="auto"/>
        <w:tblLayout w:type="fixed"/>
        <w:tblLook w:val="0000" w:firstRow="0" w:lastRow="0" w:firstColumn="0" w:lastColumn="0" w:noHBand="0" w:noVBand="0"/>
      </w:tblPr>
      <w:tblGrid>
        <w:gridCol w:w="1728"/>
        <w:gridCol w:w="7740"/>
      </w:tblGrid>
      <w:tr w:rsidR="00504F80" w:rsidTr="00237C22">
        <w:tc>
          <w:tcPr>
            <w:tcW w:w="1728" w:type="dxa"/>
          </w:tcPr>
          <w:p w:rsidR="00504F80" w:rsidRPr="00B4163A" w:rsidRDefault="00504F80" w:rsidP="00237C22">
            <w:pPr>
              <w:pStyle w:val="Heading5"/>
              <w:rPr>
                <w:sz w:val="24"/>
              </w:rPr>
            </w:pPr>
            <w:r w:rsidRPr="00B4163A">
              <w:rPr>
                <w:sz w:val="24"/>
              </w:rPr>
              <w:t>Distribution</w:t>
            </w:r>
          </w:p>
        </w:tc>
        <w:tc>
          <w:tcPr>
            <w:tcW w:w="7740" w:type="dxa"/>
          </w:tcPr>
          <w:p w:rsidR="00504F80" w:rsidRDefault="00504F80" w:rsidP="00237C22">
            <w:pPr>
              <w:pStyle w:val="BlockText"/>
              <w:jc w:val="center"/>
            </w:pPr>
            <w:r w:rsidRPr="00B4163A">
              <w:t>LOCAL REPRODUCTION AUTHORIZED</w:t>
            </w:r>
          </w:p>
        </w:tc>
      </w:tr>
    </w:tbl>
    <w:p w:rsidR="00504F80" w:rsidRDefault="000F1016" w:rsidP="00504F80">
      <w:pPr>
        <w:pStyle w:val="BlockLine"/>
      </w:pPr>
      <w:r>
        <w:fldChar w:fldCharType="begin">
          <w:fldData xml:space="preserve">RABvAGMAVABlAG0AcAAxAFYAYQByAFQAcgBhAGQAaQB0AGkAbwBuAGEAbAA=
</w:fldData>
        </w:fldChar>
      </w:r>
      <w:r w:rsidR="00504F80">
        <w:instrText xml:space="preserve"> ADDIN  \* MERGEFORMAT </w:instrText>
      </w:r>
      <w:r>
        <w:fldChar w:fldCharType="end"/>
      </w:r>
      <w:r>
        <w:fldChar w:fldCharType="begin">
          <w:fldData xml:space="preserve">RgBvAG4AdABTAGUAdABGAG8AbgB0AFMAZQB0AGkAbQBpAHMAdAB5AGwAZQBzAC4AeABtAGwA
</w:fldData>
        </w:fldChar>
      </w:r>
      <w:r w:rsidR="00504F80">
        <w:instrText xml:space="preserve"> ADDIN  \* MERGEFORMAT </w:instrText>
      </w:r>
      <w:r>
        <w:fldChar w:fldCharType="end"/>
      </w:r>
      <w:r>
        <w:fldChar w:fldCharType="begin">
          <w:fldData xml:space="preserve">RABvAGMAVABlAG0AcAAxAFYAYQByAFQAcgBhAGQAaQB0AGkAbwBuAGEAbAA=
</w:fldData>
        </w:fldChar>
      </w:r>
      <w:r w:rsidR="00504F80">
        <w:instrText xml:space="preserve"> ADDIN  \* MERGEFORMAT </w:instrText>
      </w:r>
      <w:r>
        <w:fldChar w:fldCharType="end"/>
      </w:r>
      <w:r>
        <w:fldChar w:fldCharType="begin">
          <w:fldData xml:space="preserve">RgBvAG4AdABTAGUAdABGAG8AbgB0AFMAZQB0AEYAbwBuAHQAUwBlAHQAaQBtAGkAcwB0AHkAbABl
AHMALgB4AG0AbAA=
</w:fldData>
        </w:fldChar>
      </w:r>
      <w:r w:rsidR="00504F80">
        <w:instrText xml:space="preserve"> ADDIN  \* MERGEFORMAT </w:instrText>
      </w:r>
      <w:r>
        <w:fldChar w:fldCharType="end"/>
      </w:r>
      <w:r>
        <w:fldChar w:fldCharType="begin">
          <w:fldData xml:space="preserve">RABvAGMAVABlAG0AcAAxAFYAYQByAFQAcgBhAGQAaQB0AGkAbwBuAGEAbAA=
</w:fldData>
        </w:fldChar>
      </w:r>
      <w:r w:rsidR="00504F80">
        <w:instrText xml:space="preserve"> ADDIN  \* MERGEFORMAT </w:instrText>
      </w:r>
      <w:r>
        <w:fldChar w:fldCharType="end"/>
      </w:r>
      <w:r>
        <w:fldChar w:fldCharType="begin">
          <w:fldData xml:space="preserve">RgBvAG4AdABTAGUAdABGAG8AbgB0AFMAZQB0AEYAbwBuAHQAUwBlAHQARgBvAG4AdABTAGUAdABp
AG0AaQBzAHQAeQBsAGUAcwAuAHgAbQBsAA==
</w:fldData>
        </w:fldChar>
      </w:r>
      <w:r w:rsidR="00504F80">
        <w:instrText xml:space="preserve"> ADDIN  \* MERGEFORMAT </w:instrText>
      </w:r>
      <w:r>
        <w:fldChar w:fldCharType="end"/>
      </w:r>
      <w:r>
        <w:fldChar w:fldCharType="begin">
          <w:fldData xml:space="preserve">RABvAGMAVABlAG0AcAAxAFYAYQByAFQAcgBhAGQAaQB0AGkAbwBuAGEAbAA=
</w:fldData>
        </w:fldChar>
      </w:r>
      <w:r w:rsidR="00504F80">
        <w:instrText xml:space="preserve"> ADDIN  \* MERGEFORMAT </w:instrText>
      </w:r>
      <w:r>
        <w:fldChar w:fldCharType="end"/>
      </w:r>
      <w:r>
        <w:fldChar w:fldCharType="begin">
          <w:fldData xml:space="preserve">RgBvAG4AdABTAGUAdABGAG8AbgB0AFMAZQB0AEYAbwBuAHQAUwBlAHQARgBvAG4AdABTAGUAdABG
AG8AbgB0AFMAZQB0AGkAbQBpAHMAdAB5AGwAZQBzAC4AeABtAGwA
</w:fldData>
        </w:fldChar>
      </w:r>
      <w:r w:rsidR="00504F80">
        <w:instrText xml:space="preserve"> ADDIN  \* MERGEFORMAT </w:instrText>
      </w:r>
      <w:r>
        <w:fldChar w:fldCharType="end"/>
      </w:r>
      <w:r>
        <w:fldChar w:fldCharType="begin">
          <w:fldData xml:space="preserve">RABvAGMAVABlAG0AcAAxAFYAYQByAFQAcgBhAGQAaQB0AGkAbwBuAGEAbAA=
</w:fldData>
        </w:fldChar>
      </w:r>
      <w:r w:rsidR="00504F80">
        <w:instrText xml:space="preserve"> ADDIN  \* MERGEFORMAT </w:instrText>
      </w:r>
      <w:r>
        <w:fldChar w:fldCharType="end"/>
      </w:r>
      <w:r>
        <w:fldChar w:fldCharType="begin">
          <w:fldData xml:space="preserve">RgBvAG4AdABTAGUAdABGAG8AbgB0AFMAZQB0AEYAbwBuAHQAUwBlAHQARgBvAG4AdABTAGUAdABG
AG8AbgB0AFMAZQB0AEYAbwBuAHQAUwBlAHQAaQBtAGkAcwB0AHkAbABlAHMALgB4AG0AbAA=
</w:fldData>
        </w:fldChar>
      </w:r>
      <w:r w:rsidR="00504F80">
        <w:instrText xml:space="preserve"> ADDIN  \* MERGEFORMAT </w:instrText>
      </w:r>
      <w:r>
        <w:fldChar w:fldCharType="end"/>
      </w:r>
      <w:r>
        <w:fldChar w:fldCharType="begin">
          <w:fldData xml:space="preserve">RABvAGMAVABlAG0AcAAxAFYAYQByAFQAcgBhAGQAaQB0AGkAbwBuAGEAbAA=
</w:fldData>
        </w:fldChar>
      </w:r>
      <w:r w:rsidR="00504F80">
        <w:instrText xml:space="preserve"> ADDIN  \* MERGEFORMAT </w:instrText>
      </w:r>
      <w:r>
        <w:fldChar w:fldCharType="end"/>
      </w:r>
      <w:r>
        <w:fldChar w:fldCharType="begin">
          <w:fldData xml:space="preserve">RgBvAG4AdABTAGUAdABGAG8AbgB0AFMAZQB0AEYAbwBuAHQAUwBlAHQARgBvAG4AdABTAGUAdABG
AG8AbgB0AFMAZQB0AEYAbwBuAHQAUwBlAHQARgBvAG4AdABTAGUAdABpAG0AaQBzAHQAeQBsAGUA
cwAuAHgAbQBsAA==
</w:fldData>
        </w:fldChar>
      </w:r>
      <w:r w:rsidR="00504F80">
        <w:instrText xml:space="preserve"> ADDIN  \* MERGEFORMAT </w:instrText>
      </w:r>
      <w:r>
        <w:fldChar w:fldCharType="end"/>
      </w:r>
      <w:r>
        <w:fldChar w:fldCharType="begin">
          <w:fldData xml:space="preserve">RABvAGMAVABlAG0AcAAxAFYAYQByAFQAcgBhAGQAaQB0AGkAbwBuAGEAbAA=
</w:fldData>
        </w:fldChar>
      </w:r>
      <w:r w:rsidR="00504F80">
        <w:instrText xml:space="preserve"> ADDIN  \* MERGEFORMAT </w:instrText>
      </w:r>
      <w:r>
        <w:fldChar w:fldCharType="end"/>
      </w:r>
      <w:r>
        <w:fldChar w:fldCharType="begin">
          <w:fldData xml:space="preserve">RgBvAG4AdABTAGUAdABGAG8AbgB0AFMAZQB0AEYAbwBuAHQAUwBlAHQARgBvAG4AdABTAGUAdABG
AG8AbgB0AFMAZQB0AEYAbwBuAHQAUwBlAHQARgBvAG4AdABTAGUAdABGAG8AbgB0AFMAZQB0AGkA
bQBpAHMAdAB5AGwAZQBzAC4AeABtAGwA
</w:fldData>
        </w:fldChar>
      </w:r>
      <w:r w:rsidR="00504F80">
        <w:instrText xml:space="preserve"> ADDIN  \* MERGEFORMAT </w:instrText>
      </w:r>
      <w:r>
        <w:fldChar w:fldCharType="end"/>
      </w:r>
      <w:r>
        <w:fldChar w:fldCharType="begin">
          <w:fldData xml:space="preserve">RABvAGMAVABlAG0AcAAxAFYAYQByAFQAcgBhAGQAaQB0AGkAbwBuAGEAbAA=
</w:fldData>
        </w:fldChar>
      </w:r>
      <w:r w:rsidR="00504F80">
        <w:instrText xml:space="preserve"> ADDIN  \* MERGEFORMAT </w:instrText>
      </w:r>
      <w:r>
        <w:fldChar w:fldCharType="end"/>
      </w:r>
      <w:r>
        <w:fldChar w:fldCharType="begin">
          <w:fldData xml:space="preserve">RgBvAG4AdABTAGUAdABGAG8AbgB0AFMAZQB0AEYAbwBuAHQAUwBlAHQARgBvAG4AdABTAGUAdABG
AG8AbgB0AFMAZQB0AEYAbwBuAHQAUwBlAHQARgBvAG4AdABTAGUAdABGAG8AbgB0AFMAZQB0AEYA
bwBuAHQAUwBlAHQAaQBtAGkAcwB0AHkAbABlAHMALgB4AG0AbAA=
</w:fldData>
        </w:fldChar>
      </w:r>
      <w:r w:rsidR="00504F80">
        <w:instrText xml:space="preserve"> ADDIN  \* MERGEFORMAT </w:instrText>
      </w:r>
      <w:r>
        <w:fldChar w:fldCharType="end"/>
      </w:r>
      <w:r>
        <w:fldChar w:fldCharType="begin">
          <w:fldData xml:space="preserve">RABvAGMAVABlAG0AcAAxAFYAYQByAFQAcgBhAGQAaQB0AGkAbwBuAGEAbAA=
</w:fldData>
        </w:fldChar>
      </w:r>
      <w:r w:rsidR="00504F80">
        <w:instrText xml:space="preserve"> ADDIN  \* MERGEFORMAT </w:instrText>
      </w:r>
      <w:r>
        <w:fldChar w:fldCharType="end"/>
      </w:r>
      <w:r>
        <w:fldChar w:fldCharType="begin">
          <w:fldData xml:space="preserve">RgBvAG4AdABTAGUAdABGAG8AbgB0AFMAZQB0AEYAbwBuAHQAUwBlAHQARgBvAG4AdABTAGUAdABG
AG8AbgB0AFMAZQB0AEYAbwBuAHQAUwBlAHQARgBvAG4AdABTAGUAdABGAG8AbgB0AFMAZQB0AEYA
bwBuAHQAUwBlAHQARgBvAG4AdABTAGUAdABpAG0AaQBzAHQAeQBsAGUAcwAuAHgAbQBsAA==
</w:fldData>
        </w:fldChar>
      </w:r>
      <w:r w:rsidR="00504F80">
        <w:instrText xml:space="preserve"> ADDIN  \* MERGEFORMAT </w:instrText>
      </w:r>
      <w:r>
        <w:fldChar w:fldCharType="end"/>
      </w:r>
      <w:r>
        <w:fldChar w:fldCharType="begin">
          <w:fldData xml:space="preserve">RABvAGMAVABlAG0AcAAxAFYAYQByAFQAcgBhAGQAaQB0AGkAbwBuAGEAbAA=
</w:fldData>
        </w:fldChar>
      </w:r>
      <w:r w:rsidR="00504F80">
        <w:instrText xml:space="preserve"> ADDIN  \* MERGEFORMAT </w:instrText>
      </w:r>
      <w:r>
        <w:fldChar w:fldCharType="end"/>
      </w:r>
      <w:r>
        <w:fldChar w:fldCharType="begin">
          <w:fldData xml:space="preserve">RgBvAG4AdABTAGUAdABGAG8AbgB0AFMAZQB0AEYAbwBuAHQAUwBlAHQARgBvAG4AdABTAGUAdABG
AG8AbgB0AFMAZQB0AEYAbwBuAHQAUwBlAHQARgBvAG4AdABTAGUAdABGAG8AbgB0AFMAZQB0AEYA
bwBuAHQAUwBlAHQARgBvAG4AdABTAGUAdABGAG8AbgB0AFMAZQB0AGkAbQBpAHMAdAB5AGwAZQBz
AC4AeABtAGwA
</w:fldData>
        </w:fldChar>
      </w:r>
      <w:r w:rsidR="00504F80">
        <w:instrText xml:space="preserve"> ADDIN  \* MERGEFORMAT </w:instrText>
      </w:r>
      <w:r>
        <w:fldChar w:fldCharType="end"/>
      </w:r>
      <w:r>
        <w:fldChar w:fldCharType="begin">
          <w:fldData xml:space="preserve">RABvAGMAVABlAG0AcAAxAFYAYQByAFQAcgBhAGQAaQB0AGkAbwBuAGEAbAA=
</w:fldData>
        </w:fldChar>
      </w:r>
      <w:r w:rsidR="00504F80">
        <w:instrText xml:space="preserve"> ADDIN  \* MERGEFORMAT </w:instrText>
      </w:r>
      <w:r>
        <w:fldChar w:fldCharType="end"/>
      </w:r>
      <w:r>
        <w:fldChar w:fldCharType="begin">
          <w:fldData xml:space="preserve">RgBvAG4AdABTAGUAdABGAG8AbgB0AFMAZQB0AEYAbwBuAHQAUwBlAHQARgBvAG4AdABTAGUAdABG
AG8AbgB0AFMAZQB0AEYAbwBuAHQAUwBlAHQARgBvAG4AdABTAGUAdABGAG8AbgB0AFMAZQB0AEYA
bwBuAHQAUwBlAHQARgBvAG4AdABTAGUAdABGAG8AbgB0AFMAZQB0AEYAbwBuAHQAUwBlAHQAaQBt
AGkAcwB0AHkAbABlAHMALgB4AG0AbAA=
</w:fldData>
        </w:fldChar>
      </w:r>
      <w:r w:rsidR="00504F80">
        <w:instrText xml:space="preserve"> ADDIN  \* MERGEFORMAT </w:instrText>
      </w:r>
      <w:r>
        <w:fldChar w:fldCharType="end"/>
      </w:r>
    </w:p>
    <w:p w:rsidR="007D5B97" w:rsidRDefault="00BA56EB" w:rsidP="00E43B08">
      <w:pPr>
        <w:pStyle w:val="MapTitleContinued"/>
      </w:pPr>
      <w:r>
        <w:rPr>
          <w:noProof/>
        </w:rPr>
        <w:pict w14:anchorId="242CC225">
          <v:shapetype id="_x0000_t202" coordsize="21600,21600" o:spt="202" path="m,l,21600r21600,l21600,xe">
            <v:stroke joinstyle="miter"/>
            <v:path gradientshapeok="t" o:connecttype="rect"/>
          </v:shapetype>
          <v:shape id="_x0000_s1041" type="#_x0000_t202" style="position:absolute;margin-left:223.85pt;margin-top:349.5pt;width:32pt;height:18.7pt;z-index:251657216;mso-height-percent:200;mso-height-percent:200;mso-width-relative:margin;mso-height-relative:margin" stroked="f">
            <v:textbox style="mso-fit-shape-to-text:t">
              <w:txbxContent>
                <w:p w:rsidR="00292E48" w:rsidRPr="00292E48" w:rsidRDefault="00292E48" w:rsidP="00AE2D28">
                  <w:pPr>
                    <w:jc w:val="both"/>
                    <w:rPr>
                      <w:b/>
                      <w:sz w:val="20"/>
                      <w:szCs w:val="20"/>
                    </w:rPr>
                  </w:pPr>
                  <w:proofErr w:type="gramStart"/>
                  <w:r>
                    <w:rPr>
                      <w:b/>
                      <w:sz w:val="20"/>
                      <w:szCs w:val="20"/>
                    </w:rPr>
                    <w:t>ii</w:t>
                  </w:r>
                  <w:proofErr w:type="gramEnd"/>
                </w:p>
              </w:txbxContent>
            </v:textbox>
          </v:shape>
        </w:pict>
      </w:r>
      <w:r w:rsidR="000F1016">
        <w:fldChar w:fldCharType="begin">
          <w:fldData xml:space="preserve">RABvAGMAVABlAG0AcAAxAFYAYQByAFQAcgBhAGQAaQB0AGkAbwBuAGEAbAA=
</w:fldData>
        </w:fldChar>
      </w:r>
      <w:r w:rsidR="007200ED">
        <w:instrText xml:space="preserve"> ADDIN  \* MERGEFORMAT </w:instrText>
      </w:r>
      <w:r w:rsidR="000F1016">
        <w:fldChar w:fldCharType="end"/>
      </w:r>
      <w:r w:rsidR="000F1016">
        <w:fldChar w:fldCharType="begin">
          <w:fldData xml:space="preserve">RgBvAG4AdABTAGUAdABpAG0AaQBzAHQAeQBsAGUAcwAuAHgAbQBsAA==
</w:fldData>
        </w:fldChar>
      </w:r>
      <w:r w:rsidR="007200ED">
        <w:instrText xml:space="preserve"> ADDIN  \* MERGEFORMAT </w:instrText>
      </w:r>
      <w:r w:rsidR="000F1016">
        <w:fldChar w:fldCharType="end"/>
      </w:r>
      <w:r w:rsidR="00A0675B">
        <w:fldChar w:fldCharType="begin">
          <w:fldData xml:space="preserve">RABvAGMAVABlAG0AcAAxAFYAYQByAFQAcgBhAGQAaQB0AGkAbwBuAGEAbAA=
</w:fldData>
        </w:fldChar>
      </w:r>
      <w:r w:rsidR="00A0675B">
        <w:instrText xml:space="preserve"> ADDIN  \* MERGEFORMAT </w:instrText>
      </w:r>
      <w:r w:rsidR="00A0675B">
        <w:fldChar w:fldCharType="end"/>
      </w:r>
      <w:r w:rsidR="00A0675B">
        <w:fldChar w:fldCharType="begin">
          <w:fldData xml:space="preserve">RgBvAG4AdABTAGUAdABGAG8AbgB0AFMAZQB0AGkAbQBpAHMAdAB5AGwAZQBzAC4AeABtAGwA
</w:fldData>
        </w:fldChar>
      </w:r>
      <w:r w:rsidR="00A0675B">
        <w:instrText xml:space="preserve"> ADDIN  \* MERGEFORMAT </w:instrText>
      </w:r>
      <w:r w:rsidR="00A0675B">
        <w:fldChar w:fldCharType="end"/>
      </w:r>
      <w:r w:rsidR="00537AD5">
        <w:fldChar w:fldCharType="begin">
          <w:fldData xml:space="preserve">RABvAGMAVABlAG0AcAAxAFYAYQByAFQAcgBhAGQAaQB0AGkAbwBuAGEAbAA=
</w:fldData>
        </w:fldChar>
      </w:r>
      <w:r w:rsidR="00537AD5">
        <w:instrText xml:space="preserve"> ADDIN  \* MERGEFORMAT </w:instrText>
      </w:r>
      <w:r w:rsidR="00537AD5">
        <w:fldChar w:fldCharType="end"/>
      </w:r>
      <w:r w:rsidR="00537AD5">
        <w:fldChar w:fldCharType="begin">
          <w:fldData xml:space="preserve">RgBvAG4AdABTAGUAdABGAG8AbgB0AFMAZQB0AGkAbQBpAHMAdAB5AGwAZQBzAC4AeABtAGwA
</w:fldData>
        </w:fldChar>
      </w:r>
      <w:r w:rsidR="00537AD5">
        <w:instrText xml:space="preserve"> ADDIN  \* MERGEFORMAT </w:instrText>
      </w:r>
      <w:r w:rsidR="00537AD5">
        <w:fldChar w:fldCharType="end"/>
      </w:r>
    </w:p>
    <w:sectPr w:rsidR="007D5B97" w:rsidSect="00237C22">
      <w:footerReference w:type="even" r:id="rId12"/>
      <w:pgSz w:w="12240" w:h="15840"/>
      <w:pgMar w:top="1152" w:right="1440" w:bottom="1008" w:left="1440" w:header="720" w:footer="720" w:gutter="0"/>
      <w:pgNumType w:fmt="lowerRoman"/>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2C6D" w:rsidRDefault="00E82C6D" w:rsidP="00C765C7">
      <w:r>
        <w:separator/>
      </w:r>
    </w:p>
  </w:endnote>
  <w:endnote w:type="continuationSeparator" w:id="0">
    <w:p w:rsidR="00E82C6D" w:rsidRDefault="00E82C6D" w:rsidP="00C76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C22" w:rsidRDefault="000F1016">
    <w:pPr>
      <w:pStyle w:val="Footer"/>
      <w:framePr w:wrap="around" w:vAnchor="text" w:hAnchor="margin" w:xAlign="center" w:y="1"/>
      <w:rPr>
        <w:rStyle w:val="PageNumber"/>
      </w:rPr>
    </w:pPr>
    <w:r>
      <w:rPr>
        <w:rStyle w:val="PageNumber"/>
      </w:rPr>
      <w:fldChar w:fldCharType="begin"/>
    </w:r>
    <w:r w:rsidR="00237C22">
      <w:rPr>
        <w:rStyle w:val="PageNumber"/>
      </w:rPr>
      <w:instrText xml:space="preserve">PAGE  </w:instrText>
    </w:r>
    <w:r>
      <w:rPr>
        <w:rStyle w:val="PageNumber"/>
      </w:rPr>
      <w:fldChar w:fldCharType="end"/>
    </w:r>
  </w:p>
  <w:p w:rsidR="00237C22" w:rsidRDefault="00237C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2C6D" w:rsidRDefault="00E82C6D" w:rsidP="00C765C7">
      <w:r>
        <w:separator/>
      </w:r>
    </w:p>
  </w:footnote>
  <w:footnote w:type="continuationSeparator" w:id="0">
    <w:p w:rsidR="00E82C6D" w:rsidRDefault="00E82C6D" w:rsidP="00C765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2pt;height:12pt" o:bullet="t">
        <v:imagedata r:id="rId1" o:title="fspro_2columns"/>
      </v:shape>
    </w:pict>
  </w:numPicBullet>
  <w:numPicBullet w:numPicBulletId="1">
    <w:pict>
      <v:shape id="_x0000_i1036" type="#_x0000_t75" style="width:12pt;height:12pt" o:bullet="t">
        <v:imagedata r:id="rId2" o:title="advanced"/>
      </v:shape>
    </w:pict>
  </w:numPicBullet>
  <w:numPicBullet w:numPicBulletId="2">
    <w:pict>
      <v:shape id="_x0000_i1037" type="#_x0000_t75" style="width:12pt;height:12pt" o:bullet="t">
        <v:imagedata r:id="rId3" o:title="continue"/>
      </v:shape>
    </w:pict>
  </w:numPicBullet>
  <w:numPicBullet w:numPicBulletId="3">
    <w:pict>
      <v:shape id="_x0000_i1038" type="#_x0000_t75" style="width:12pt;height:12pt" o:bullet="t">
        <v:imagedata r:id="rId4" o:title="webpage"/>
      </v:shape>
    </w:pict>
  </w:numPicBullet>
  <w:abstractNum w:abstractNumId="0">
    <w:nsid w:val="000D31B0"/>
    <w:multiLevelType w:val="hybridMultilevel"/>
    <w:tmpl w:val="F6084E7E"/>
    <w:lvl w:ilvl="0" w:tplc="C062E0CA">
      <w:start w:val="1"/>
      <w:numFmt w:val="bullet"/>
      <w:pStyle w:val="BulletText2"/>
      <w:lvlText w:val="-"/>
      <w:lvlJc w:val="left"/>
      <w:pPr>
        <w:tabs>
          <w:tab w:val="num" w:pos="360"/>
        </w:tabs>
        <w:ind w:left="360" w:hanging="187"/>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33D6B97"/>
    <w:multiLevelType w:val="hybridMultilevel"/>
    <w:tmpl w:val="8A4AA5D8"/>
    <w:lvl w:ilvl="0" w:tplc="145A3C7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8E5549"/>
    <w:multiLevelType w:val="hybridMultilevel"/>
    <w:tmpl w:val="40380FCA"/>
    <w:lvl w:ilvl="0" w:tplc="370649F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1502AA"/>
    <w:multiLevelType w:val="hybridMultilevel"/>
    <w:tmpl w:val="E960B77C"/>
    <w:lvl w:ilvl="0" w:tplc="B188386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934763"/>
    <w:multiLevelType w:val="hybridMultilevel"/>
    <w:tmpl w:val="CD70F85C"/>
    <w:lvl w:ilvl="0" w:tplc="145A3C7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C71FA6"/>
    <w:multiLevelType w:val="hybridMultilevel"/>
    <w:tmpl w:val="CD84C276"/>
    <w:lvl w:ilvl="0" w:tplc="414682A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C705BC"/>
    <w:multiLevelType w:val="hybridMultilevel"/>
    <w:tmpl w:val="67C8C1C2"/>
    <w:lvl w:ilvl="0" w:tplc="464A059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D63C3C"/>
    <w:multiLevelType w:val="hybridMultilevel"/>
    <w:tmpl w:val="F976D220"/>
    <w:lvl w:ilvl="0" w:tplc="7B3ABE3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3CF1572"/>
    <w:multiLevelType w:val="hybridMultilevel"/>
    <w:tmpl w:val="D6F4DEEA"/>
    <w:lvl w:ilvl="0" w:tplc="7B3ABE3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074699"/>
    <w:multiLevelType w:val="hybridMultilevel"/>
    <w:tmpl w:val="502AEDB0"/>
    <w:lvl w:ilvl="0" w:tplc="145A3C7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624212C"/>
    <w:multiLevelType w:val="hybridMultilevel"/>
    <w:tmpl w:val="AAFAC70C"/>
    <w:lvl w:ilvl="0" w:tplc="145A3C7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7570AF2"/>
    <w:multiLevelType w:val="hybridMultilevel"/>
    <w:tmpl w:val="45C299AC"/>
    <w:lvl w:ilvl="0" w:tplc="7B3ABE3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8C321F5"/>
    <w:multiLevelType w:val="hybridMultilevel"/>
    <w:tmpl w:val="BC94253A"/>
    <w:lvl w:ilvl="0" w:tplc="145A3C7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B542BD1"/>
    <w:multiLevelType w:val="hybridMultilevel"/>
    <w:tmpl w:val="37E0E30A"/>
    <w:lvl w:ilvl="0" w:tplc="CD826C4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D591767"/>
    <w:multiLevelType w:val="hybridMultilevel"/>
    <w:tmpl w:val="FC3C2FE0"/>
    <w:lvl w:ilvl="0" w:tplc="145A3C7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0D962C2"/>
    <w:multiLevelType w:val="hybridMultilevel"/>
    <w:tmpl w:val="E962F5B0"/>
    <w:lvl w:ilvl="0" w:tplc="464A059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4237F93"/>
    <w:multiLevelType w:val="hybridMultilevel"/>
    <w:tmpl w:val="F01AB6D8"/>
    <w:lvl w:ilvl="0" w:tplc="464A059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7D008E4"/>
    <w:multiLevelType w:val="hybridMultilevel"/>
    <w:tmpl w:val="88C8DB54"/>
    <w:lvl w:ilvl="0" w:tplc="698ECBB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50E2975"/>
    <w:multiLevelType w:val="hybridMultilevel"/>
    <w:tmpl w:val="5F6661B2"/>
    <w:lvl w:ilvl="0" w:tplc="39889E6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76677DF"/>
    <w:multiLevelType w:val="hybridMultilevel"/>
    <w:tmpl w:val="E626D9D0"/>
    <w:lvl w:ilvl="0" w:tplc="698ECBB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801508B"/>
    <w:multiLevelType w:val="hybridMultilevel"/>
    <w:tmpl w:val="5FE670F6"/>
    <w:lvl w:ilvl="0" w:tplc="835CF4F8">
      <w:start w:val="1"/>
      <w:numFmt w:val="bullet"/>
      <w:lvlText w:val=""/>
      <w:lvlPicBulletId w:val="3"/>
      <w:lvlJc w:val="left"/>
      <w:pPr>
        <w:tabs>
          <w:tab w:val="num" w:pos="1080"/>
        </w:tabs>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39BB71EF"/>
    <w:multiLevelType w:val="hybridMultilevel"/>
    <w:tmpl w:val="826A9E54"/>
    <w:lvl w:ilvl="0" w:tplc="7B3ABE3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E267638"/>
    <w:multiLevelType w:val="hybridMultilevel"/>
    <w:tmpl w:val="2960CFA4"/>
    <w:lvl w:ilvl="0" w:tplc="145A3C7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EDB155B"/>
    <w:multiLevelType w:val="hybridMultilevel"/>
    <w:tmpl w:val="056A25AC"/>
    <w:lvl w:ilvl="0" w:tplc="698ECBB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3920CA5"/>
    <w:multiLevelType w:val="hybridMultilevel"/>
    <w:tmpl w:val="800CEBAC"/>
    <w:lvl w:ilvl="0" w:tplc="4E8A7DD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5E76714"/>
    <w:multiLevelType w:val="hybridMultilevel"/>
    <w:tmpl w:val="6EB0F520"/>
    <w:lvl w:ilvl="0" w:tplc="835CF4F8">
      <w:start w:val="1"/>
      <w:numFmt w:val="bullet"/>
      <w:lvlText w:val=""/>
      <w:lvlPicBulletId w:val="3"/>
      <w:lvlJc w:val="left"/>
      <w:pPr>
        <w:tabs>
          <w:tab w:val="num" w:pos="720"/>
        </w:tabs>
        <w:ind w:left="720" w:hanging="360"/>
      </w:pPr>
      <w:rPr>
        <w:rFonts w:ascii="Symbol" w:hAnsi="Symbol" w:hint="default"/>
      </w:rPr>
    </w:lvl>
    <w:lvl w:ilvl="1" w:tplc="4F0AAB9C" w:tentative="1">
      <w:start w:val="1"/>
      <w:numFmt w:val="bullet"/>
      <w:lvlText w:val=""/>
      <w:lvlJc w:val="left"/>
      <w:pPr>
        <w:tabs>
          <w:tab w:val="num" w:pos="1440"/>
        </w:tabs>
        <w:ind w:left="1440" w:hanging="360"/>
      </w:pPr>
      <w:rPr>
        <w:rFonts w:ascii="Symbol" w:hAnsi="Symbol" w:hint="default"/>
      </w:rPr>
    </w:lvl>
    <w:lvl w:ilvl="2" w:tplc="11BE2AAE" w:tentative="1">
      <w:start w:val="1"/>
      <w:numFmt w:val="bullet"/>
      <w:lvlText w:val=""/>
      <w:lvlJc w:val="left"/>
      <w:pPr>
        <w:tabs>
          <w:tab w:val="num" w:pos="2160"/>
        </w:tabs>
        <w:ind w:left="2160" w:hanging="360"/>
      </w:pPr>
      <w:rPr>
        <w:rFonts w:ascii="Symbol" w:hAnsi="Symbol" w:hint="default"/>
      </w:rPr>
    </w:lvl>
    <w:lvl w:ilvl="3" w:tplc="DC26535C" w:tentative="1">
      <w:start w:val="1"/>
      <w:numFmt w:val="bullet"/>
      <w:lvlText w:val=""/>
      <w:lvlJc w:val="left"/>
      <w:pPr>
        <w:tabs>
          <w:tab w:val="num" w:pos="2880"/>
        </w:tabs>
        <w:ind w:left="2880" w:hanging="360"/>
      </w:pPr>
      <w:rPr>
        <w:rFonts w:ascii="Symbol" w:hAnsi="Symbol" w:hint="default"/>
      </w:rPr>
    </w:lvl>
    <w:lvl w:ilvl="4" w:tplc="8632B49A" w:tentative="1">
      <w:start w:val="1"/>
      <w:numFmt w:val="bullet"/>
      <w:lvlText w:val=""/>
      <w:lvlJc w:val="left"/>
      <w:pPr>
        <w:tabs>
          <w:tab w:val="num" w:pos="3600"/>
        </w:tabs>
        <w:ind w:left="3600" w:hanging="360"/>
      </w:pPr>
      <w:rPr>
        <w:rFonts w:ascii="Symbol" w:hAnsi="Symbol" w:hint="default"/>
      </w:rPr>
    </w:lvl>
    <w:lvl w:ilvl="5" w:tplc="0BCABCCA" w:tentative="1">
      <w:start w:val="1"/>
      <w:numFmt w:val="bullet"/>
      <w:lvlText w:val=""/>
      <w:lvlJc w:val="left"/>
      <w:pPr>
        <w:tabs>
          <w:tab w:val="num" w:pos="4320"/>
        </w:tabs>
        <w:ind w:left="4320" w:hanging="360"/>
      </w:pPr>
      <w:rPr>
        <w:rFonts w:ascii="Symbol" w:hAnsi="Symbol" w:hint="default"/>
      </w:rPr>
    </w:lvl>
    <w:lvl w:ilvl="6" w:tplc="46546994" w:tentative="1">
      <w:start w:val="1"/>
      <w:numFmt w:val="bullet"/>
      <w:lvlText w:val=""/>
      <w:lvlJc w:val="left"/>
      <w:pPr>
        <w:tabs>
          <w:tab w:val="num" w:pos="5040"/>
        </w:tabs>
        <w:ind w:left="5040" w:hanging="360"/>
      </w:pPr>
      <w:rPr>
        <w:rFonts w:ascii="Symbol" w:hAnsi="Symbol" w:hint="default"/>
      </w:rPr>
    </w:lvl>
    <w:lvl w:ilvl="7" w:tplc="C5F6104E" w:tentative="1">
      <w:start w:val="1"/>
      <w:numFmt w:val="bullet"/>
      <w:lvlText w:val=""/>
      <w:lvlJc w:val="left"/>
      <w:pPr>
        <w:tabs>
          <w:tab w:val="num" w:pos="5760"/>
        </w:tabs>
        <w:ind w:left="5760" w:hanging="360"/>
      </w:pPr>
      <w:rPr>
        <w:rFonts w:ascii="Symbol" w:hAnsi="Symbol" w:hint="default"/>
      </w:rPr>
    </w:lvl>
    <w:lvl w:ilvl="8" w:tplc="C23878E6" w:tentative="1">
      <w:start w:val="1"/>
      <w:numFmt w:val="bullet"/>
      <w:lvlText w:val=""/>
      <w:lvlJc w:val="left"/>
      <w:pPr>
        <w:tabs>
          <w:tab w:val="num" w:pos="6480"/>
        </w:tabs>
        <w:ind w:left="6480" w:hanging="360"/>
      </w:pPr>
      <w:rPr>
        <w:rFonts w:ascii="Symbol" w:hAnsi="Symbol" w:hint="default"/>
      </w:rPr>
    </w:lvl>
  </w:abstractNum>
  <w:abstractNum w:abstractNumId="26">
    <w:nsid w:val="45F45C3D"/>
    <w:multiLevelType w:val="hybridMultilevel"/>
    <w:tmpl w:val="C6C03290"/>
    <w:lvl w:ilvl="0" w:tplc="4E8A7DD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AE74A48"/>
    <w:multiLevelType w:val="hybridMultilevel"/>
    <w:tmpl w:val="DBB44446"/>
    <w:lvl w:ilvl="0" w:tplc="11A416D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D1B4F51"/>
    <w:multiLevelType w:val="hybridMultilevel"/>
    <w:tmpl w:val="2A1E154A"/>
    <w:lvl w:ilvl="0" w:tplc="B188386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1D770EE"/>
    <w:multiLevelType w:val="hybridMultilevel"/>
    <w:tmpl w:val="3C2011B0"/>
    <w:lvl w:ilvl="0" w:tplc="464A059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4D81F45"/>
    <w:multiLevelType w:val="hybridMultilevel"/>
    <w:tmpl w:val="C88EAD32"/>
    <w:lvl w:ilvl="0" w:tplc="E6D060F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64B348F"/>
    <w:multiLevelType w:val="hybridMultilevel"/>
    <w:tmpl w:val="FBAC7DA4"/>
    <w:lvl w:ilvl="0" w:tplc="740C876A">
      <w:start w:val="1"/>
      <w:numFmt w:val="bullet"/>
      <w:lvlText w:val=""/>
      <w:lvlPicBulletId w:val="1"/>
      <w:lvlJc w:val="left"/>
      <w:pPr>
        <w:tabs>
          <w:tab w:val="num" w:pos="720"/>
        </w:tabs>
        <w:ind w:left="720" w:hanging="360"/>
      </w:pPr>
      <w:rPr>
        <w:rFonts w:ascii="Symbol" w:hAnsi="Symbol" w:hint="default"/>
      </w:rPr>
    </w:lvl>
    <w:lvl w:ilvl="1" w:tplc="5F5E1F2A" w:tentative="1">
      <w:start w:val="1"/>
      <w:numFmt w:val="bullet"/>
      <w:lvlText w:val=""/>
      <w:lvlJc w:val="left"/>
      <w:pPr>
        <w:tabs>
          <w:tab w:val="num" w:pos="1440"/>
        </w:tabs>
        <w:ind w:left="1440" w:hanging="360"/>
      </w:pPr>
      <w:rPr>
        <w:rFonts w:ascii="Symbol" w:hAnsi="Symbol" w:hint="default"/>
      </w:rPr>
    </w:lvl>
    <w:lvl w:ilvl="2" w:tplc="D1EE2BA6" w:tentative="1">
      <w:start w:val="1"/>
      <w:numFmt w:val="bullet"/>
      <w:lvlText w:val=""/>
      <w:lvlJc w:val="left"/>
      <w:pPr>
        <w:tabs>
          <w:tab w:val="num" w:pos="2160"/>
        </w:tabs>
        <w:ind w:left="2160" w:hanging="360"/>
      </w:pPr>
      <w:rPr>
        <w:rFonts w:ascii="Symbol" w:hAnsi="Symbol" w:hint="default"/>
      </w:rPr>
    </w:lvl>
    <w:lvl w:ilvl="3" w:tplc="EA86A390" w:tentative="1">
      <w:start w:val="1"/>
      <w:numFmt w:val="bullet"/>
      <w:lvlText w:val=""/>
      <w:lvlJc w:val="left"/>
      <w:pPr>
        <w:tabs>
          <w:tab w:val="num" w:pos="2880"/>
        </w:tabs>
        <w:ind w:left="2880" w:hanging="360"/>
      </w:pPr>
      <w:rPr>
        <w:rFonts w:ascii="Symbol" w:hAnsi="Symbol" w:hint="default"/>
      </w:rPr>
    </w:lvl>
    <w:lvl w:ilvl="4" w:tplc="7D92D3B6" w:tentative="1">
      <w:start w:val="1"/>
      <w:numFmt w:val="bullet"/>
      <w:lvlText w:val=""/>
      <w:lvlJc w:val="left"/>
      <w:pPr>
        <w:tabs>
          <w:tab w:val="num" w:pos="3600"/>
        </w:tabs>
        <w:ind w:left="3600" w:hanging="360"/>
      </w:pPr>
      <w:rPr>
        <w:rFonts w:ascii="Symbol" w:hAnsi="Symbol" w:hint="default"/>
      </w:rPr>
    </w:lvl>
    <w:lvl w:ilvl="5" w:tplc="A6CEA0C0" w:tentative="1">
      <w:start w:val="1"/>
      <w:numFmt w:val="bullet"/>
      <w:lvlText w:val=""/>
      <w:lvlJc w:val="left"/>
      <w:pPr>
        <w:tabs>
          <w:tab w:val="num" w:pos="4320"/>
        </w:tabs>
        <w:ind w:left="4320" w:hanging="360"/>
      </w:pPr>
      <w:rPr>
        <w:rFonts w:ascii="Symbol" w:hAnsi="Symbol" w:hint="default"/>
      </w:rPr>
    </w:lvl>
    <w:lvl w:ilvl="6" w:tplc="9178198A" w:tentative="1">
      <w:start w:val="1"/>
      <w:numFmt w:val="bullet"/>
      <w:lvlText w:val=""/>
      <w:lvlJc w:val="left"/>
      <w:pPr>
        <w:tabs>
          <w:tab w:val="num" w:pos="5040"/>
        </w:tabs>
        <w:ind w:left="5040" w:hanging="360"/>
      </w:pPr>
      <w:rPr>
        <w:rFonts w:ascii="Symbol" w:hAnsi="Symbol" w:hint="default"/>
      </w:rPr>
    </w:lvl>
    <w:lvl w:ilvl="7" w:tplc="1A323D40" w:tentative="1">
      <w:start w:val="1"/>
      <w:numFmt w:val="bullet"/>
      <w:lvlText w:val=""/>
      <w:lvlJc w:val="left"/>
      <w:pPr>
        <w:tabs>
          <w:tab w:val="num" w:pos="5760"/>
        </w:tabs>
        <w:ind w:left="5760" w:hanging="360"/>
      </w:pPr>
      <w:rPr>
        <w:rFonts w:ascii="Symbol" w:hAnsi="Symbol" w:hint="default"/>
      </w:rPr>
    </w:lvl>
    <w:lvl w:ilvl="8" w:tplc="3936312C" w:tentative="1">
      <w:start w:val="1"/>
      <w:numFmt w:val="bullet"/>
      <w:lvlText w:val=""/>
      <w:lvlJc w:val="left"/>
      <w:pPr>
        <w:tabs>
          <w:tab w:val="num" w:pos="6480"/>
        </w:tabs>
        <w:ind w:left="6480" w:hanging="360"/>
      </w:pPr>
      <w:rPr>
        <w:rFonts w:ascii="Symbol" w:hAnsi="Symbol" w:hint="default"/>
      </w:rPr>
    </w:lvl>
  </w:abstractNum>
  <w:abstractNum w:abstractNumId="32">
    <w:nsid w:val="57DE1DAF"/>
    <w:multiLevelType w:val="hybridMultilevel"/>
    <w:tmpl w:val="DCF8B302"/>
    <w:lvl w:ilvl="0" w:tplc="8946A68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B255678"/>
    <w:multiLevelType w:val="hybridMultilevel"/>
    <w:tmpl w:val="27BA8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C2840C5"/>
    <w:multiLevelType w:val="hybridMultilevel"/>
    <w:tmpl w:val="F290421C"/>
    <w:lvl w:ilvl="0" w:tplc="C17672B2">
      <w:start w:val="1"/>
      <w:numFmt w:val="bullet"/>
      <w:lvlText w:val=""/>
      <w:lvlPicBulletId w:val="0"/>
      <w:lvlJc w:val="left"/>
      <w:pPr>
        <w:tabs>
          <w:tab w:val="num" w:pos="720"/>
        </w:tabs>
        <w:ind w:left="720" w:hanging="360"/>
      </w:pPr>
      <w:rPr>
        <w:rFonts w:ascii="Symbol" w:hAnsi="Symbol" w:hint="default"/>
      </w:rPr>
    </w:lvl>
    <w:lvl w:ilvl="1" w:tplc="9D50B242" w:tentative="1">
      <w:start w:val="1"/>
      <w:numFmt w:val="bullet"/>
      <w:lvlText w:val=""/>
      <w:lvlJc w:val="left"/>
      <w:pPr>
        <w:tabs>
          <w:tab w:val="num" w:pos="1440"/>
        </w:tabs>
        <w:ind w:left="1440" w:hanging="360"/>
      </w:pPr>
      <w:rPr>
        <w:rFonts w:ascii="Symbol" w:hAnsi="Symbol" w:hint="default"/>
      </w:rPr>
    </w:lvl>
    <w:lvl w:ilvl="2" w:tplc="1FB82184" w:tentative="1">
      <w:start w:val="1"/>
      <w:numFmt w:val="bullet"/>
      <w:lvlText w:val=""/>
      <w:lvlJc w:val="left"/>
      <w:pPr>
        <w:tabs>
          <w:tab w:val="num" w:pos="2160"/>
        </w:tabs>
        <w:ind w:left="2160" w:hanging="360"/>
      </w:pPr>
      <w:rPr>
        <w:rFonts w:ascii="Symbol" w:hAnsi="Symbol" w:hint="default"/>
      </w:rPr>
    </w:lvl>
    <w:lvl w:ilvl="3" w:tplc="0A98BF2A" w:tentative="1">
      <w:start w:val="1"/>
      <w:numFmt w:val="bullet"/>
      <w:lvlText w:val=""/>
      <w:lvlJc w:val="left"/>
      <w:pPr>
        <w:tabs>
          <w:tab w:val="num" w:pos="2880"/>
        </w:tabs>
        <w:ind w:left="2880" w:hanging="360"/>
      </w:pPr>
      <w:rPr>
        <w:rFonts w:ascii="Symbol" w:hAnsi="Symbol" w:hint="default"/>
      </w:rPr>
    </w:lvl>
    <w:lvl w:ilvl="4" w:tplc="624ECCF8" w:tentative="1">
      <w:start w:val="1"/>
      <w:numFmt w:val="bullet"/>
      <w:lvlText w:val=""/>
      <w:lvlJc w:val="left"/>
      <w:pPr>
        <w:tabs>
          <w:tab w:val="num" w:pos="3600"/>
        </w:tabs>
        <w:ind w:left="3600" w:hanging="360"/>
      </w:pPr>
      <w:rPr>
        <w:rFonts w:ascii="Symbol" w:hAnsi="Symbol" w:hint="default"/>
      </w:rPr>
    </w:lvl>
    <w:lvl w:ilvl="5" w:tplc="F886B676" w:tentative="1">
      <w:start w:val="1"/>
      <w:numFmt w:val="bullet"/>
      <w:lvlText w:val=""/>
      <w:lvlJc w:val="left"/>
      <w:pPr>
        <w:tabs>
          <w:tab w:val="num" w:pos="4320"/>
        </w:tabs>
        <w:ind w:left="4320" w:hanging="360"/>
      </w:pPr>
      <w:rPr>
        <w:rFonts w:ascii="Symbol" w:hAnsi="Symbol" w:hint="default"/>
      </w:rPr>
    </w:lvl>
    <w:lvl w:ilvl="6" w:tplc="755822D6" w:tentative="1">
      <w:start w:val="1"/>
      <w:numFmt w:val="bullet"/>
      <w:lvlText w:val=""/>
      <w:lvlJc w:val="left"/>
      <w:pPr>
        <w:tabs>
          <w:tab w:val="num" w:pos="5040"/>
        </w:tabs>
        <w:ind w:left="5040" w:hanging="360"/>
      </w:pPr>
      <w:rPr>
        <w:rFonts w:ascii="Symbol" w:hAnsi="Symbol" w:hint="default"/>
      </w:rPr>
    </w:lvl>
    <w:lvl w:ilvl="7" w:tplc="D74E5B44" w:tentative="1">
      <w:start w:val="1"/>
      <w:numFmt w:val="bullet"/>
      <w:lvlText w:val=""/>
      <w:lvlJc w:val="left"/>
      <w:pPr>
        <w:tabs>
          <w:tab w:val="num" w:pos="5760"/>
        </w:tabs>
        <w:ind w:left="5760" w:hanging="360"/>
      </w:pPr>
      <w:rPr>
        <w:rFonts w:ascii="Symbol" w:hAnsi="Symbol" w:hint="default"/>
      </w:rPr>
    </w:lvl>
    <w:lvl w:ilvl="8" w:tplc="DDD6E952" w:tentative="1">
      <w:start w:val="1"/>
      <w:numFmt w:val="bullet"/>
      <w:lvlText w:val=""/>
      <w:lvlJc w:val="left"/>
      <w:pPr>
        <w:tabs>
          <w:tab w:val="num" w:pos="6480"/>
        </w:tabs>
        <w:ind w:left="6480" w:hanging="360"/>
      </w:pPr>
      <w:rPr>
        <w:rFonts w:ascii="Symbol" w:hAnsi="Symbol" w:hint="default"/>
      </w:rPr>
    </w:lvl>
  </w:abstractNum>
  <w:abstractNum w:abstractNumId="35">
    <w:nsid w:val="60113827"/>
    <w:multiLevelType w:val="hybridMultilevel"/>
    <w:tmpl w:val="C33C7F06"/>
    <w:lvl w:ilvl="0" w:tplc="464A059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2DB3D68"/>
    <w:multiLevelType w:val="hybridMultilevel"/>
    <w:tmpl w:val="CBC6FE0C"/>
    <w:lvl w:ilvl="0" w:tplc="21D42084">
      <w:start w:val="1"/>
      <w:numFmt w:val="bullet"/>
      <w:pStyle w:val="BulletText1"/>
      <w:lvlText w:val=""/>
      <w:lvlJc w:val="left"/>
      <w:pPr>
        <w:tabs>
          <w:tab w:val="num" w:pos="173"/>
        </w:tabs>
        <w:ind w:left="173" w:hanging="17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451440F"/>
    <w:multiLevelType w:val="hybridMultilevel"/>
    <w:tmpl w:val="572A7BEE"/>
    <w:lvl w:ilvl="0" w:tplc="B63EE6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49A3B31"/>
    <w:multiLevelType w:val="hybridMultilevel"/>
    <w:tmpl w:val="08BC686A"/>
    <w:lvl w:ilvl="0" w:tplc="145A3C7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56D489B"/>
    <w:multiLevelType w:val="hybridMultilevel"/>
    <w:tmpl w:val="5AA86030"/>
    <w:lvl w:ilvl="0" w:tplc="370649F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9AD6E7C"/>
    <w:multiLevelType w:val="hybridMultilevel"/>
    <w:tmpl w:val="A9943FD4"/>
    <w:lvl w:ilvl="0" w:tplc="464A059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A6B4C78"/>
    <w:multiLevelType w:val="singleLevel"/>
    <w:tmpl w:val="B4525DB6"/>
    <w:lvl w:ilvl="0">
      <w:start w:val="1"/>
      <w:numFmt w:val="bullet"/>
      <w:lvlText w:val=""/>
      <w:lvlJc w:val="left"/>
      <w:pPr>
        <w:tabs>
          <w:tab w:val="num" w:pos="533"/>
        </w:tabs>
        <w:ind w:left="533" w:hanging="360"/>
      </w:pPr>
      <w:rPr>
        <w:rFonts w:ascii="Symbol" w:hAnsi="Symbol" w:hint="default"/>
        <w:color w:val="auto"/>
      </w:rPr>
    </w:lvl>
  </w:abstractNum>
  <w:abstractNum w:abstractNumId="42">
    <w:nsid w:val="6C6B02AF"/>
    <w:multiLevelType w:val="singleLevel"/>
    <w:tmpl w:val="15F25542"/>
    <w:lvl w:ilvl="0">
      <w:start w:val="1"/>
      <w:numFmt w:val="bullet"/>
      <w:lvlText w:val="-"/>
      <w:lvlJc w:val="left"/>
      <w:pPr>
        <w:tabs>
          <w:tab w:val="num" w:pos="360"/>
        </w:tabs>
        <w:ind w:left="360" w:hanging="187"/>
      </w:pPr>
      <w:rPr>
        <w:rFonts w:ascii="Symbol" w:hAnsi="Symbol" w:cs="Times New Roman" w:hint="default"/>
      </w:rPr>
    </w:lvl>
  </w:abstractNum>
  <w:abstractNum w:abstractNumId="43">
    <w:nsid w:val="707C2456"/>
    <w:multiLevelType w:val="hybridMultilevel"/>
    <w:tmpl w:val="A5FE9EAA"/>
    <w:lvl w:ilvl="0" w:tplc="443ADE8A">
      <w:start w:val="1"/>
      <w:numFmt w:val="bullet"/>
      <w:pStyle w:val="BulletText3"/>
      <w:lvlText w:val=""/>
      <w:lvlJc w:val="left"/>
      <w:pPr>
        <w:tabs>
          <w:tab w:val="num" w:pos="173"/>
        </w:tabs>
        <w:ind w:left="36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3E562F7"/>
    <w:multiLevelType w:val="hybridMultilevel"/>
    <w:tmpl w:val="B61E4312"/>
    <w:lvl w:ilvl="0" w:tplc="64AEEA28">
      <w:start w:val="1"/>
      <w:numFmt w:val="bullet"/>
      <w:lvlText w:val=""/>
      <w:lvlPicBulletId w:val="2"/>
      <w:lvlJc w:val="left"/>
      <w:pPr>
        <w:tabs>
          <w:tab w:val="num" w:pos="720"/>
        </w:tabs>
        <w:ind w:left="720" w:hanging="360"/>
      </w:pPr>
      <w:rPr>
        <w:rFonts w:ascii="Symbol" w:hAnsi="Symbol" w:hint="default"/>
      </w:rPr>
    </w:lvl>
    <w:lvl w:ilvl="1" w:tplc="B84E1906" w:tentative="1">
      <w:start w:val="1"/>
      <w:numFmt w:val="bullet"/>
      <w:lvlText w:val=""/>
      <w:lvlJc w:val="left"/>
      <w:pPr>
        <w:tabs>
          <w:tab w:val="num" w:pos="1440"/>
        </w:tabs>
        <w:ind w:left="1440" w:hanging="360"/>
      </w:pPr>
      <w:rPr>
        <w:rFonts w:ascii="Symbol" w:hAnsi="Symbol" w:hint="default"/>
      </w:rPr>
    </w:lvl>
    <w:lvl w:ilvl="2" w:tplc="7E62F58C" w:tentative="1">
      <w:start w:val="1"/>
      <w:numFmt w:val="bullet"/>
      <w:lvlText w:val=""/>
      <w:lvlJc w:val="left"/>
      <w:pPr>
        <w:tabs>
          <w:tab w:val="num" w:pos="2160"/>
        </w:tabs>
        <w:ind w:left="2160" w:hanging="360"/>
      </w:pPr>
      <w:rPr>
        <w:rFonts w:ascii="Symbol" w:hAnsi="Symbol" w:hint="default"/>
      </w:rPr>
    </w:lvl>
    <w:lvl w:ilvl="3" w:tplc="B6963026" w:tentative="1">
      <w:start w:val="1"/>
      <w:numFmt w:val="bullet"/>
      <w:lvlText w:val=""/>
      <w:lvlJc w:val="left"/>
      <w:pPr>
        <w:tabs>
          <w:tab w:val="num" w:pos="2880"/>
        </w:tabs>
        <w:ind w:left="2880" w:hanging="360"/>
      </w:pPr>
      <w:rPr>
        <w:rFonts w:ascii="Symbol" w:hAnsi="Symbol" w:hint="default"/>
      </w:rPr>
    </w:lvl>
    <w:lvl w:ilvl="4" w:tplc="6EAC46C2" w:tentative="1">
      <w:start w:val="1"/>
      <w:numFmt w:val="bullet"/>
      <w:lvlText w:val=""/>
      <w:lvlJc w:val="left"/>
      <w:pPr>
        <w:tabs>
          <w:tab w:val="num" w:pos="3600"/>
        </w:tabs>
        <w:ind w:left="3600" w:hanging="360"/>
      </w:pPr>
      <w:rPr>
        <w:rFonts w:ascii="Symbol" w:hAnsi="Symbol" w:hint="default"/>
      </w:rPr>
    </w:lvl>
    <w:lvl w:ilvl="5" w:tplc="CD20EC6A" w:tentative="1">
      <w:start w:val="1"/>
      <w:numFmt w:val="bullet"/>
      <w:lvlText w:val=""/>
      <w:lvlJc w:val="left"/>
      <w:pPr>
        <w:tabs>
          <w:tab w:val="num" w:pos="4320"/>
        </w:tabs>
        <w:ind w:left="4320" w:hanging="360"/>
      </w:pPr>
      <w:rPr>
        <w:rFonts w:ascii="Symbol" w:hAnsi="Symbol" w:hint="default"/>
      </w:rPr>
    </w:lvl>
    <w:lvl w:ilvl="6" w:tplc="57A0168A" w:tentative="1">
      <w:start w:val="1"/>
      <w:numFmt w:val="bullet"/>
      <w:lvlText w:val=""/>
      <w:lvlJc w:val="left"/>
      <w:pPr>
        <w:tabs>
          <w:tab w:val="num" w:pos="5040"/>
        </w:tabs>
        <w:ind w:left="5040" w:hanging="360"/>
      </w:pPr>
      <w:rPr>
        <w:rFonts w:ascii="Symbol" w:hAnsi="Symbol" w:hint="default"/>
      </w:rPr>
    </w:lvl>
    <w:lvl w:ilvl="7" w:tplc="107A7312" w:tentative="1">
      <w:start w:val="1"/>
      <w:numFmt w:val="bullet"/>
      <w:lvlText w:val=""/>
      <w:lvlJc w:val="left"/>
      <w:pPr>
        <w:tabs>
          <w:tab w:val="num" w:pos="5760"/>
        </w:tabs>
        <w:ind w:left="5760" w:hanging="360"/>
      </w:pPr>
      <w:rPr>
        <w:rFonts w:ascii="Symbol" w:hAnsi="Symbol" w:hint="default"/>
      </w:rPr>
    </w:lvl>
    <w:lvl w:ilvl="8" w:tplc="E8F4560C" w:tentative="1">
      <w:start w:val="1"/>
      <w:numFmt w:val="bullet"/>
      <w:lvlText w:val=""/>
      <w:lvlJc w:val="left"/>
      <w:pPr>
        <w:tabs>
          <w:tab w:val="num" w:pos="6480"/>
        </w:tabs>
        <w:ind w:left="6480" w:hanging="360"/>
      </w:pPr>
      <w:rPr>
        <w:rFonts w:ascii="Symbol" w:hAnsi="Symbol" w:hint="default"/>
      </w:rPr>
    </w:lvl>
  </w:abstractNum>
  <w:abstractNum w:abstractNumId="45">
    <w:nsid w:val="76D64AF4"/>
    <w:multiLevelType w:val="hybridMultilevel"/>
    <w:tmpl w:val="888A8A50"/>
    <w:lvl w:ilvl="0" w:tplc="464A059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8407290"/>
    <w:multiLevelType w:val="singleLevel"/>
    <w:tmpl w:val="67E094DC"/>
    <w:lvl w:ilvl="0">
      <w:start w:val="1"/>
      <w:numFmt w:val="bullet"/>
      <w:lvlText w:val=""/>
      <w:lvlJc w:val="left"/>
      <w:pPr>
        <w:tabs>
          <w:tab w:val="num" w:pos="360"/>
        </w:tabs>
        <w:ind w:left="360" w:hanging="360"/>
      </w:pPr>
      <w:rPr>
        <w:rFonts w:ascii="Symbol" w:hAnsi="Symbol" w:hint="default"/>
      </w:rPr>
    </w:lvl>
  </w:abstractNum>
  <w:abstractNum w:abstractNumId="47">
    <w:nsid w:val="7BF83493"/>
    <w:multiLevelType w:val="hybridMultilevel"/>
    <w:tmpl w:val="6B3C3376"/>
    <w:lvl w:ilvl="0" w:tplc="145A3C7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6"/>
  </w:num>
  <w:num w:numId="2">
    <w:abstractNumId w:val="36"/>
  </w:num>
  <w:num w:numId="3">
    <w:abstractNumId w:val="0"/>
  </w:num>
  <w:num w:numId="4">
    <w:abstractNumId w:val="43"/>
  </w:num>
  <w:num w:numId="5">
    <w:abstractNumId w:val="34"/>
  </w:num>
  <w:num w:numId="6">
    <w:abstractNumId w:val="31"/>
  </w:num>
  <w:num w:numId="7">
    <w:abstractNumId w:val="44"/>
  </w:num>
  <w:num w:numId="8">
    <w:abstractNumId w:val="25"/>
  </w:num>
  <w:num w:numId="9">
    <w:abstractNumId w:val="20"/>
  </w:num>
  <w:num w:numId="10">
    <w:abstractNumId w:val="41"/>
  </w:num>
  <w:num w:numId="11">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2"/>
  </w:num>
  <w:num w:numId="13">
    <w:abstractNumId w:val="33"/>
  </w:num>
  <w:num w:numId="14">
    <w:abstractNumId w:val="37"/>
  </w:num>
  <w:num w:numId="15">
    <w:abstractNumId w:val="28"/>
  </w:num>
  <w:num w:numId="16">
    <w:abstractNumId w:val="3"/>
  </w:num>
  <w:num w:numId="17">
    <w:abstractNumId w:val="2"/>
  </w:num>
  <w:num w:numId="18">
    <w:abstractNumId w:val="39"/>
  </w:num>
  <w:num w:numId="19">
    <w:abstractNumId w:val="30"/>
  </w:num>
  <w:num w:numId="20">
    <w:abstractNumId w:val="8"/>
  </w:num>
  <w:num w:numId="21">
    <w:abstractNumId w:val="11"/>
  </w:num>
  <w:num w:numId="22">
    <w:abstractNumId w:val="21"/>
  </w:num>
  <w:num w:numId="23">
    <w:abstractNumId w:val="7"/>
  </w:num>
  <w:num w:numId="24">
    <w:abstractNumId w:val="29"/>
  </w:num>
  <w:num w:numId="25">
    <w:abstractNumId w:val="45"/>
  </w:num>
  <w:num w:numId="26">
    <w:abstractNumId w:val="6"/>
  </w:num>
  <w:num w:numId="27">
    <w:abstractNumId w:val="35"/>
  </w:num>
  <w:num w:numId="28">
    <w:abstractNumId w:val="15"/>
  </w:num>
  <w:num w:numId="29">
    <w:abstractNumId w:val="16"/>
  </w:num>
  <w:num w:numId="30">
    <w:abstractNumId w:val="40"/>
  </w:num>
  <w:num w:numId="31">
    <w:abstractNumId w:val="17"/>
  </w:num>
  <w:num w:numId="32">
    <w:abstractNumId w:val="19"/>
  </w:num>
  <w:num w:numId="33">
    <w:abstractNumId w:val="23"/>
  </w:num>
  <w:num w:numId="34">
    <w:abstractNumId w:val="26"/>
  </w:num>
  <w:num w:numId="35">
    <w:abstractNumId w:val="24"/>
  </w:num>
  <w:num w:numId="36">
    <w:abstractNumId w:val="18"/>
  </w:num>
  <w:num w:numId="37">
    <w:abstractNumId w:val="5"/>
  </w:num>
  <w:num w:numId="38">
    <w:abstractNumId w:val="27"/>
  </w:num>
  <w:num w:numId="39">
    <w:abstractNumId w:val="32"/>
  </w:num>
  <w:num w:numId="40">
    <w:abstractNumId w:val="13"/>
  </w:num>
  <w:num w:numId="41">
    <w:abstractNumId w:val="4"/>
  </w:num>
  <w:num w:numId="42">
    <w:abstractNumId w:val="47"/>
  </w:num>
  <w:num w:numId="43">
    <w:abstractNumId w:val="22"/>
  </w:num>
  <w:num w:numId="44">
    <w:abstractNumId w:val="9"/>
  </w:num>
  <w:num w:numId="45">
    <w:abstractNumId w:val="1"/>
  </w:num>
  <w:num w:numId="46">
    <w:abstractNumId w:val="10"/>
  </w:num>
  <w:num w:numId="47">
    <w:abstractNumId w:val="14"/>
  </w:num>
  <w:num w:numId="48">
    <w:abstractNumId w:val="12"/>
  </w:num>
  <w:num w:numId="4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docVars>
    <w:docVar w:name="DocTemp1Var" w:val="Traditional"/>
    <w:docVar w:name="FontSet" w:val="FontSetimistyles.xml"/>
  </w:docVars>
  <w:rsids>
    <w:rsidRoot w:val="00504F80"/>
    <w:rsid w:val="00002A1E"/>
    <w:rsid w:val="00014A89"/>
    <w:rsid w:val="000252C6"/>
    <w:rsid w:val="000256FB"/>
    <w:rsid w:val="00033185"/>
    <w:rsid w:val="0004467D"/>
    <w:rsid w:val="00077E44"/>
    <w:rsid w:val="00084A5A"/>
    <w:rsid w:val="00085CA6"/>
    <w:rsid w:val="00090F16"/>
    <w:rsid w:val="00093228"/>
    <w:rsid w:val="00096CEA"/>
    <w:rsid w:val="000A43B5"/>
    <w:rsid w:val="000A5D26"/>
    <w:rsid w:val="000B145B"/>
    <w:rsid w:val="000B2D03"/>
    <w:rsid w:val="000B3C9B"/>
    <w:rsid w:val="000D700D"/>
    <w:rsid w:val="000D79C8"/>
    <w:rsid w:val="000E015D"/>
    <w:rsid w:val="000F1016"/>
    <w:rsid w:val="00100433"/>
    <w:rsid w:val="0010215F"/>
    <w:rsid w:val="00106EEF"/>
    <w:rsid w:val="00117B80"/>
    <w:rsid w:val="00123973"/>
    <w:rsid w:val="00124CD2"/>
    <w:rsid w:val="001350B6"/>
    <w:rsid w:val="00137E1F"/>
    <w:rsid w:val="00154738"/>
    <w:rsid w:val="00155A5A"/>
    <w:rsid w:val="00160A1C"/>
    <w:rsid w:val="00166D45"/>
    <w:rsid w:val="00186D46"/>
    <w:rsid w:val="001C118E"/>
    <w:rsid w:val="001C160E"/>
    <w:rsid w:val="001C1DFA"/>
    <w:rsid w:val="001C3AE3"/>
    <w:rsid w:val="001C3EB5"/>
    <w:rsid w:val="001E2ED4"/>
    <w:rsid w:val="001E32F1"/>
    <w:rsid w:val="001F0D51"/>
    <w:rsid w:val="00220E44"/>
    <w:rsid w:val="00223E13"/>
    <w:rsid w:val="002307C4"/>
    <w:rsid w:val="002322B7"/>
    <w:rsid w:val="00237C22"/>
    <w:rsid w:val="00240624"/>
    <w:rsid w:val="002564D5"/>
    <w:rsid w:val="00291474"/>
    <w:rsid w:val="00292E48"/>
    <w:rsid w:val="002A4ABE"/>
    <w:rsid w:val="002B249D"/>
    <w:rsid w:val="002B7A7E"/>
    <w:rsid w:val="002C029C"/>
    <w:rsid w:val="002C1825"/>
    <w:rsid w:val="002C3D78"/>
    <w:rsid w:val="002C5BBF"/>
    <w:rsid w:val="002C6E91"/>
    <w:rsid w:val="002D36D9"/>
    <w:rsid w:val="002E0259"/>
    <w:rsid w:val="002F369E"/>
    <w:rsid w:val="002F5B21"/>
    <w:rsid w:val="002F7397"/>
    <w:rsid w:val="00316A35"/>
    <w:rsid w:val="003316CE"/>
    <w:rsid w:val="00332B80"/>
    <w:rsid w:val="0033408F"/>
    <w:rsid w:val="00341981"/>
    <w:rsid w:val="0034344F"/>
    <w:rsid w:val="00357D6E"/>
    <w:rsid w:val="00365DE2"/>
    <w:rsid w:val="00366D36"/>
    <w:rsid w:val="00386999"/>
    <w:rsid w:val="003B0F65"/>
    <w:rsid w:val="003B2927"/>
    <w:rsid w:val="003B344C"/>
    <w:rsid w:val="003C2B21"/>
    <w:rsid w:val="003D6DC1"/>
    <w:rsid w:val="003E380F"/>
    <w:rsid w:val="003F4B5C"/>
    <w:rsid w:val="003F6048"/>
    <w:rsid w:val="003F672A"/>
    <w:rsid w:val="0040351B"/>
    <w:rsid w:val="00421403"/>
    <w:rsid w:val="00427E81"/>
    <w:rsid w:val="00431B1E"/>
    <w:rsid w:val="00435BA5"/>
    <w:rsid w:val="0044076B"/>
    <w:rsid w:val="00446B39"/>
    <w:rsid w:val="00455EF7"/>
    <w:rsid w:val="004562CC"/>
    <w:rsid w:val="00456F5B"/>
    <w:rsid w:val="00457D91"/>
    <w:rsid w:val="00471ECA"/>
    <w:rsid w:val="004772F7"/>
    <w:rsid w:val="00482FA3"/>
    <w:rsid w:val="0048559D"/>
    <w:rsid w:val="00494175"/>
    <w:rsid w:val="004E7CDA"/>
    <w:rsid w:val="004F375E"/>
    <w:rsid w:val="00504F80"/>
    <w:rsid w:val="00506485"/>
    <w:rsid w:val="00513DA7"/>
    <w:rsid w:val="0051555F"/>
    <w:rsid w:val="00516C82"/>
    <w:rsid w:val="0051708D"/>
    <w:rsid w:val="00527FC5"/>
    <w:rsid w:val="00537AD5"/>
    <w:rsid w:val="005778E7"/>
    <w:rsid w:val="00594258"/>
    <w:rsid w:val="005A0E22"/>
    <w:rsid w:val="005A7032"/>
    <w:rsid w:val="005B6237"/>
    <w:rsid w:val="005C3E9A"/>
    <w:rsid w:val="005E4363"/>
    <w:rsid w:val="005E4AB1"/>
    <w:rsid w:val="005F31EB"/>
    <w:rsid w:val="00600B73"/>
    <w:rsid w:val="00605A23"/>
    <w:rsid w:val="0061636B"/>
    <w:rsid w:val="0062068D"/>
    <w:rsid w:val="006317AA"/>
    <w:rsid w:val="00631B9B"/>
    <w:rsid w:val="006434CC"/>
    <w:rsid w:val="00645552"/>
    <w:rsid w:val="006473C3"/>
    <w:rsid w:val="006708D7"/>
    <w:rsid w:val="00680F05"/>
    <w:rsid w:val="006837E0"/>
    <w:rsid w:val="006919BE"/>
    <w:rsid w:val="00693745"/>
    <w:rsid w:val="006B7262"/>
    <w:rsid w:val="006C3E5F"/>
    <w:rsid w:val="006C48FF"/>
    <w:rsid w:val="006E4D0E"/>
    <w:rsid w:val="006E781B"/>
    <w:rsid w:val="006F6D37"/>
    <w:rsid w:val="0071381A"/>
    <w:rsid w:val="0071423E"/>
    <w:rsid w:val="007200ED"/>
    <w:rsid w:val="00724248"/>
    <w:rsid w:val="00732186"/>
    <w:rsid w:val="0073294B"/>
    <w:rsid w:val="007337A8"/>
    <w:rsid w:val="007344CE"/>
    <w:rsid w:val="00737049"/>
    <w:rsid w:val="0076357D"/>
    <w:rsid w:val="007639C1"/>
    <w:rsid w:val="00764968"/>
    <w:rsid w:val="00766657"/>
    <w:rsid w:val="00772D4B"/>
    <w:rsid w:val="007822CC"/>
    <w:rsid w:val="007A0C5F"/>
    <w:rsid w:val="007A3B12"/>
    <w:rsid w:val="007B24EB"/>
    <w:rsid w:val="007B6350"/>
    <w:rsid w:val="007D5682"/>
    <w:rsid w:val="007D5B97"/>
    <w:rsid w:val="007E11D5"/>
    <w:rsid w:val="007E5515"/>
    <w:rsid w:val="00801D28"/>
    <w:rsid w:val="0080590C"/>
    <w:rsid w:val="00815883"/>
    <w:rsid w:val="00830D37"/>
    <w:rsid w:val="00851830"/>
    <w:rsid w:val="00852EBF"/>
    <w:rsid w:val="008630A7"/>
    <w:rsid w:val="0086475B"/>
    <w:rsid w:val="00875AFA"/>
    <w:rsid w:val="0087671F"/>
    <w:rsid w:val="0088609E"/>
    <w:rsid w:val="00886A77"/>
    <w:rsid w:val="008A0844"/>
    <w:rsid w:val="008A1580"/>
    <w:rsid w:val="008B4CB5"/>
    <w:rsid w:val="008B5D28"/>
    <w:rsid w:val="008C357C"/>
    <w:rsid w:val="008C723F"/>
    <w:rsid w:val="008D12C3"/>
    <w:rsid w:val="008D458B"/>
    <w:rsid w:val="008E22CF"/>
    <w:rsid w:val="008E5824"/>
    <w:rsid w:val="008E589A"/>
    <w:rsid w:val="008E7197"/>
    <w:rsid w:val="008F1D5B"/>
    <w:rsid w:val="00900206"/>
    <w:rsid w:val="00916AE6"/>
    <w:rsid w:val="00916CB3"/>
    <w:rsid w:val="0092270A"/>
    <w:rsid w:val="00922B2E"/>
    <w:rsid w:val="00944C74"/>
    <w:rsid w:val="00952CF5"/>
    <w:rsid w:val="0096734D"/>
    <w:rsid w:val="0097066E"/>
    <w:rsid w:val="00973291"/>
    <w:rsid w:val="00975DF2"/>
    <w:rsid w:val="009769CD"/>
    <w:rsid w:val="009843C6"/>
    <w:rsid w:val="00984FE3"/>
    <w:rsid w:val="009970A1"/>
    <w:rsid w:val="009B6554"/>
    <w:rsid w:val="009B7604"/>
    <w:rsid w:val="009D6E8B"/>
    <w:rsid w:val="009E6E1A"/>
    <w:rsid w:val="009F7C87"/>
    <w:rsid w:val="00A0675B"/>
    <w:rsid w:val="00A303F6"/>
    <w:rsid w:val="00A315CB"/>
    <w:rsid w:val="00A332C5"/>
    <w:rsid w:val="00A3579D"/>
    <w:rsid w:val="00A50A12"/>
    <w:rsid w:val="00A55356"/>
    <w:rsid w:val="00A55C28"/>
    <w:rsid w:val="00A606CE"/>
    <w:rsid w:val="00A64A92"/>
    <w:rsid w:val="00A8520D"/>
    <w:rsid w:val="00A93AA0"/>
    <w:rsid w:val="00AA10EB"/>
    <w:rsid w:val="00AB7DE8"/>
    <w:rsid w:val="00AC2993"/>
    <w:rsid w:val="00AC5B0B"/>
    <w:rsid w:val="00AE2D28"/>
    <w:rsid w:val="00AE6915"/>
    <w:rsid w:val="00AF1249"/>
    <w:rsid w:val="00AF2CD6"/>
    <w:rsid w:val="00AF417C"/>
    <w:rsid w:val="00B03D0A"/>
    <w:rsid w:val="00B116AC"/>
    <w:rsid w:val="00B11A9B"/>
    <w:rsid w:val="00B13368"/>
    <w:rsid w:val="00B135AF"/>
    <w:rsid w:val="00B30D2F"/>
    <w:rsid w:val="00B3164C"/>
    <w:rsid w:val="00B57477"/>
    <w:rsid w:val="00B73D34"/>
    <w:rsid w:val="00B75EEB"/>
    <w:rsid w:val="00B93A3C"/>
    <w:rsid w:val="00B96287"/>
    <w:rsid w:val="00BA3E9A"/>
    <w:rsid w:val="00BA56EB"/>
    <w:rsid w:val="00BB5CC2"/>
    <w:rsid w:val="00BE5E4B"/>
    <w:rsid w:val="00BF7FE3"/>
    <w:rsid w:val="00C24D50"/>
    <w:rsid w:val="00C33940"/>
    <w:rsid w:val="00C668F7"/>
    <w:rsid w:val="00C66B49"/>
    <w:rsid w:val="00C74541"/>
    <w:rsid w:val="00C765C7"/>
    <w:rsid w:val="00CA167B"/>
    <w:rsid w:val="00CA1BFA"/>
    <w:rsid w:val="00CA4269"/>
    <w:rsid w:val="00CA7D37"/>
    <w:rsid w:val="00CD199A"/>
    <w:rsid w:val="00CD2D08"/>
    <w:rsid w:val="00D1288F"/>
    <w:rsid w:val="00D13C6B"/>
    <w:rsid w:val="00D31626"/>
    <w:rsid w:val="00D36508"/>
    <w:rsid w:val="00D36720"/>
    <w:rsid w:val="00D47539"/>
    <w:rsid w:val="00D57B91"/>
    <w:rsid w:val="00D60E48"/>
    <w:rsid w:val="00D61497"/>
    <w:rsid w:val="00D6557C"/>
    <w:rsid w:val="00D77146"/>
    <w:rsid w:val="00D823AF"/>
    <w:rsid w:val="00DA11C2"/>
    <w:rsid w:val="00DB074F"/>
    <w:rsid w:val="00DB2902"/>
    <w:rsid w:val="00DB743E"/>
    <w:rsid w:val="00DC200C"/>
    <w:rsid w:val="00DC3BB1"/>
    <w:rsid w:val="00DC3F2E"/>
    <w:rsid w:val="00DD50A2"/>
    <w:rsid w:val="00DE0E35"/>
    <w:rsid w:val="00DE205D"/>
    <w:rsid w:val="00DE45FA"/>
    <w:rsid w:val="00DF44AC"/>
    <w:rsid w:val="00DF6E81"/>
    <w:rsid w:val="00E04DA4"/>
    <w:rsid w:val="00E06F5D"/>
    <w:rsid w:val="00E13E43"/>
    <w:rsid w:val="00E24BDA"/>
    <w:rsid w:val="00E2529E"/>
    <w:rsid w:val="00E334B2"/>
    <w:rsid w:val="00E36906"/>
    <w:rsid w:val="00E43B08"/>
    <w:rsid w:val="00E512E1"/>
    <w:rsid w:val="00E617BE"/>
    <w:rsid w:val="00E82C6D"/>
    <w:rsid w:val="00E8453C"/>
    <w:rsid w:val="00E845AB"/>
    <w:rsid w:val="00E964FD"/>
    <w:rsid w:val="00EA091C"/>
    <w:rsid w:val="00EB4BFC"/>
    <w:rsid w:val="00EC2E07"/>
    <w:rsid w:val="00ED4D5E"/>
    <w:rsid w:val="00EF2816"/>
    <w:rsid w:val="00F006B2"/>
    <w:rsid w:val="00F022FE"/>
    <w:rsid w:val="00F421D7"/>
    <w:rsid w:val="00F43DFA"/>
    <w:rsid w:val="00F600E0"/>
    <w:rsid w:val="00F62FF9"/>
    <w:rsid w:val="00F65684"/>
    <w:rsid w:val="00F723A9"/>
    <w:rsid w:val="00F73A6F"/>
    <w:rsid w:val="00F87670"/>
    <w:rsid w:val="00F90609"/>
    <w:rsid w:val="00F97452"/>
    <w:rsid w:val="00FA495C"/>
    <w:rsid w:val="00FB1793"/>
    <w:rsid w:val="00FB2E6B"/>
    <w:rsid w:val="00FB657F"/>
    <w:rsid w:val="00FB78B5"/>
    <w:rsid w:val="00FC1663"/>
    <w:rsid w:val="00FF0F56"/>
    <w:rsid w:val="00FF2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2CC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Block Text" w:uiPriority="0"/>
    <w:lsdException w:name="FollowedHyperlink" w:uiPriority="0"/>
    <w:lsdException w:name="Strong" w:semiHidden="0" w:uiPriority="22" w:unhideWhenUsed="0" w:qFormat="1"/>
    <w:lsdException w:name="Emphasis" w:semiHidden="0" w:uiPriority="20" w:unhideWhenUsed="0" w:qFormat="1"/>
    <w:lsdException w:name="HTML Acronym"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D50"/>
    <w:rPr>
      <w:rFonts w:eastAsia="Times New Roman"/>
      <w:color w:val="000000"/>
      <w:sz w:val="24"/>
      <w:szCs w:val="24"/>
    </w:rPr>
  </w:style>
  <w:style w:type="paragraph" w:styleId="Heading1">
    <w:name w:val="heading 1"/>
    <w:aliases w:val="Part Title"/>
    <w:basedOn w:val="Normal"/>
    <w:next w:val="Heading4"/>
    <w:link w:val="Heading1Char"/>
    <w:qFormat/>
    <w:rsid w:val="00C24D50"/>
    <w:pPr>
      <w:spacing w:after="240"/>
      <w:jc w:val="center"/>
      <w:outlineLvl w:val="0"/>
    </w:pPr>
    <w:rPr>
      <w:rFonts w:ascii="Arial" w:hAnsi="Arial" w:cs="Arial"/>
      <w:b/>
      <w:sz w:val="32"/>
      <w:szCs w:val="20"/>
    </w:rPr>
  </w:style>
  <w:style w:type="paragraph" w:styleId="Heading2">
    <w:name w:val="heading 2"/>
    <w:aliases w:val="Chapter Title"/>
    <w:basedOn w:val="Normal"/>
    <w:next w:val="Heading4"/>
    <w:link w:val="Heading2Char"/>
    <w:qFormat/>
    <w:rsid w:val="00C24D50"/>
    <w:pPr>
      <w:spacing w:after="240"/>
      <w:jc w:val="center"/>
      <w:outlineLvl w:val="1"/>
    </w:pPr>
    <w:rPr>
      <w:rFonts w:ascii="Arial" w:hAnsi="Arial" w:cs="Arial"/>
      <w:b/>
      <w:sz w:val="32"/>
      <w:szCs w:val="20"/>
    </w:rPr>
  </w:style>
  <w:style w:type="paragraph" w:styleId="Heading3">
    <w:name w:val="heading 3"/>
    <w:aliases w:val="Section Title"/>
    <w:basedOn w:val="Normal"/>
    <w:next w:val="Heading4"/>
    <w:link w:val="Heading3Char"/>
    <w:qFormat/>
    <w:rsid w:val="00C24D50"/>
    <w:pPr>
      <w:spacing w:after="240"/>
      <w:jc w:val="center"/>
      <w:outlineLvl w:val="2"/>
    </w:pPr>
    <w:rPr>
      <w:rFonts w:ascii="Arial" w:hAnsi="Arial" w:cs="Arial"/>
      <w:b/>
      <w:sz w:val="32"/>
      <w:szCs w:val="20"/>
    </w:rPr>
  </w:style>
  <w:style w:type="paragraph" w:styleId="Heading4">
    <w:name w:val="heading 4"/>
    <w:aliases w:val="Map Title"/>
    <w:basedOn w:val="Normal"/>
    <w:next w:val="Normal"/>
    <w:link w:val="Heading4Char"/>
    <w:qFormat/>
    <w:rsid w:val="00C24D50"/>
    <w:pPr>
      <w:spacing w:after="240"/>
      <w:outlineLvl w:val="3"/>
    </w:pPr>
    <w:rPr>
      <w:rFonts w:ascii="Arial" w:hAnsi="Arial" w:cs="Arial"/>
      <w:b/>
      <w:sz w:val="32"/>
      <w:szCs w:val="20"/>
    </w:rPr>
  </w:style>
  <w:style w:type="paragraph" w:styleId="Heading5">
    <w:name w:val="heading 5"/>
    <w:aliases w:val="Block Label"/>
    <w:basedOn w:val="Normal"/>
    <w:link w:val="Heading5Char"/>
    <w:qFormat/>
    <w:rsid w:val="00C24D50"/>
    <w:pPr>
      <w:outlineLvl w:val="4"/>
    </w:pPr>
    <w:rPr>
      <w:b/>
      <w:sz w:val="22"/>
      <w:szCs w:val="20"/>
    </w:rPr>
  </w:style>
  <w:style w:type="paragraph" w:styleId="Heading6">
    <w:name w:val="heading 6"/>
    <w:aliases w:val="Sub Label"/>
    <w:basedOn w:val="Heading5"/>
    <w:next w:val="BlockText"/>
    <w:link w:val="Heading6Char"/>
    <w:qFormat/>
    <w:rsid w:val="00C24D50"/>
    <w:pPr>
      <w:spacing w:before="240" w:after="60"/>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Map Title Char"/>
    <w:basedOn w:val="DefaultParagraphFont"/>
    <w:link w:val="Heading4"/>
    <w:rsid w:val="00504F80"/>
    <w:rPr>
      <w:rFonts w:ascii="Arial" w:eastAsia="Times New Roman" w:hAnsi="Arial" w:cs="Arial"/>
      <w:b/>
      <w:color w:val="000000"/>
      <w:sz w:val="32"/>
    </w:rPr>
  </w:style>
  <w:style w:type="character" w:customStyle="1" w:styleId="Heading5Char">
    <w:name w:val="Heading 5 Char"/>
    <w:aliases w:val="Block Label Char"/>
    <w:basedOn w:val="DefaultParagraphFont"/>
    <w:link w:val="Heading5"/>
    <w:rsid w:val="00504F80"/>
    <w:rPr>
      <w:rFonts w:eastAsia="Times New Roman"/>
      <w:b/>
      <w:color w:val="000000"/>
      <w:sz w:val="22"/>
    </w:rPr>
  </w:style>
  <w:style w:type="paragraph" w:customStyle="1" w:styleId="BlockLine">
    <w:name w:val="Block Line"/>
    <w:basedOn w:val="Normal"/>
    <w:next w:val="Normal"/>
    <w:rsid w:val="00C24D50"/>
    <w:pPr>
      <w:pBdr>
        <w:top w:val="single" w:sz="6" w:space="1" w:color="000000"/>
        <w:between w:val="single" w:sz="6" w:space="1" w:color="auto"/>
      </w:pBdr>
      <w:spacing w:before="240"/>
      <w:ind w:left="1728"/>
    </w:pPr>
    <w:rPr>
      <w:szCs w:val="20"/>
    </w:rPr>
  </w:style>
  <w:style w:type="paragraph" w:styleId="BlockText">
    <w:name w:val="Block Text"/>
    <w:basedOn w:val="Normal"/>
    <w:rsid w:val="00C24D50"/>
  </w:style>
  <w:style w:type="paragraph" w:customStyle="1" w:styleId="BulletText1">
    <w:name w:val="Bullet Text 1"/>
    <w:basedOn w:val="Normal"/>
    <w:rsid w:val="00C24D50"/>
    <w:pPr>
      <w:numPr>
        <w:numId w:val="2"/>
      </w:numPr>
    </w:pPr>
    <w:rPr>
      <w:szCs w:val="20"/>
    </w:rPr>
  </w:style>
  <w:style w:type="paragraph" w:customStyle="1" w:styleId="ContinuedOnNextPa">
    <w:name w:val="Continued On Next Pa"/>
    <w:basedOn w:val="Normal"/>
    <w:next w:val="Normal"/>
    <w:rsid w:val="00C24D50"/>
    <w:pPr>
      <w:pBdr>
        <w:top w:val="single" w:sz="6" w:space="1" w:color="000000"/>
        <w:between w:val="single" w:sz="6" w:space="1" w:color="auto"/>
      </w:pBdr>
      <w:spacing w:before="240"/>
      <w:ind w:left="1728"/>
      <w:jc w:val="right"/>
    </w:pPr>
    <w:rPr>
      <w:i/>
      <w:sz w:val="20"/>
      <w:szCs w:val="20"/>
    </w:rPr>
  </w:style>
  <w:style w:type="paragraph" w:customStyle="1" w:styleId="TableText">
    <w:name w:val="Table Text"/>
    <w:basedOn w:val="Normal"/>
    <w:rsid w:val="00C24D50"/>
    <w:rPr>
      <w:szCs w:val="20"/>
    </w:rPr>
  </w:style>
  <w:style w:type="paragraph" w:customStyle="1" w:styleId="TableHeaderText">
    <w:name w:val="Table Header Text"/>
    <w:basedOn w:val="Normal"/>
    <w:rsid w:val="00C24D50"/>
    <w:pPr>
      <w:jc w:val="center"/>
    </w:pPr>
    <w:rPr>
      <w:b/>
      <w:szCs w:val="20"/>
    </w:rPr>
  </w:style>
  <w:style w:type="paragraph" w:customStyle="1" w:styleId="MapTitleContinued">
    <w:name w:val="Map Title. Continued"/>
    <w:basedOn w:val="Normal"/>
    <w:next w:val="Normal"/>
    <w:rsid w:val="00C24D50"/>
    <w:pPr>
      <w:spacing w:after="240"/>
    </w:pPr>
    <w:rPr>
      <w:rFonts w:ascii="Arial" w:hAnsi="Arial" w:cs="Arial"/>
      <w:b/>
      <w:sz w:val="32"/>
      <w:szCs w:val="20"/>
    </w:rPr>
  </w:style>
  <w:style w:type="paragraph" w:customStyle="1" w:styleId="BulletText2">
    <w:name w:val="Bullet Text 2"/>
    <w:basedOn w:val="Normal"/>
    <w:rsid w:val="00C24D50"/>
    <w:pPr>
      <w:numPr>
        <w:numId w:val="3"/>
      </w:numPr>
    </w:pPr>
    <w:rPr>
      <w:szCs w:val="20"/>
    </w:rPr>
  </w:style>
  <w:style w:type="character" w:styleId="Hyperlink">
    <w:name w:val="Hyperlink"/>
    <w:uiPriority w:val="99"/>
    <w:rsid w:val="00C24D50"/>
    <w:rPr>
      <w:color w:val="0000FF"/>
      <w:u w:val="single"/>
    </w:rPr>
  </w:style>
  <w:style w:type="paragraph" w:customStyle="1" w:styleId="ContinuedTableLabe">
    <w:name w:val="Continued Table Labe"/>
    <w:basedOn w:val="Normal"/>
    <w:next w:val="Normal"/>
    <w:rsid w:val="00C24D50"/>
    <w:pPr>
      <w:spacing w:after="240"/>
    </w:pPr>
    <w:rPr>
      <w:b/>
      <w:sz w:val="22"/>
      <w:szCs w:val="20"/>
    </w:rPr>
  </w:style>
  <w:style w:type="paragraph" w:customStyle="1" w:styleId="MemoLine">
    <w:name w:val="Memo Line"/>
    <w:basedOn w:val="BlockLine"/>
    <w:next w:val="Normal"/>
    <w:rsid w:val="00C24D50"/>
  </w:style>
  <w:style w:type="paragraph" w:styleId="Footer">
    <w:name w:val="footer"/>
    <w:basedOn w:val="Normal"/>
    <w:link w:val="FooterChar"/>
    <w:rsid w:val="00C24D50"/>
    <w:pPr>
      <w:tabs>
        <w:tab w:val="center" w:pos="4680"/>
        <w:tab w:val="right" w:pos="9360"/>
      </w:tabs>
    </w:pPr>
    <w:rPr>
      <w:color w:val="auto"/>
    </w:rPr>
  </w:style>
  <w:style w:type="character" w:customStyle="1" w:styleId="FooterChar">
    <w:name w:val="Footer Char"/>
    <w:link w:val="Footer"/>
    <w:rsid w:val="00C24D50"/>
    <w:rPr>
      <w:rFonts w:eastAsia="Times New Roman"/>
      <w:sz w:val="24"/>
      <w:szCs w:val="24"/>
    </w:rPr>
  </w:style>
  <w:style w:type="character" w:styleId="PageNumber">
    <w:name w:val="page number"/>
    <w:basedOn w:val="DefaultParagraphFont"/>
    <w:rsid w:val="00504F80"/>
  </w:style>
  <w:style w:type="character" w:styleId="CommentReference">
    <w:name w:val="annotation reference"/>
    <w:basedOn w:val="DefaultParagraphFont"/>
    <w:uiPriority w:val="99"/>
    <w:semiHidden/>
    <w:unhideWhenUsed/>
    <w:rsid w:val="00B96287"/>
    <w:rPr>
      <w:sz w:val="16"/>
      <w:szCs w:val="16"/>
    </w:rPr>
  </w:style>
  <w:style w:type="paragraph" w:styleId="CommentText">
    <w:name w:val="annotation text"/>
    <w:basedOn w:val="Normal"/>
    <w:link w:val="CommentTextChar"/>
    <w:uiPriority w:val="99"/>
    <w:semiHidden/>
    <w:unhideWhenUsed/>
    <w:rsid w:val="00B96287"/>
    <w:rPr>
      <w:sz w:val="20"/>
      <w:szCs w:val="20"/>
    </w:rPr>
  </w:style>
  <w:style w:type="character" w:customStyle="1" w:styleId="CommentTextChar">
    <w:name w:val="Comment Text Char"/>
    <w:basedOn w:val="DefaultParagraphFont"/>
    <w:link w:val="CommentText"/>
    <w:uiPriority w:val="99"/>
    <w:semiHidden/>
    <w:rsid w:val="00B96287"/>
    <w:rPr>
      <w:rFonts w:eastAsia="Times New Roman"/>
      <w:color w:val="000000"/>
    </w:rPr>
  </w:style>
  <w:style w:type="paragraph" w:styleId="CommentSubject">
    <w:name w:val="annotation subject"/>
    <w:basedOn w:val="CommentText"/>
    <w:next w:val="CommentText"/>
    <w:link w:val="CommentSubjectChar"/>
    <w:uiPriority w:val="99"/>
    <w:semiHidden/>
    <w:unhideWhenUsed/>
    <w:rsid w:val="00B96287"/>
    <w:rPr>
      <w:b/>
      <w:bCs/>
    </w:rPr>
  </w:style>
  <w:style w:type="character" w:customStyle="1" w:styleId="CommentSubjectChar">
    <w:name w:val="Comment Subject Char"/>
    <w:basedOn w:val="CommentTextChar"/>
    <w:link w:val="CommentSubject"/>
    <w:uiPriority w:val="99"/>
    <w:semiHidden/>
    <w:rsid w:val="00B96287"/>
    <w:rPr>
      <w:rFonts w:eastAsia="Times New Roman"/>
      <w:b/>
      <w:bCs/>
      <w:color w:val="000000"/>
    </w:rPr>
  </w:style>
  <w:style w:type="paragraph" w:styleId="BalloonText">
    <w:name w:val="Balloon Text"/>
    <w:basedOn w:val="Normal"/>
    <w:link w:val="BalloonTextChar"/>
    <w:semiHidden/>
    <w:rsid w:val="00C24D50"/>
    <w:rPr>
      <w:rFonts w:ascii="Tahoma" w:hAnsi="Tahoma" w:cs="Tahoma"/>
      <w:sz w:val="16"/>
      <w:szCs w:val="16"/>
    </w:rPr>
  </w:style>
  <w:style w:type="character" w:customStyle="1" w:styleId="BalloonTextChar">
    <w:name w:val="Balloon Text Char"/>
    <w:basedOn w:val="DefaultParagraphFont"/>
    <w:link w:val="BalloonText"/>
    <w:semiHidden/>
    <w:rsid w:val="00B96287"/>
    <w:rPr>
      <w:rFonts w:ascii="Tahoma" w:eastAsia="Times New Roman" w:hAnsi="Tahoma" w:cs="Tahoma"/>
      <w:color w:val="000000"/>
      <w:sz w:val="16"/>
      <w:szCs w:val="16"/>
    </w:rPr>
  </w:style>
  <w:style w:type="character" w:customStyle="1" w:styleId="Heading1Char">
    <w:name w:val="Heading 1 Char"/>
    <w:aliases w:val="Part Title Char"/>
    <w:basedOn w:val="DefaultParagraphFont"/>
    <w:link w:val="Heading1"/>
    <w:rsid w:val="00C24D50"/>
    <w:rPr>
      <w:rFonts w:ascii="Arial" w:eastAsia="Times New Roman" w:hAnsi="Arial" w:cs="Arial"/>
      <w:b/>
      <w:color w:val="000000"/>
      <w:sz w:val="32"/>
    </w:rPr>
  </w:style>
  <w:style w:type="character" w:customStyle="1" w:styleId="Heading2Char">
    <w:name w:val="Heading 2 Char"/>
    <w:aliases w:val="Chapter Title Char"/>
    <w:basedOn w:val="DefaultParagraphFont"/>
    <w:link w:val="Heading2"/>
    <w:rsid w:val="00C24D50"/>
    <w:rPr>
      <w:rFonts w:ascii="Arial" w:eastAsia="Times New Roman" w:hAnsi="Arial" w:cs="Arial"/>
      <w:b/>
      <w:color w:val="000000"/>
      <w:sz w:val="32"/>
    </w:rPr>
  </w:style>
  <w:style w:type="character" w:customStyle="1" w:styleId="Heading3Char">
    <w:name w:val="Heading 3 Char"/>
    <w:aliases w:val="Section Title Char"/>
    <w:basedOn w:val="DefaultParagraphFont"/>
    <w:link w:val="Heading3"/>
    <w:rsid w:val="00C24D50"/>
    <w:rPr>
      <w:rFonts w:ascii="Arial" w:eastAsia="Times New Roman" w:hAnsi="Arial" w:cs="Arial"/>
      <w:b/>
      <w:color w:val="000000"/>
      <w:sz w:val="32"/>
    </w:rPr>
  </w:style>
  <w:style w:type="character" w:customStyle="1" w:styleId="Heading6Char">
    <w:name w:val="Heading 6 Char"/>
    <w:aliases w:val="Sub Label Char"/>
    <w:basedOn w:val="DefaultParagraphFont"/>
    <w:link w:val="Heading6"/>
    <w:rsid w:val="00C24D50"/>
    <w:rPr>
      <w:rFonts w:eastAsia="Times New Roman"/>
      <w:b/>
      <w:i/>
      <w:color w:val="000000"/>
      <w:sz w:val="22"/>
    </w:rPr>
  </w:style>
  <w:style w:type="paragraph" w:customStyle="1" w:styleId="BulletText3">
    <w:name w:val="Bullet Text 3"/>
    <w:basedOn w:val="Normal"/>
    <w:rsid w:val="00C24D50"/>
    <w:pPr>
      <w:numPr>
        <w:numId w:val="4"/>
      </w:numPr>
      <w:tabs>
        <w:tab w:val="clear" w:pos="173"/>
      </w:tabs>
      <w:ind w:left="533" w:hanging="173"/>
    </w:pPr>
    <w:rPr>
      <w:szCs w:val="20"/>
    </w:rPr>
  </w:style>
  <w:style w:type="paragraph" w:customStyle="1" w:styleId="ContinuedBlockLabel">
    <w:name w:val="Continued Block Label"/>
    <w:basedOn w:val="Normal"/>
    <w:next w:val="Normal"/>
    <w:rsid w:val="00C24D50"/>
    <w:pPr>
      <w:spacing w:after="240"/>
    </w:pPr>
    <w:rPr>
      <w:b/>
      <w:sz w:val="22"/>
      <w:szCs w:val="20"/>
    </w:rPr>
  </w:style>
  <w:style w:type="paragraph" w:customStyle="1" w:styleId="EmbeddedText">
    <w:name w:val="Embedded Text"/>
    <w:basedOn w:val="Normal"/>
    <w:rsid w:val="00C24D50"/>
    <w:rPr>
      <w:szCs w:val="20"/>
    </w:rPr>
  </w:style>
  <w:style w:type="character" w:styleId="HTMLAcronym">
    <w:name w:val="HTML Acronym"/>
    <w:basedOn w:val="DefaultParagraphFont"/>
    <w:rsid w:val="00C24D50"/>
  </w:style>
  <w:style w:type="paragraph" w:customStyle="1" w:styleId="IMTOC">
    <w:name w:val="IMTOC"/>
    <w:rsid w:val="00C24D50"/>
    <w:rPr>
      <w:rFonts w:eastAsia="Times New Roman"/>
      <w:sz w:val="24"/>
    </w:rPr>
  </w:style>
  <w:style w:type="paragraph" w:customStyle="1" w:styleId="NoteText">
    <w:name w:val="Note Text"/>
    <w:basedOn w:val="Normal"/>
    <w:rsid w:val="00C24D50"/>
    <w:rPr>
      <w:szCs w:val="20"/>
    </w:rPr>
  </w:style>
  <w:style w:type="paragraph" w:customStyle="1" w:styleId="PublicationTitle">
    <w:name w:val="Publication Title"/>
    <w:basedOn w:val="Normal"/>
    <w:next w:val="Heading4"/>
    <w:rsid w:val="00C24D50"/>
    <w:pPr>
      <w:spacing w:after="240"/>
      <w:jc w:val="center"/>
    </w:pPr>
    <w:rPr>
      <w:rFonts w:ascii="Arial" w:hAnsi="Arial" w:cs="Arial"/>
      <w:b/>
      <w:sz w:val="32"/>
      <w:szCs w:val="20"/>
    </w:rPr>
  </w:style>
  <w:style w:type="table" w:styleId="TableGrid">
    <w:name w:val="Table Grid"/>
    <w:basedOn w:val="TableNormal"/>
    <w:rsid w:val="00C24D50"/>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OCTitle">
    <w:name w:val="TOC Title"/>
    <w:basedOn w:val="Normal"/>
    <w:rsid w:val="00C24D50"/>
    <w:pPr>
      <w:widowControl w:val="0"/>
    </w:pPr>
    <w:rPr>
      <w:rFonts w:ascii="Arial" w:hAnsi="Arial" w:cs="Arial"/>
      <w:b/>
      <w:sz w:val="32"/>
      <w:szCs w:val="20"/>
    </w:rPr>
  </w:style>
  <w:style w:type="paragraph" w:customStyle="1" w:styleId="TOCItem">
    <w:name w:val="TOCItem"/>
    <w:basedOn w:val="Normal"/>
    <w:rsid w:val="00C24D50"/>
    <w:pPr>
      <w:tabs>
        <w:tab w:val="left" w:leader="dot" w:pos="7061"/>
        <w:tab w:val="right" w:pos="7524"/>
      </w:tabs>
      <w:spacing w:before="60" w:after="60"/>
      <w:ind w:right="465"/>
    </w:pPr>
    <w:rPr>
      <w:szCs w:val="20"/>
    </w:rPr>
  </w:style>
  <w:style w:type="paragraph" w:customStyle="1" w:styleId="TOCStem">
    <w:name w:val="TOCStem"/>
    <w:basedOn w:val="Normal"/>
    <w:rsid w:val="00C24D50"/>
    <w:rPr>
      <w:szCs w:val="20"/>
    </w:rPr>
  </w:style>
  <w:style w:type="paragraph" w:styleId="Header">
    <w:name w:val="header"/>
    <w:basedOn w:val="Normal"/>
    <w:link w:val="HeaderChar"/>
    <w:rsid w:val="00C24D50"/>
    <w:pPr>
      <w:tabs>
        <w:tab w:val="center" w:pos="4680"/>
        <w:tab w:val="right" w:pos="9360"/>
      </w:tabs>
    </w:pPr>
    <w:rPr>
      <w:color w:val="auto"/>
    </w:rPr>
  </w:style>
  <w:style w:type="character" w:customStyle="1" w:styleId="HeaderChar">
    <w:name w:val="Header Char"/>
    <w:link w:val="Header"/>
    <w:rsid w:val="00C24D50"/>
    <w:rPr>
      <w:rFonts w:eastAsia="Times New Roman"/>
      <w:sz w:val="24"/>
      <w:szCs w:val="24"/>
    </w:rPr>
  </w:style>
  <w:style w:type="character" w:styleId="FollowedHyperlink">
    <w:name w:val="FollowedHyperlink"/>
    <w:rsid w:val="00C24D50"/>
    <w:rPr>
      <w:color w:val="800080"/>
      <w:u w:val="single"/>
    </w:rPr>
  </w:style>
  <w:style w:type="paragraph" w:styleId="TOC3">
    <w:name w:val="toc 3"/>
    <w:basedOn w:val="Normal"/>
    <w:next w:val="Normal"/>
    <w:autoRedefine/>
    <w:uiPriority w:val="39"/>
    <w:rsid w:val="00C24D50"/>
    <w:pPr>
      <w:ind w:left="480"/>
    </w:pPr>
  </w:style>
  <w:style w:type="paragraph" w:styleId="TOC4">
    <w:name w:val="toc 4"/>
    <w:basedOn w:val="Normal"/>
    <w:next w:val="Normal"/>
    <w:autoRedefine/>
    <w:uiPriority w:val="39"/>
    <w:rsid w:val="00C24D50"/>
    <w:pPr>
      <w:ind w:left="720"/>
    </w:pPr>
  </w:style>
  <w:style w:type="paragraph" w:styleId="ListParagraph">
    <w:name w:val="List Paragraph"/>
    <w:basedOn w:val="Normal"/>
    <w:uiPriority w:val="34"/>
    <w:qFormat/>
    <w:rsid w:val="002C6E9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0334685">
      <w:bodyDiv w:val="1"/>
      <w:marLeft w:val="0"/>
      <w:marRight w:val="0"/>
      <w:marTop w:val="0"/>
      <w:marBottom w:val="0"/>
      <w:divBdr>
        <w:top w:val="none" w:sz="0" w:space="0" w:color="auto"/>
        <w:left w:val="none" w:sz="0" w:space="0" w:color="auto"/>
        <w:bottom w:val="none" w:sz="0" w:space="0" w:color="auto"/>
        <w:right w:val="none" w:sz="0" w:space="0" w:color="auto"/>
      </w:divBdr>
    </w:div>
    <w:div w:id="1489512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Information%20Mapping\FS%20Pro%204.2\FSPr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rder0 xmlns="b438dcf7-3998-4283-b7fc-0ec6fa8e430f">1</Order0>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3776AF772BF364D8E899CBB1EA8E540" ma:contentTypeVersion="2" ma:contentTypeDescription="Create a new document." ma:contentTypeScope="" ma:versionID="f46cc7b5527e7c7d5dbbc0c04eeeb083">
  <xsd:schema xmlns:xsd="http://www.w3.org/2001/XMLSchema" xmlns:xs="http://www.w3.org/2001/XMLSchema" xmlns:p="http://schemas.microsoft.com/office/2006/metadata/properties" xmlns:ns2="b438dcf7-3998-4283-b7fc-0ec6fa8e430f" targetNamespace="http://schemas.microsoft.com/office/2006/metadata/properties" ma:root="true" ma:fieldsID="f3f4c0ff34dd50b43aae98cd4e8e0e68" ns2:_="">
    <xsd:import namespace="b438dcf7-3998-4283-b7fc-0ec6fa8e430f"/>
    <xsd:element name="properties">
      <xsd:complexType>
        <xsd:sequence>
          <xsd:element name="documentManagement">
            <xsd:complexType>
              <xsd:all>
                <xsd:element ref="ns2:Order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38dcf7-3998-4283-b7fc-0ec6fa8e430f" elementFormDefault="qualified">
    <xsd:import namespace="http://schemas.microsoft.com/office/2006/documentManagement/types"/>
    <xsd:import namespace="http://schemas.microsoft.com/office/infopath/2007/PartnerControls"/>
    <xsd:element name="Order0" ma:index="8" ma:displayName="Order" ma:internalName="Order0"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F55FE2-175B-4D19-B4BB-51FFB039E27D}">
  <ds:schemaRefs>
    <ds:schemaRef ds:uri="http://schemas.microsoft.com/office/2006/metadata/longProperties"/>
  </ds:schemaRefs>
</ds:datastoreItem>
</file>

<file path=customXml/itemProps2.xml><?xml version="1.0" encoding="utf-8"?>
<ds:datastoreItem xmlns:ds="http://schemas.openxmlformats.org/officeDocument/2006/customXml" ds:itemID="{27B0E5C3-A606-4E28-86F8-925CC17CA5BD}">
  <ds:schemaRefs>
    <ds:schemaRef ds:uri="http://schemas.microsoft.com/sharepoint/v3/contenttype/forms"/>
  </ds:schemaRefs>
</ds:datastoreItem>
</file>

<file path=customXml/itemProps3.xml><?xml version="1.0" encoding="utf-8"?>
<ds:datastoreItem xmlns:ds="http://schemas.openxmlformats.org/officeDocument/2006/customXml" ds:itemID="{BA5C2D9C-ED21-4FEC-AA0B-58790ABE5BE5}">
  <ds:schemaRefs>
    <ds:schemaRef ds:uri="http://www.w3.org/XML/1998/namespace"/>
    <ds:schemaRef ds:uri="http://purl.org/dc/elements/1.1/"/>
    <ds:schemaRef ds:uri="http://schemas.microsoft.com/office/2006/documentManagement/types"/>
    <ds:schemaRef ds:uri="http://purl.org/dc/dcmitype/"/>
    <ds:schemaRef ds:uri="http://purl.org/dc/terms/"/>
    <ds:schemaRef ds:uri="http://schemas.microsoft.com/office/infopath/2007/PartnerControls"/>
    <ds:schemaRef ds:uri="http://schemas.openxmlformats.org/package/2006/metadata/core-properties"/>
    <ds:schemaRef ds:uri="b438dcf7-3998-4283-b7fc-0ec6fa8e430f"/>
    <ds:schemaRef ds:uri="http://schemas.microsoft.com/office/2006/metadata/properties"/>
  </ds:schemaRefs>
</ds:datastoreItem>
</file>

<file path=customXml/itemProps4.xml><?xml version="1.0" encoding="utf-8"?>
<ds:datastoreItem xmlns:ds="http://schemas.openxmlformats.org/officeDocument/2006/customXml" ds:itemID="{5EECCB22-8598-4161-8D05-008F882A5A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38dcf7-3998-4283-b7fc-0ec6fa8e43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FSPro</Template>
  <TotalTime>408</TotalTime>
  <Pages>5</Pages>
  <Words>1615</Words>
  <Characters>9210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Department of Veterans Affairs</Company>
  <LinksUpToDate>false</LinksUpToDate>
  <CharactersWithSpaces>10804</CharactersWithSpaces>
  <SharedDoc>false</SharedDoc>
  <HLinks>
    <vt:vector size="6" baseType="variant">
      <vt:variant>
        <vt:i4>7995443</vt:i4>
      </vt:variant>
      <vt:variant>
        <vt:i4>0</vt:i4>
      </vt:variant>
      <vt:variant>
        <vt:i4>0</vt:i4>
      </vt:variant>
      <vt:variant>
        <vt:i4>5</vt:i4>
      </vt:variant>
      <vt:variant>
        <vt:lpwstr>http://vbaw.vba.va.gov/bl/21/Systems/awards.htm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capjpier</dc:creator>
  <cp:keywords/>
  <dc:description/>
  <cp:lastModifiedBy>Chelgreen, Amy M.</cp:lastModifiedBy>
  <cp:revision>58</cp:revision>
  <dcterms:created xsi:type="dcterms:W3CDTF">2012-10-04T14:09:00Z</dcterms:created>
  <dcterms:modified xsi:type="dcterms:W3CDTF">2015-08-13T14:25:00Z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0x010100A3776AF772BF364D8E899CBB1EA8E540</vt:lpwstr>
  </property>
</Properties>
</file>