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67B6" w14:textId="4CDAAF6F" w:rsidR="00372DF4" w:rsidRDefault="00372DF4" w:rsidP="00372DF4">
      <w:pPr>
        <w:pStyle w:val="BlockText"/>
      </w:pPr>
    </w:p>
    <w:p w14:paraId="1CED73EE" w14:textId="63BDC087" w:rsidR="009576AB" w:rsidRPr="004A49EF" w:rsidRDefault="009576AB">
      <w:pPr>
        <w:pStyle w:val="Heading3"/>
      </w:pPr>
      <w:r w:rsidRPr="004A49EF">
        <w:t>Section B.  Determining Service Connection</w:t>
      </w:r>
      <w:r w:rsidR="00B8595C" w:rsidRPr="004A49EF">
        <w:t xml:space="preserve"> </w:t>
      </w:r>
      <w:r w:rsidR="001E57F7" w:rsidRPr="004A49EF">
        <w:t>(SC)</w:t>
      </w:r>
    </w:p>
    <w:p w14:paraId="5C8533FF" w14:textId="6132BAF4" w:rsidR="009576AB" w:rsidRPr="004A49EF" w:rsidRDefault="009576AB">
      <w:pPr>
        <w:pStyle w:val="Heading4"/>
      </w:pPr>
      <w:r w:rsidRPr="004A49EF">
        <w:t>Overview</w:t>
      </w:r>
    </w:p>
    <w:p w14:paraId="7D28A2DD" w14:textId="77777777"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052D1FCF" w14:textId="77777777">
        <w:trPr>
          <w:cantSplit/>
        </w:trPr>
        <w:tc>
          <w:tcPr>
            <w:tcW w:w="1728" w:type="dxa"/>
          </w:tcPr>
          <w:p w14:paraId="1AFCE156" w14:textId="30F88542" w:rsidR="009576AB" w:rsidRPr="004A49EF" w:rsidRDefault="009576AB" w:rsidP="00771B71">
            <w:pPr>
              <w:pStyle w:val="Heading5"/>
            </w:pPr>
            <w:r w:rsidRPr="004A49EF">
              <w:t xml:space="preserve">In </w:t>
            </w:r>
            <w:r w:rsidR="00771B71" w:rsidRPr="004A49EF">
              <w:t>T</w:t>
            </w:r>
            <w:r w:rsidRPr="004A49EF">
              <w:t>his Section</w:t>
            </w:r>
          </w:p>
        </w:tc>
        <w:tc>
          <w:tcPr>
            <w:tcW w:w="7740" w:type="dxa"/>
          </w:tcPr>
          <w:p w14:paraId="725D6D0A" w14:textId="77777777" w:rsidR="009576AB" w:rsidRPr="004A49EF" w:rsidRDefault="009576AB" w:rsidP="00771B71">
            <w:pPr>
              <w:pStyle w:val="BlockText"/>
            </w:pPr>
            <w:r w:rsidRPr="004A49EF">
              <w:t>This section contains the following topics:</w:t>
            </w:r>
          </w:p>
        </w:tc>
      </w:tr>
    </w:tbl>
    <w:p w14:paraId="2F29EF63" w14:textId="77777777" w:rsidR="009576AB" w:rsidRPr="004A49EF" w:rsidRDefault="009576AB"/>
    <w:tbl>
      <w:tblPr>
        <w:tblW w:w="7730" w:type="dxa"/>
        <w:tblInd w:w="1800" w:type="dxa"/>
        <w:tblLayout w:type="fixed"/>
        <w:tblCellMar>
          <w:left w:w="80" w:type="dxa"/>
          <w:right w:w="80" w:type="dxa"/>
        </w:tblCellMar>
        <w:tblLook w:val="0000" w:firstRow="0" w:lastRow="0" w:firstColumn="0" w:lastColumn="0" w:noHBand="0" w:noVBand="0"/>
      </w:tblPr>
      <w:tblGrid>
        <w:gridCol w:w="1296"/>
        <w:gridCol w:w="6434"/>
      </w:tblGrid>
      <w:tr w:rsidR="001C645A" w:rsidRPr="004A49EF" w14:paraId="7D51ECCC" w14:textId="77777777" w:rsidTr="003D7E3A">
        <w:trPr>
          <w:cantSplit/>
        </w:trPr>
        <w:tc>
          <w:tcPr>
            <w:tcW w:w="1296" w:type="dxa"/>
            <w:tcBorders>
              <w:top w:val="single" w:sz="6" w:space="0" w:color="auto"/>
              <w:left w:val="single" w:sz="6" w:space="0" w:color="auto"/>
              <w:bottom w:val="single" w:sz="6" w:space="0" w:color="auto"/>
              <w:right w:val="single" w:sz="6" w:space="0" w:color="auto"/>
            </w:tcBorders>
          </w:tcPr>
          <w:p w14:paraId="76D182BA" w14:textId="77777777" w:rsidR="001C645A" w:rsidRPr="004A49EF" w:rsidRDefault="001C645A">
            <w:pPr>
              <w:pStyle w:val="TableHeaderText"/>
            </w:pPr>
            <w:r w:rsidRPr="004A49EF">
              <w:t>Topic</w:t>
            </w:r>
          </w:p>
        </w:tc>
        <w:tc>
          <w:tcPr>
            <w:tcW w:w="6434" w:type="dxa"/>
            <w:tcBorders>
              <w:top w:val="single" w:sz="6" w:space="0" w:color="auto"/>
              <w:left w:val="single" w:sz="6" w:space="0" w:color="auto"/>
              <w:bottom w:val="single" w:sz="6" w:space="0" w:color="auto"/>
              <w:right w:val="single" w:sz="6" w:space="0" w:color="auto"/>
            </w:tcBorders>
          </w:tcPr>
          <w:p w14:paraId="5E910AA3" w14:textId="77777777" w:rsidR="001C645A" w:rsidRPr="004A49EF" w:rsidRDefault="001C645A">
            <w:pPr>
              <w:pStyle w:val="TableHeaderText"/>
            </w:pPr>
            <w:r w:rsidRPr="004A49EF">
              <w:t>Topic Name</w:t>
            </w:r>
          </w:p>
        </w:tc>
      </w:tr>
      <w:tr w:rsidR="001C645A" w:rsidRPr="004A49EF" w14:paraId="2A4B6303" w14:textId="77777777" w:rsidTr="003D7E3A">
        <w:trPr>
          <w:cantSplit/>
        </w:trPr>
        <w:tc>
          <w:tcPr>
            <w:tcW w:w="1296" w:type="dxa"/>
            <w:tcBorders>
              <w:top w:val="single" w:sz="6" w:space="0" w:color="auto"/>
              <w:left w:val="single" w:sz="6" w:space="0" w:color="auto"/>
              <w:bottom w:val="single" w:sz="6" w:space="0" w:color="auto"/>
              <w:right w:val="single" w:sz="6" w:space="0" w:color="auto"/>
            </w:tcBorders>
          </w:tcPr>
          <w:p w14:paraId="4AF6494B" w14:textId="6CB34D2A" w:rsidR="001C645A" w:rsidRPr="004A49EF" w:rsidRDefault="001C645A" w:rsidP="002B0A92">
            <w:pPr>
              <w:pStyle w:val="TableText"/>
              <w:jc w:val="center"/>
            </w:pPr>
            <w:r w:rsidRPr="004A49EF">
              <w:t>1</w:t>
            </w:r>
          </w:p>
        </w:tc>
        <w:tc>
          <w:tcPr>
            <w:tcW w:w="6434" w:type="dxa"/>
            <w:tcBorders>
              <w:top w:val="single" w:sz="6" w:space="0" w:color="auto"/>
              <w:left w:val="single" w:sz="6" w:space="0" w:color="auto"/>
              <w:bottom w:val="single" w:sz="6" w:space="0" w:color="auto"/>
              <w:right w:val="single" w:sz="6" w:space="0" w:color="auto"/>
            </w:tcBorders>
          </w:tcPr>
          <w:p w14:paraId="65668D66" w14:textId="788A4421" w:rsidR="001C645A" w:rsidRPr="004A49EF" w:rsidRDefault="001C645A" w:rsidP="001E57F7">
            <w:pPr>
              <w:pStyle w:val="TableText"/>
            </w:pPr>
            <w:r w:rsidRPr="004A49EF">
              <w:t>Determining Direct SC</w:t>
            </w:r>
          </w:p>
        </w:tc>
      </w:tr>
      <w:tr w:rsidR="001C645A" w:rsidRPr="004A49EF" w14:paraId="3C81B256" w14:textId="77777777" w:rsidTr="003D7E3A">
        <w:trPr>
          <w:cantSplit/>
        </w:trPr>
        <w:tc>
          <w:tcPr>
            <w:tcW w:w="1296" w:type="dxa"/>
            <w:tcBorders>
              <w:top w:val="single" w:sz="6" w:space="0" w:color="auto"/>
              <w:left w:val="single" w:sz="6" w:space="0" w:color="auto"/>
              <w:bottom w:val="single" w:sz="6" w:space="0" w:color="auto"/>
              <w:right w:val="single" w:sz="6" w:space="0" w:color="auto"/>
            </w:tcBorders>
          </w:tcPr>
          <w:p w14:paraId="29224594" w14:textId="77777777" w:rsidR="001C645A" w:rsidRPr="004A49EF" w:rsidRDefault="001C645A">
            <w:pPr>
              <w:pStyle w:val="TableText"/>
              <w:jc w:val="center"/>
            </w:pPr>
            <w:r w:rsidRPr="004A49EF">
              <w:t>2</w:t>
            </w:r>
          </w:p>
        </w:tc>
        <w:tc>
          <w:tcPr>
            <w:tcW w:w="6434" w:type="dxa"/>
            <w:tcBorders>
              <w:top w:val="single" w:sz="6" w:space="0" w:color="auto"/>
              <w:left w:val="single" w:sz="6" w:space="0" w:color="auto"/>
              <w:bottom w:val="single" w:sz="6" w:space="0" w:color="auto"/>
              <w:right w:val="single" w:sz="6" w:space="0" w:color="auto"/>
            </w:tcBorders>
          </w:tcPr>
          <w:p w14:paraId="22D4104A" w14:textId="0FA19378" w:rsidR="001C645A" w:rsidRPr="004A49EF" w:rsidRDefault="001C645A" w:rsidP="001E57F7">
            <w:pPr>
              <w:pStyle w:val="TableText"/>
            </w:pPr>
            <w:r w:rsidRPr="004A49EF">
              <w:t>Determining Presumptive SC</w:t>
            </w:r>
          </w:p>
        </w:tc>
      </w:tr>
      <w:tr w:rsidR="001C645A" w:rsidRPr="004A49EF" w14:paraId="6E856048" w14:textId="77777777" w:rsidTr="003D7E3A">
        <w:trPr>
          <w:cantSplit/>
        </w:trPr>
        <w:tc>
          <w:tcPr>
            <w:tcW w:w="1296" w:type="dxa"/>
            <w:tcBorders>
              <w:top w:val="single" w:sz="6" w:space="0" w:color="auto"/>
              <w:left w:val="single" w:sz="6" w:space="0" w:color="auto"/>
              <w:bottom w:val="single" w:sz="6" w:space="0" w:color="auto"/>
              <w:right w:val="single" w:sz="6" w:space="0" w:color="auto"/>
            </w:tcBorders>
          </w:tcPr>
          <w:p w14:paraId="56A363B5" w14:textId="7EBE3207" w:rsidR="001C645A" w:rsidRPr="004A49EF" w:rsidRDefault="001C645A" w:rsidP="002B0A92">
            <w:pPr>
              <w:pStyle w:val="TableText"/>
              <w:jc w:val="center"/>
            </w:pPr>
            <w:r w:rsidRPr="004A49EF">
              <w:t>3</w:t>
            </w:r>
          </w:p>
        </w:tc>
        <w:tc>
          <w:tcPr>
            <w:tcW w:w="6434" w:type="dxa"/>
            <w:tcBorders>
              <w:top w:val="single" w:sz="6" w:space="0" w:color="auto"/>
              <w:left w:val="single" w:sz="6" w:space="0" w:color="auto"/>
              <w:bottom w:val="single" w:sz="6" w:space="0" w:color="auto"/>
              <w:right w:val="single" w:sz="6" w:space="0" w:color="auto"/>
            </w:tcBorders>
          </w:tcPr>
          <w:p w14:paraId="5535081F" w14:textId="77777777" w:rsidR="001C645A" w:rsidRPr="004A49EF" w:rsidRDefault="001C645A">
            <w:pPr>
              <w:pStyle w:val="TableText"/>
            </w:pPr>
            <w:r w:rsidRPr="004A49EF">
              <w:t>Determining Service Incurrence of an Injury</w:t>
            </w:r>
          </w:p>
        </w:tc>
      </w:tr>
      <w:tr w:rsidR="001C645A" w:rsidRPr="004A49EF" w14:paraId="3DA4EC87" w14:textId="77777777" w:rsidTr="003D7E3A">
        <w:trPr>
          <w:cantSplit/>
        </w:trPr>
        <w:tc>
          <w:tcPr>
            <w:tcW w:w="1296" w:type="dxa"/>
            <w:tcBorders>
              <w:top w:val="single" w:sz="6" w:space="0" w:color="auto"/>
              <w:left w:val="single" w:sz="6" w:space="0" w:color="auto"/>
              <w:bottom w:val="single" w:sz="6" w:space="0" w:color="auto"/>
              <w:right w:val="single" w:sz="6" w:space="0" w:color="auto"/>
            </w:tcBorders>
          </w:tcPr>
          <w:p w14:paraId="0DCB8DE4" w14:textId="619236AB" w:rsidR="001C645A" w:rsidRPr="004A49EF" w:rsidRDefault="001C645A" w:rsidP="002B0A92">
            <w:pPr>
              <w:pStyle w:val="TableText"/>
              <w:jc w:val="center"/>
            </w:pPr>
            <w:r w:rsidRPr="004A49EF">
              <w:t>4</w:t>
            </w:r>
          </w:p>
        </w:tc>
        <w:tc>
          <w:tcPr>
            <w:tcW w:w="6434" w:type="dxa"/>
            <w:tcBorders>
              <w:top w:val="single" w:sz="6" w:space="0" w:color="auto"/>
              <w:left w:val="single" w:sz="6" w:space="0" w:color="auto"/>
              <w:bottom w:val="single" w:sz="6" w:space="0" w:color="auto"/>
              <w:right w:val="single" w:sz="6" w:space="0" w:color="auto"/>
            </w:tcBorders>
          </w:tcPr>
          <w:p w14:paraId="550F0E50" w14:textId="77777777" w:rsidR="001C645A" w:rsidRPr="004A49EF" w:rsidRDefault="001C645A">
            <w:pPr>
              <w:pStyle w:val="TableText"/>
            </w:pPr>
            <w:r w:rsidRPr="004A49EF">
              <w:t>Determining In-Service Aggravation of Pre-Service Disability</w:t>
            </w:r>
          </w:p>
        </w:tc>
      </w:tr>
      <w:tr w:rsidR="001C645A" w:rsidRPr="004A49EF" w14:paraId="6961C319" w14:textId="77777777" w:rsidTr="003D7E3A">
        <w:trPr>
          <w:cantSplit/>
        </w:trPr>
        <w:tc>
          <w:tcPr>
            <w:tcW w:w="1296" w:type="dxa"/>
            <w:tcBorders>
              <w:top w:val="single" w:sz="6" w:space="0" w:color="auto"/>
              <w:left w:val="single" w:sz="6" w:space="0" w:color="auto"/>
              <w:bottom w:val="single" w:sz="6" w:space="0" w:color="auto"/>
              <w:right w:val="single" w:sz="6" w:space="0" w:color="auto"/>
            </w:tcBorders>
          </w:tcPr>
          <w:p w14:paraId="7B12CC3C" w14:textId="41482F30" w:rsidR="001C645A" w:rsidRPr="004A49EF" w:rsidRDefault="001C645A" w:rsidP="002B0A92">
            <w:pPr>
              <w:pStyle w:val="TableText"/>
              <w:jc w:val="center"/>
            </w:pPr>
            <w:r w:rsidRPr="004A49EF">
              <w:t>5</w:t>
            </w:r>
          </w:p>
        </w:tc>
        <w:tc>
          <w:tcPr>
            <w:tcW w:w="6434" w:type="dxa"/>
            <w:tcBorders>
              <w:top w:val="single" w:sz="6" w:space="0" w:color="auto"/>
              <w:left w:val="single" w:sz="6" w:space="0" w:color="auto"/>
              <w:bottom w:val="single" w:sz="6" w:space="0" w:color="auto"/>
              <w:right w:val="single" w:sz="6" w:space="0" w:color="auto"/>
            </w:tcBorders>
          </w:tcPr>
          <w:p w14:paraId="1B3207CB" w14:textId="08EE3522" w:rsidR="001C645A" w:rsidRPr="004A49EF" w:rsidRDefault="001C645A" w:rsidP="001E57F7">
            <w:pPr>
              <w:pStyle w:val="TableText"/>
            </w:pPr>
            <w:r w:rsidRPr="004A49EF">
              <w:t>Determining Secondary</w:t>
            </w:r>
            <w:r w:rsidR="00350AC3" w:rsidRPr="004A49EF">
              <w:t xml:space="preserve"> </w:t>
            </w:r>
            <w:r w:rsidRPr="004A49EF">
              <w:t>SC, Including by Aggravation</w:t>
            </w:r>
          </w:p>
        </w:tc>
      </w:tr>
      <w:tr w:rsidR="001C645A" w:rsidRPr="004A49EF" w14:paraId="72051A07" w14:textId="77777777" w:rsidTr="003D7E3A">
        <w:trPr>
          <w:cantSplit/>
        </w:trPr>
        <w:tc>
          <w:tcPr>
            <w:tcW w:w="1296" w:type="dxa"/>
            <w:tcBorders>
              <w:top w:val="single" w:sz="6" w:space="0" w:color="auto"/>
              <w:left w:val="single" w:sz="6" w:space="0" w:color="auto"/>
              <w:bottom w:val="single" w:sz="6" w:space="0" w:color="auto"/>
              <w:right w:val="single" w:sz="6" w:space="0" w:color="auto"/>
            </w:tcBorders>
          </w:tcPr>
          <w:p w14:paraId="66867371" w14:textId="35790243" w:rsidR="001C645A" w:rsidRPr="004A49EF" w:rsidRDefault="001C645A" w:rsidP="002B0A92">
            <w:pPr>
              <w:pStyle w:val="TableText"/>
              <w:jc w:val="center"/>
            </w:pPr>
            <w:r w:rsidRPr="004A49EF">
              <w:t>6</w:t>
            </w:r>
          </w:p>
        </w:tc>
        <w:tc>
          <w:tcPr>
            <w:tcW w:w="6434" w:type="dxa"/>
            <w:tcBorders>
              <w:top w:val="single" w:sz="6" w:space="0" w:color="auto"/>
              <w:left w:val="single" w:sz="6" w:space="0" w:color="auto"/>
              <w:bottom w:val="single" w:sz="6" w:space="0" w:color="auto"/>
              <w:right w:val="single" w:sz="6" w:space="0" w:color="auto"/>
            </w:tcBorders>
          </w:tcPr>
          <w:p w14:paraId="4F079C54" w14:textId="29BBD0BF" w:rsidR="001C645A" w:rsidRPr="004A49EF" w:rsidRDefault="001C645A" w:rsidP="001E57F7">
            <w:pPr>
              <w:pStyle w:val="TableText"/>
            </w:pPr>
            <w:r w:rsidRPr="004A49EF">
              <w:t>Determining SC</w:t>
            </w:r>
            <w:r w:rsidR="001E57F7" w:rsidRPr="004A49EF">
              <w:t xml:space="preserve"> </w:t>
            </w:r>
            <w:r w:rsidRPr="004A49EF">
              <w:t>for Congenital, Developmental, or Hereditary Disorders</w:t>
            </w:r>
          </w:p>
        </w:tc>
      </w:tr>
    </w:tbl>
    <w:p w14:paraId="48C484BD" w14:textId="77777777" w:rsidR="009576AB" w:rsidRPr="004A49EF" w:rsidRDefault="009576AB">
      <w:pPr>
        <w:pStyle w:val="BlockLine"/>
      </w:pPr>
    </w:p>
    <w:p w14:paraId="36252CCA" w14:textId="2543EF27" w:rsidR="009576AB" w:rsidRPr="004A49EF" w:rsidRDefault="009576AB">
      <w:pPr>
        <w:pStyle w:val="Heading4"/>
      </w:pPr>
      <w:r w:rsidRPr="004A49EF">
        <w:br w:type="page"/>
      </w:r>
      <w:r w:rsidR="001C645A" w:rsidRPr="004A49EF">
        <w:lastRenderedPageBreak/>
        <w:t>1</w:t>
      </w:r>
      <w:r w:rsidRPr="004A49EF">
        <w:t>.  Determining Direct S</w:t>
      </w:r>
      <w:r w:rsidR="001E57F7" w:rsidRPr="004A49EF">
        <w:t>C</w:t>
      </w:r>
    </w:p>
    <w:p w14:paraId="4B340AF6" w14:textId="17A26BA4"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523C2D4F" w14:textId="77777777">
        <w:trPr>
          <w:cantSplit/>
        </w:trPr>
        <w:tc>
          <w:tcPr>
            <w:tcW w:w="1728" w:type="dxa"/>
          </w:tcPr>
          <w:p w14:paraId="26956772" w14:textId="77777777" w:rsidR="009576AB" w:rsidRPr="004A49EF" w:rsidRDefault="009576AB">
            <w:pPr>
              <w:pStyle w:val="Heading5"/>
            </w:pPr>
            <w:r w:rsidRPr="004A49EF">
              <w:t>Introduction</w:t>
            </w:r>
          </w:p>
        </w:tc>
        <w:tc>
          <w:tcPr>
            <w:tcW w:w="7740" w:type="dxa"/>
          </w:tcPr>
          <w:p w14:paraId="4CAE3F5A" w14:textId="0EC7B32C" w:rsidR="009576AB" w:rsidRPr="004A49EF" w:rsidRDefault="009576AB">
            <w:pPr>
              <w:pStyle w:val="BlockText"/>
            </w:pPr>
            <w:r w:rsidRPr="004A49EF">
              <w:t xml:space="preserve">This topic contains information on determining direct </w:t>
            </w:r>
            <w:r w:rsidR="00762D03" w:rsidRPr="004A49EF">
              <w:t>SC</w:t>
            </w:r>
            <w:r w:rsidRPr="004A49EF">
              <w:t>, including</w:t>
            </w:r>
          </w:p>
          <w:p w14:paraId="53C14FB6" w14:textId="77777777" w:rsidR="009576AB" w:rsidRPr="004A49EF" w:rsidRDefault="009576AB">
            <w:pPr>
              <w:pStyle w:val="BlockText"/>
            </w:pPr>
          </w:p>
          <w:p w14:paraId="3A1BE829" w14:textId="77777777" w:rsidR="00F31FCC" w:rsidRPr="004A49EF" w:rsidRDefault="00F31FCC" w:rsidP="00800FBF">
            <w:pPr>
              <w:pStyle w:val="BulletText1"/>
              <w:tabs>
                <w:tab w:val="clear" w:pos="443"/>
                <w:tab w:val="num" w:pos="162"/>
              </w:tabs>
              <w:ind w:left="162" w:hanging="180"/>
            </w:pPr>
            <w:r w:rsidRPr="004A49EF">
              <w:t xml:space="preserve">overview of direct </w:t>
            </w:r>
            <w:r w:rsidR="00762D03" w:rsidRPr="004A49EF">
              <w:t>SC</w:t>
            </w:r>
          </w:p>
          <w:p w14:paraId="5BA64E13" w14:textId="1B8981D3" w:rsidR="009576AB" w:rsidRPr="004A49EF" w:rsidRDefault="009576AB" w:rsidP="00800FBF">
            <w:pPr>
              <w:pStyle w:val="BulletText1"/>
              <w:tabs>
                <w:tab w:val="clear" w:pos="443"/>
                <w:tab w:val="num" w:pos="162"/>
              </w:tabs>
              <w:ind w:left="162" w:hanging="180"/>
            </w:pPr>
            <w:r w:rsidRPr="004A49EF">
              <w:t>establishing</w:t>
            </w:r>
            <w:r w:rsidR="00186D2A" w:rsidRPr="004A49EF">
              <w:t xml:space="preserve"> direct</w:t>
            </w:r>
            <w:r w:rsidRPr="004A49EF">
              <w:t xml:space="preserve"> </w:t>
            </w:r>
            <w:r w:rsidR="00762D03" w:rsidRPr="004A49EF">
              <w:t>SC</w:t>
            </w:r>
            <w:r w:rsidRPr="004A49EF">
              <w:t xml:space="preserve"> based on</w:t>
            </w:r>
            <w:r w:rsidR="00D833F7" w:rsidRPr="004A49EF">
              <w:t xml:space="preserve"> chronicity</w:t>
            </w:r>
          </w:p>
          <w:p w14:paraId="36D36BC5" w14:textId="2E83F1B4" w:rsidR="009576AB" w:rsidRPr="004A49EF" w:rsidRDefault="00D833F7" w:rsidP="00800FBF">
            <w:pPr>
              <w:pStyle w:val="BulletText1"/>
              <w:tabs>
                <w:tab w:val="clear" w:pos="443"/>
                <w:tab w:val="num" w:pos="162"/>
              </w:tabs>
              <w:ind w:left="162" w:hanging="180"/>
            </w:pPr>
            <w:r w:rsidRPr="004A49EF">
              <w:t xml:space="preserve">establishing </w:t>
            </w:r>
            <w:r w:rsidR="00762D03" w:rsidRPr="004A49EF">
              <w:t>SC</w:t>
            </w:r>
            <w:r w:rsidRPr="004A49EF">
              <w:t xml:space="preserve"> based on continuity of symptoms</w:t>
            </w:r>
          </w:p>
          <w:p w14:paraId="67DA3124" w14:textId="77777777" w:rsidR="00714498" w:rsidRPr="004A49EF" w:rsidRDefault="004B324A" w:rsidP="00800FBF">
            <w:pPr>
              <w:pStyle w:val="BulletText1"/>
              <w:tabs>
                <w:tab w:val="clear" w:pos="443"/>
                <w:tab w:val="num" w:pos="162"/>
              </w:tabs>
              <w:ind w:left="162" w:hanging="180"/>
            </w:pPr>
            <w:r w:rsidRPr="004A49EF">
              <w:t xml:space="preserve">establishing </w:t>
            </w:r>
            <w:r w:rsidR="00714498" w:rsidRPr="004A49EF">
              <w:t xml:space="preserve">direct </w:t>
            </w:r>
            <w:r w:rsidR="00762D03" w:rsidRPr="004A49EF">
              <w:t>SC</w:t>
            </w:r>
            <w:r w:rsidR="00714498" w:rsidRPr="004A49EF">
              <w:t xml:space="preserve"> under 38 CFR 3.303(a)</w:t>
            </w:r>
          </w:p>
          <w:p w14:paraId="389C2458" w14:textId="16DC4542" w:rsidR="00714498" w:rsidRPr="004A49EF" w:rsidRDefault="004B324A" w:rsidP="00800FBF">
            <w:pPr>
              <w:pStyle w:val="BulletText1"/>
              <w:tabs>
                <w:tab w:val="clear" w:pos="443"/>
                <w:tab w:val="num" w:pos="162"/>
              </w:tabs>
              <w:ind w:left="162" w:hanging="180"/>
            </w:pPr>
            <w:r w:rsidRPr="004A49EF">
              <w:t xml:space="preserve">establishing </w:t>
            </w:r>
            <w:r w:rsidR="009576AB" w:rsidRPr="004A49EF">
              <w:t xml:space="preserve">direct </w:t>
            </w:r>
            <w:r w:rsidR="00762D03" w:rsidRPr="004A49EF">
              <w:t>SC</w:t>
            </w:r>
            <w:r w:rsidR="009576AB" w:rsidRPr="004A49EF">
              <w:t xml:space="preserve"> under </w:t>
            </w:r>
            <w:r w:rsidR="00714498" w:rsidRPr="004A49EF">
              <w:t>38 CFR 3.303(d)</w:t>
            </w:r>
          </w:p>
          <w:p w14:paraId="592B1DE2" w14:textId="1E3168A4" w:rsidR="009576AB" w:rsidRPr="004A49EF" w:rsidRDefault="009576AB" w:rsidP="00800FBF">
            <w:pPr>
              <w:pStyle w:val="BulletText1"/>
              <w:tabs>
                <w:tab w:val="clear" w:pos="443"/>
                <w:tab w:val="num" w:pos="162"/>
              </w:tabs>
              <w:ind w:left="162" w:hanging="180"/>
            </w:pPr>
            <w:r w:rsidRPr="004A49EF">
              <w:t xml:space="preserve">definition of </w:t>
            </w:r>
            <w:r w:rsidRPr="004A49EF">
              <w:rPr>
                <w:bCs/>
                <w:iCs/>
              </w:rPr>
              <w:t>presumption of soundness</w:t>
            </w:r>
          </w:p>
          <w:p w14:paraId="66263FBD" w14:textId="77777777" w:rsidR="009576AB" w:rsidRPr="004A49EF" w:rsidRDefault="009576AB" w:rsidP="00800FBF">
            <w:pPr>
              <w:pStyle w:val="BulletText1"/>
              <w:tabs>
                <w:tab w:val="clear" w:pos="443"/>
                <w:tab w:val="num" w:pos="162"/>
              </w:tabs>
              <w:ind w:left="162" w:hanging="180"/>
            </w:pPr>
            <w:r w:rsidRPr="004A49EF">
              <w:t>service requirements for presumption of soundness</w:t>
            </w:r>
          </w:p>
          <w:p w14:paraId="6ADBD0D2" w14:textId="0DE6E667" w:rsidR="009F087A" w:rsidRPr="004A49EF" w:rsidRDefault="009F087A" w:rsidP="00800FBF">
            <w:pPr>
              <w:pStyle w:val="BulletText1"/>
              <w:tabs>
                <w:tab w:val="clear" w:pos="443"/>
                <w:tab w:val="num" w:pos="162"/>
              </w:tabs>
              <w:ind w:left="162" w:hanging="180"/>
            </w:pPr>
            <w:r w:rsidRPr="004A49EF">
              <w:t>considering the presumption of soundness at entry into service</w:t>
            </w:r>
          </w:p>
          <w:p w14:paraId="5586C510" w14:textId="68882442" w:rsidR="009576AB" w:rsidRPr="004A49EF" w:rsidRDefault="009576AB" w:rsidP="00800FBF">
            <w:pPr>
              <w:pStyle w:val="BulletText1"/>
              <w:tabs>
                <w:tab w:val="clear" w:pos="443"/>
                <w:tab w:val="num" w:pos="162"/>
              </w:tabs>
              <w:ind w:left="162" w:hanging="180"/>
            </w:pPr>
            <w:r w:rsidRPr="004A49EF">
              <w:t xml:space="preserve">definition of </w:t>
            </w:r>
            <w:r w:rsidRPr="004A49EF">
              <w:rPr>
                <w:bCs/>
                <w:iCs/>
              </w:rPr>
              <w:t>active</w:t>
            </w:r>
            <w:r w:rsidRPr="004A49EF">
              <w:t xml:space="preserve"> continuous service</w:t>
            </w:r>
          </w:p>
          <w:p w14:paraId="2E42D48D" w14:textId="16B7CA2F" w:rsidR="009576AB" w:rsidRPr="004A49EF" w:rsidRDefault="00976C39" w:rsidP="00800FBF">
            <w:pPr>
              <w:pStyle w:val="BulletText1"/>
              <w:tabs>
                <w:tab w:val="clear" w:pos="443"/>
                <w:tab w:val="num" w:pos="162"/>
              </w:tabs>
              <w:ind w:left="162" w:hanging="180"/>
            </w:pPr>
            <w:r w:rsidRPr="004A49EF">
              <w:t xml:space="preserve">applying the </w:t>
            </w:r>
            <w:r w:rsidR="007E59FD" w:rsidRPr="004A49EF">
              <w:t>presumpti</w:t>
            </w:r>
            <w:r w:rsidR="00283BEB" w:rsidRPr="004A49EF">
              <w:t>on</w:t>
            </w:r>
            <w:r w:rsidR="007E59FD" w:rsidRPr="004A49EF">
              <w:t xml:space="preserve"> of soundness for active duty for training</w:t>
            </w:r>
            <w:r w:rsidR="009576AB" w:rsidRPr="004A49EF">
              <w:t>, and</w:t>
            </w:r>
          </w:p>
          <w:p w14:paraId="54E0E19D" w14:textId="77777777" w:rsidR="009576AB" w:rsidRPr="004A49EF" w:rsidRDefault="00C87A83" w:rsidP="00800FBF">
            <w:pPr>
              <w:pStyle w:val="BulletText1"/>
              <w:tabs>
                <w:tab w:val="clear" w:pos="443"/>
                <w:tab w:val="num" w:pos="162"/>
              </w:tabs>
              <w:ind w:left="162" w:hanging="180"/>
            </w:pPr>
            <w:r w:rsidRPr="004A49EF">
              <w:t xml:space="preserve">requirements for </w:t>
            </w:r>
            <w:r w:rsidR="007E59FD" w:rsidRPr="004A49EF">
              <w:t>inactive duty training</w:t>
            </w:r>
            <w:r w:rsidRPr="004A49EF">
              <w:t xml:space="preserve"> to be</w:t>
            </w:r>
            <w:r w:rsidR="007E59FD" w:rsidRPr="004A49EF">
              <w:t xml:space="preserve"> considered active service</w:t>
            </w:r>
            <w:r w:rsidR="009576AB" w:rsidRPr="004A49EF">
              <w:t>.</w:t>
            </w:r>
          </w:p>
        </w:tc>
      </w:tr>
    </w:tbl>
    <w:p w14:paraId="69A31167" w14:textId="77777777"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74DB2095" w14:textId="77777777">
        <w:trPr>
          <w:cantSplit/>
        </w:trPr>
        <w:tc>
          <w:tcPr>
            <w:tcW w:w="1728" w:type="dxa"/>
          </w:tcPr>
          <w:p w14:paraId="2FDF973A" w14:textId="77777777" w:rsidR="009576AB" w:rsidRPr="004A49EF" w:rsidRDefault="009576AB">
            <w:pPr>
              <w:pStyle w:val="Heading5"/>
            </w:pPr>
            <w:r w:rsidRPr="004A49EF">
              <w:t>Change Date</w:t>
            </w:r>
          </w:p>
        </w:tc>
        <w:tc>
          <w:tcPr>
            <w:tcW w:w="7740" w:type="dxa"/>
          </w:tcPr>
          <w:p w14:paraId="2FB95ABF" w14:textId="49E3D929" w:rsidR="009576AB" w:rsidRPr="004A49EF" w:rsidRDefault="00F4369A">
            <w:pPr>
              <w:pStyle w:val="BlockText"/>
            </w:pPr>
            <w:r w:rsidRPr="004A49EF">
              <w:t>January 20, 2016</w:t>
            </w:r>
          </w:p>
        </w:tc>
      </w:tr>
    </w:tbl>
    <w:p w14:paraId="157DF41C" w14:textId="4C63BBDC" w:rsidR="009576AB" w:rsidRPr="004A49EF" w:rsidRDefault="009576AB" w:rsidP="00F31FCC">
      <w:pPr>
        <w:pStyle w:val="BlockLine"/>
      </w:pPr>
    </w:p>
    <w:tbl>
      <w:tblPr>
        <w:tblW w:w="0" w:type="auto"/>
        <w:tblLayout w:type="fixed"/>
        <w:tblLook w:val="0000" w:firstRow="0" w:lastRow="0" w:firstColumn="0" w:lastColumn="0" w:noHBand="0" w:noVBand="0"/>
      </w:tblPr>
      <w:tblGrid>
        <w:gridCol w:w="1728"/>
        <w:gridCol w:w="7740"/>
      </w:tblGrid>
      <w:tr w:rsidR="008F398E" w:rsidRPr="004A49EF" w14:paraId="3784F147" w14:textId="77777777" w:rsidTr="008F398E">
        <w:tc>
          <w:tcPr>
            <w:tcW w:w="1728" w:type="dxa"/>
            <w:shd w:val="clear" w:color="auto" w:fill="auto"/>
          </w:tcPr>
          <w:p w14:paraId="1C0A92F1" w14:textId="77777777" w:rsidR="008F398E" w:rsidRPr="004A49EF" w:rsidRDefault="008F398E" w:rsidP="00762D03">
            <w:pPr>
              <w:pStyle w:val="Heading5"/>
            </w:pPr>
            <w:r w:rsidRPr="004A49EF">
              <w:t>a.  Overview of Direct SC</w:t>
            </w:r>
          </w:p>
        </w:tc>
        <w:tc>
          <w:tcPr>
            <w:tcW w:w="7740" w:type="dxa"/>
            <w:shd w:val="clear" w:color="auto" w:fill="auto"/>
          </w:tcPr>
          <w:p w14:paraId="5CB3E6F0" w14:textId="77777777" w:rsidR="008F398E" w:rsidRPr="004A49EF" w:rsidRDefault="008F398E" w:rsidP="008F398E">
            <w:pPr>
              <w:pStyle w:val="BlockText"/>
            </w:pPr>
            <w:r w:rsidRPr="004A49EF">
              <w:rPr>
                <w:b/>
                <w:i/>
              </w:rPr>
              <w:t>Direct service connection</w:t>
            </w:r>
            <w:r w:rsidR="00762D03" w:rsidRPr="004A49EF">
              <w:t xml:space="preserve"> (SC)</w:t>
            </w:r>
            <w:r w:rsidRPr="004A49EF">
              <w:t xml:space="preserve"> means that a particular disease or injury was incurred in service.  This is accomplished by affirmatively showing inception during service. </w:t>
            </w:r>
            <w:r w:rsidR="00283BEB" w:rsidRPr="004A49EF">
              <w:t xml:space="preserve"> </w:t>
            </w:r>
            <w:r w:rsidRPr="004A49EF">
              <w:t xml:space="preserve">There are three components to proving direct </w:t>
            </w:r>
            <w:r w:rsidR="00762D03" w:rsidRPr="004A49EF">
              <w:t>SC</w:t>
            </w:r>
            <w:r w:rsidRPr="004A49EF">
              <w:t xml:space="preserve">. </w:t>
            </w:r>
            <w:r w:rsidR="00283BEB" w:rsidRPr="004A49EF">
              <w:t xml:space="preserve"> </w:t>
            </w:r>
            <w:r w:rsidRPr="004A49EF">
              <w:t>These are</w:t>
            </w:r>
          </w:p>
          <w:p w14:paraId="7CAF78A6" w14:textId="77777777" w:rsidR="008F398E" w:rsidRPr="004A49EF" w:rsidRDefault="008F398E" w:rsidP="008F398E">
            <w:pPr>
              <w:pStyle w:val="BlockText"/>
            </w:pPr>
          </w:p>
          <w:p w14:paraId="72B474FC" w14:textId="77777777" w:rsidR="00F31FCC" w:rsidRPr="004A49EF" w:rsidRDefault="00F31FCC" w:rsidP="00800FBF">
            <w:pPr>
              <w:pStyle w:val="BulletText1"/>
              <w:tabs>
                <w:tab w:val="clear" w:pos="443"/>
                <w:tab w:val="num" w:pos="162"/>
              </w:tabs>
              <w:ind w:left="162" w:hanging="180"/>
            </w:pPr>
            <w:r w:rsidRPr="004A49EF">
              <w:t>a current disability</w:t>
            </w:r>
          </w:p>
          <w:p w14:paraId="0FF8CAFB" w14:textId="77777777" w:rsidR="00F31FCC" w:rsidRPr="004A49EF" w:rsidRDefault="00F31FCC" w:rsidP="00800FBF">
            <w:pPr>
              <w:pStyle w:val="BulletText1"/>
              <w:tabs>
                <w:tab w:val="clear" w:pos="443"/>
                <w:tab w:val="num" w:pos="162"/>
              </w:tabs>
              <w:ind w:left="162" w:hanging="180"/>
            </w:pPr>
            <w:r w:rsidRPr="004A49EF">
              <w:t>an event, injury</w:t>
            </w:r>
            <w:r w:rsidR="00283BEB" w:rsidRPr="004A49EF">
              <w:t>,</w:t>
            </w:r>
            <w:r w:rsidRPr="004A49EF">
              <w:t xml:space="preserve"> or disease in service</w:t>
            </w:r>
            <w:r w:rsidR="00E5149C" w:rsidRPr="004A49EF">
              <w:t>, and</w:t>
            </w:r>
          </w:p>
          <w:p w14:paraId="568FB428" w14:textId="77777777" w:rsidR="00F31FCC" w:rsidRPr="004A49EF" w:rsidRDefault="00F31FCC" w:rsidP="00800FBF">
            <w:pPr>
              <w:pStyle w:val="BulletText1"/>
              <w:tabs>
                <w:tab w:val="clear" w:pos="443"/>
                <w:tab w:val="num" w:pos="162"/>
              </w:tabs>
              <w:ind w:left="162" w:hanging="180"/>
            </w:pPr>
            <w:r w:rsidRPr="004A49EF">
              <w:t>a link or nexus establishing that the current disability had its onset or inception in service.</w:t>
            </w:r>
          </w:p>
          <w:p w14:paraId="61FF4C7A" w14:textId="77777777" w:rsidR="00F31FCC" w:rsidRPr="004A49EF" w:rsidRDefault="00F31FCC" w:rsidP="00F31FCC">
            <w:pPr>
              <w:pStyle w:val="BulletText1"/>
              <w:numPr>
                <w:ilvl w:val="0"/>
                <w:numId w:val="0"/>
              </w:numPr>
              <w:ind w:left="173" w:hanging="173"/>
            </w:pPr>
          </w:p>
          <w:p w14:paraId="09AC3608" w14:textId="450EC3EC" w:rsidR="00D7608B" w:rsidRPr="004A49EF" w:rsidRDefault="00771B3F" w:rsidP="00D7608B">
            <w:pPr>
              <w:pStyle w:val="BlockText"/>
            </w:pPr>
            <w:r w:rsidRPr="004A49EF">
              <w:t>All pertinent or relevant med</w:t>
            </w:r>
            <w:r w:rsidR="0023342F" w:rsidRPr="004A49EF">
              <w:t xml:space="preserve">ical and lay evidence </w:t>
            </w:r>
            <w:proofErr w:type="gramStart"/>
            <w:r w:rsidR="0023342F" w:rsidRPr="004A49EF">
              <w:t xml:space="preserve">must </w:t>
            </w:r>
            <w:r w:rsidRPr="004A49EF">
              <w:t>be considered</w:t>
            </w:r>
            <w:proofErr w:type="gramEnd"/>
            <w:r w:rsidRPr="004A49EF">
              <w:t>, including the service records (which may show the places, types</w:t>
            </w:r>
            <w:r w:rsidR="00283BEB" w:rsidRPr="004A49EF">
              <w:t>,</w:t>
            </w:r>
            <w:r w:rsidRPr="004A49EF">
              <w:t xml:space="preserve"> and circumstances of service and</w:t>
            </w:r>
            <w:r w:rsidR="0023342F" w:rsidRPr="004A49EF">
              <w:t xml:space="preserve"> </w:t>
            </w:r>
            <w:r w:rsidRPr="004A49EF">
              <w:t xml:space="preserve">the </w:t>
            </w:r>
            <w:r w:rsidR="00F31FCC" w:rsidRPr="004A49EF">
              <w:t>official history of the organization in which the Veteran served</w:t>
            </w:r>
            <w:r w:rsidRPr="004A49EF">
              <w:t>)</w:t>
            </w:r>
            <w:r w:rsidR="00F31FCC" w:rsidRPr="004A49EF">
              <w:t xml:space="preserve">.  </w:t>
            </w:r>
            <w:r w:rsidR="00D7608B" w:rsidRPr="004A49EF">
              <w:t xml:space="preserve"> </w:t>
            </w:r>
          </w:p>
          <w:p w14:paraId="695C0156" w14:textId="77777777" w:rsidR="00D7608B" w:rsidRPr="004A49EF" w:rsidRDefault="00D7608B" w:rsidP="00F31FCC">
            <w:pPr>
              <w:pStyle w:val="BlockText"/>
            </w:pPr>
          </w:p>
          <w:p w14:paraId="22B7FD0D" w14:textId="77777777" w:rsidR="00F31FCC" w:rsidRPr="004A49EF" w:rsidRDefault="00F31FCC" w:rsidP="00F31FCC">
            <w:pPr>
              <w:pStyle w:val="BlockText"/>
            </w:pPr>
            <w:r w:rsidRPr="004A49EF">
              <w:rPr>
                <w:b/>
                <w:i/>
              </w:rPr>
              <w:t>References</w:t>
            </w:r>
            <w:r w:rsidRPr="004A49EF">
              <w:t xml:space="preserve">:  For more information on </w:t>
            </w:r>
          </w:p>
          <w:p w14:paraId="0773B198" w14:textId="778E4C52" w:rsidR="00F31FCC" w:rsidRPr="004A49EF" w:rsidRDefault="00F31FCC" w:rsidP="00800FBF">
            <w:pPr>
              <w:pStyle w:val="BulletText1"/>
              <w:tabs>
                <w:tab w:val="clear" w:pos="443"/>
                <w:tab w:val="num" w:pos="162"/>
              </w:tabs>
              <w:ind w:left="162"/>
            </w:pPr>
            <w:r w:rsidRPr="004A49EF">
              <w:t xml:space="preserve">principles relating to </w:t>
            </w:r>
            <w:r w:rsidR="002E10E7" w:rsidRPr="004A49EF">
              <w:t>SC</w:t>
            </w:r>
            <w:r w:rsidRPr="004A49EF">
              <w:t>, see</w:t>
            </w:r>
            <w:r w:rsidR="00771B3F" w:rsidRPr="004A49EF">
              <w:t xml:space="preserve"> </w:t>
            </w:r>
            <w:hyperlink r:id="rId13" w:history="1">
              <w:r w:rsidR="00771B3F" w:rsidRPr="004A49EF">
                <w:rPr>
                  <w:rStyle w:val="Hyperlink"/>
                </w:rPr>
                <w:t>38 CFR 3.303</w:t>
              </w:r>
            </w:hyperlink>
          </w:p>
          <w:p w14:paraId="32799B48" w14:textId="480E0456" w:rsidR="002A59F4" w:rsidRPr="004A49EF" w:rsidRDefault="002A59F4" w:rsidP="00800FBF">
            <w:pPr>
              <w:pStyle w:val="BulletText1"/>
              <w:tabs>
                <w:tab w:val="clear" w:pos="443"/>
                <w:tab w:val="num" w:pos="162"/>
              </w:tabs>
              <w:ind w:left="162"/>
            </w:pPr>
            <w:r w:rsidRPr="004A49EF">
              <w:t xml:space="preserve">guidance on the current disability requirement, see M21-1, Part IV, Subpart ii, </w:t>
            </w:r>
            <w:proofErr w:type="spellStart"/>
            <w:r w:rsidRPr="004A49EF">
              <w:t>2.B.1.b</w:t>
            </w:r>
            <w:proofErr w:type="spellEnd"/>
          </w:p>
          <w:p w14:paraId="10F79DE9" w14:textId="54E01517" w:rsidR="00D7608B" w:rsidRPr="004A49EF" w:rsidRDefault="00C172A1" w:rsidP="00800FBF">
            <w:pPr>
              <w:pStyle w:val="BulletText1"/>
              <w:tabs>
                <w:tab w:val="clear" w:pos="443"/>
                <w:tab w:val="num" w:pos="162"/>
              </w:tabs>
              <w:ind w:left="162"/>
            </w:pPr>
            <w:r w:rsidRPr="004A49EF">
              <w:t>evaluating evidence, see M21-1</w:t>
            </w:r>
            <w:r w:rsidR="001B345F" w:rsidRPr="004A49EF">
              <w:t>, Part III, Subpart iv,</w:t>
            </w:r>
            <w:r w:rsidRPr="004A49EF">
              <w:t xml:space="preserve"> </w:t>
            </w:r>
            <w:r w:rsidR="001B345F" w:rsidRPr="004A49EF">
              <w:t>5</w:t>
            </w:r>
          </w:p>
          <w:p w14:paraId="318B7642" w14:textId="3395E8ED" w:rsidR="00D7608B" w:rsidRPr="004A49EF" w:rsidRDefault="00D7608B" w:rsidP="00523094">
            <w:pPr>
              <w:pStyle w:val="ListParagraph"/>
              <w:numPr>
                <w:ilvl w:val="0"/>
                <w:numId w:val="12"/>
              </w:numPr>
              <w:ind w:left="158" w:hanging="187"/>
            </w:pPr>
            <w:r w:rsidRPr="004A49EF">
              <w:t xml:space="preserve">requesting evidence from the claimant, see M21-1, Part III, Subpart iii, 1.B.1, and </w:t>
            </w:r>
          </w:p>
          <w:p w14:paraId="0E957EBC" w14:textId="39F471FA" w:rsidR="00F75AFF" w:rsidRPr="004A49EF" w:rsidRDefault="00C72BF0" w:rsidP="00800FBF">
            <w:pPr>
              <w:pStyle w:val="BulletText1"/>
              <w:tabs>
                <w:tab w:val="clear" w:pos="443"/>
                <w:tab w:val="num" w:pos="162"/>
              </w:tabs>
              <w:ind w:left="162"/>
            </w:pPr>
            <w:r w:rsidRPr="004A49EF">
              <w:t>t</w:t>
            </w:r>
            <w:r w:rsidR="001B345F" w:rsidRPr="004A49EF">
              <w:t>he benefit of the doub</w:t>
            </w:r>
            <w:r w:rsidR="004B324A" w:rsidRPr="004A49EF">
              <w:t>t</w:t>
            </w:r>
            <w:r w:rsidR="001B345F" w:rsidRPr="004A49EF">
              <w:t xml:space="preserve"> rule, see</w:t>
            </w:r>
            <w:r w:rsidR="000D0CDD" w:rsidRPr="004A49EF">
              <w:t xml:space="preserve">  </w:t>
            </w:r>
          </w:p>
          <w:p w14:paraId="182BACAB" w14:textId="77777777" w:rsidR="00F75AFF" w:rsidRPr="004A49EF" w:rsidRDefault="004A49EF" w:rsidP="00800FBF">
            <w:pPr>
              <w:pStyle w:val="BulletText2"/>
            </w:pPr>
            <w:hyperlink r:id="rId14" w:history="1">
              <w:r w:rsidR="00F75AFF" w:rsidRPr="004A49EF">
                <w:rPr>
                  <w:rStyle w:val="Hyperlink"/>
                </w:rPr>
                <w:t>38 CFR 4.3</w:t>
              </w:r>
            </w:hyperlink>
            <w:r w:rsidR="00F75AFF" w:rsidRPr="004A49EF">
              <w:t>, and</w:t>
            </w:r>
          </w:p>
          <w:p w14:paraId="5E8BE2B4" w14:textId="19159036" w:rsidR="00F31FCC" w:rsidRPr="004A49EF" w:rsidRDefault="001B345F" w:rsidP="00920999">
            <w:pPr>
              <w:pStyle w:val="BulletText2"/>
            </w:pPr>
            <w:r w:rsidRPr="004A49EF">
              <w:t>M21-1, Part I</w:t>
            </w:r>
            <w:r w:rsidR="003C2AC2" w:rsidRPr="004A49EF">
              <w:t>II</w:t>
            </w:r>
            <w:r w:rsidRPr="004A49EF">
              <w:t>, Subpart i</w:t>
            </w:r>
            <w:r w:rsidR="003C2AC2" w:rsidRPr="004A49EF">
              <w:t>v</w:t>
            </w:r>
            <w:r w:rsidRPr="004A49EF">
              <w:t xml:space="preserve">, </w:t>
            </w:r>
            <w:proofErr w:type="spellStart"/>
            <w:r w:rsidR="003C2AC2" w:rsidRPr="004A49EF">
              <w:t>5.1.</w:t>
            </w:r>
            <w:r w:rsidR="00920999" w:rsidRPr="004A49EF">
              <w:t>k</w:t>
            </w:r>
            <w:proofErr w:type="spellEnd"/>
            <w:r w:rsidRPr="004A49EF">
              <w:t>.</w:t>
            </w:r>
          </w:p>
        </w:tc>
      </w:tr>
    </w:tbl>
    <w:p w14:paraId="0228FB20" w14:textId="69AD43BE" w:rsidR="008F398E" w:rsidRPr="004A49EF" w:rsidRDefault="008F398E" w:rsidP="008F398E">
      <w:pPr>
        <w:pStyle w:val="BlockLine"/>
      </w:pPr>
    </w:p>
    <w:tbl>
      <w:tblPr>
        <w:tblW w:w="0" w:type="auto"/>
        <w:tblLayout w:type="fixed"/>
        <w:tblLook w:val="0000" w:firstRow="0" w:lastRow="0" w:firstColumn="0" w:lastColumn="0" w:noHBand="0" w:noVBand="0"/>
      </w:tblPr>
      <w:tblGrid>
        <w:gridCol w:w="1728"/>
        <w:gridCol w:w="7740"/>
      </w:tblGrid>
      <w:tr w:rsidR="009576AB" w:rsidRPr="004A49EF" w14:paraId="57D9FC98" w14:textId="77777777" w:rsidTr="00466D5D">
        <w:tc>
          <w:tcPr>
            <w:tcW w:w="1728" w:type="dxa"/>
          </w:tcPr>
          <w:p w14:paraId="7936B54A" w14:textId="452A066E" w:rsidR="009576AB" w:rsidRPr="004A49EF" w:rsidRDefault="004F0628" w:rsidP="00466D5D">
            <w:pPr>
              <w:pStyle w:val="Heading5"/>
            </w:pPr>
            <w:r w:rsidRPr="004A49EF">
              <w:t>b</w:t>
            </w:r>
            <w:r w:rsidR="009576AB" w:rsidRPr="004A49EF">
              <w:t xml:space="preserve">. </w:t>
            </w:r>
            <w:r w:rsidR="00BD19AA" w:rsidRPr="004A49EF">
              <w:t xml:space="preserve"> </w:t>
            </w:r>
            <w:r w:rsidR="00714498" w:rsidRPr="004A49EF">
              <w:t>Establishing</w:t>
            </w:r>
            <w:r w:rsidR="008F398E" w:rsidRPr="004A49EF">
              <w:t xml:space="preserve"> </w:t>
            </w:r>
            <w:r w:rsidR="00186D2A" w:rsidRPr="004A49EF">
              <w:lastRenderedPageBreak/>
              <w:t xml:space="preserve">Direct </w:t>
            </w:r>
            <w:r w:rsidR="009576AB" w:rsidRPr="004A49EF">
              <w:t>S</w:t>
            </w:r>
            <w:r w:rsidR="008F398E" w:rsidRPr="004A49EF">
              <w:t xml:space="preserve">C </w:t>
            </w:r>
            <w:r w:rsidR="00714498" w:rsidRPr="004A49EF">
              <w:t>Based on</w:t>
            </w:r>
            <w:r w:rsidR="00F31FCC" w:rsidRPr="004A49EF">
              <w:t xml:space="preserve"> </w:t>
            </w:r>
            <w:r w:rsidR="008F398E" w:rsidRPr="004A49EF">
              <w:t>Chronicity</w:t>
            </w:r>
          </w:p>
        </w:tc>
        <w:tc>
          <w:tcPr>
            <w:tcW w:w="7740" w:type="dxa"/>
          </w:tcPr>
          <w:p w14:paraId="42D5E0B4" w14:textId="77777777" w:rsidR="00800977" w:rsidRPr="004A49EF" w:rsidRDefault="00F31FCC" w:rsidP="008F398E">
            <w:pPr>
              <w:pStyle w:val="BlockText"/>
            </w:pPr>
            <w:r w:rsidRPr="004A49EF">
              <w:lastRenderedPageBreak/>
              <w:t xml:space="preserve">Chronicity is a key concept for </w:t>
            </w:r>
            <w:r w:rsidR="00186D2A" w:rsidRPr="004A49EF">
              <w:t>establishing</w:t>
            </w:r>
            <w:r w:rsidRPr="004A49EF">
              <w:t xml:space="preserve"> direct </w:t>
            </w:r>
            <w:r w:rsidR="00BE3510" w:rsidRPr="004A49EF">
              <w:t>SC</w:t>
            </w:r>
            <w:r w:rsidRPr="004A49EF">
              <w:t xml:space="preserve">.  </w:t>
            </w:r>
            <w:r w:rsidR="008C5578" w:rsidRPr="004A49EF">
              <w:t xml:space="preserve">Department of </w:t>
            </w:r>
            <w:r w:rsidR="008C5578" w:rsidRPr="004A49EF">
              <w:lastRenderedPageBreak/>
              <w:t>Veterans Affairs (VA)</w:t>
            </w:r>
            <w:r w:rsidR="00800977" w:rsidRPr="004A49EF">
              <w:t xml:space="preserve"> disability compensation is based on current chronic (ongoing, lasting) disability. </w:t>
            </w:r>
            <w:r w:rsidR="00283BEB" w:rsidRPr="004A49EF">
              <w:t xml:space="preserve"> </w:t>
            </w:r>
            <w:r w:rsidR="00D83E84" w:rsidRPr="004A49EF">
              <w:t xml:space="preserve">Direct SC requires that the current disability must have begun during active duty service either by manifestation of the disease entity or by the occurrence of an injury or traumatic event during service resulting in the current, chronic, ongoing disability. </w:t>
            </w:r>
          </w:p>
          <w:p w14:paraId="221A3DB9" w14:textId="77777777" w:rsidR="00C01AD2" w:rsidRPr="004A49EF" w:rsidRDefault="00C01AD2" w:rsidP="008F398E">
            <w:pPr>
              <w:pStyle w:val="BlockText"/>
            </w:pPr>
          </w:p>
          <w:p w14:paraId="63BE9DFF" w14:textId="78457569" w:rsidR="004B324A" w:rsidRPr="004A49EF" w:rsidRDefault="009576AB">
            <w:pPr>
              <w:pStyle w:val="BlockText"/>
            </w:pPr>
            <w:r w:rsidRPr="004A49EF">
              <w:t xml:space="preserve">To establish </w:t>
            </w:r>
            <w:r w:rsidR="00C56AFA" w:rsidRPr="004A49EF">
              <w:t>SC</w:t>
            </w:r>
            <w:r w:rsidR="00FF28DD" w:rsidRPr="004A49EF">
              <w:t xml:space="preserve"> under </w:t>
            </w:r>
            <w:hyperlink r:id="rId15" w:history="1">
              <w:r w:rsidR="00FF28DD" w:rsidRPr="004A49EF">
                <w:rPr>
                  <w:rStyle w:val="Hyperlink"/>
                </w:rPr>
                <w:t>38 CFR 3.303(b)</w:t>
              </w:r>
            </w:hyperlink>
            <w:r w:rsidRPr="004A49EF">
              <w:t xml:space="preserve"> based on the chronicity of a disease shown in service, the evidence must include</w:t>
            </w:r>
          </w:p>
          <w:p w14:paraId="22C03DE5" w14:textId="77777777" w:rsidR="00FA633C" w:rsidRPr="004A49EF" w:rsidRDefault="00FA633C">
            <w:pPr>
              <w:pStyle w:val="BlockText"/>
            </w:pPr>
          </w:p>
          <w:p w14:paraId="44133024" w14:textId="77777777" w:rsidR="00C56AFA" w:rsidRPr="004A49EF" w:rsidRDefault="009576AB" w:rsidP="00800FBF">
            <w:pPr>
              <w:pStyle w:val="BulletText1"/>
              <w:tabs>
                <w:tab w:val="clear" w:pos="443"/>
                <w:tab w:val="num" w:pos="162"/>
              </w:tabs>
              <w:ind w:left="162"/>
            </w:pPr>
            <w:r w:rsidRPr="004A49EF">
              <w:t>manifestations sufficient to identify the disease entity</w:t>
            </w:r>
          </w:p>
          <w:p w14:paraId="2F2AA687" w14:textId="77777777" w:rsidR="009576AB" w:rsidRPr="004A49EF" w:rsidRDefault="00C56AFA" w:rsidP="00800FBF">
            <w:pPr>
              <w:pStyle w:val="BulletText1"/>
              <w:tabs>
                <w:tab w:val="clear" w:pos="443"/>
                <w:tab w:val="num" w:pos="162"/>
              </w:tabs>
              <w:ind w:left="162"/>
            </w:pPr>
            <w:r w:rsidRPr="004A49EF">
              <w:t>onset of the condition and/or evidence of injury or trauma during active duty service</w:t>
            </w:r>
            <w:r w:rsidR="009576AB" w:rsidRPr="004A49EF">
              <w:t>, and</w:t>
            </w:r>
          </w:p>
          <w:p w14:paraId="12434D88" w14:textId="43418F6A" w:rsidR="009576AB" w:rsidRPr="004A49EF" w:rsidRDefault="00D83E84" w:rsidP="00800FBF">
            <w:pPr>
              <w:pStyle w:val="BulletText1"/>
              <w:tabs>
                <w:tab w:val="clear" w:pos="443"/>
                <w:tab w:val="num" w:pos="162"/>
              </w:tabs>
              <w:ind w:left="162"/>
            </w:pPr>
            <w:r w:rsidRPr="004A49EF">
              <w:t xml:space="preserve">evidence </w:t>
            </w:r>
            <w:r w:rsidR="009576AB" w:rsidRPr="004A49EF">
              <w:t xml:space="preserve">sufficient to </w:t>
            </w:r>
            <w:r w:rsidRPr="004A49EF">
              <w:t xml:space="preserve">establish </w:t>
            </w:r>
            <w:r w:rsidR="009576AB" w:rsidRPr="004A49EF">
              <w:t>chronicity from merely isolated findings or a diagnosis that includes the word “chronic</w:t>
            </w:r>
            <w:r w:rsidR="00C56AFA" w:rsidRPr="004A49EF">
              <w:t>,</w:t>
            </w:r>
            <w:r w:rsidR="009576AB" w:rsidRPr="004A49EF">
              <w:t>”</w:t>
            </w:r>
            <w:r w:rsidR="00C56AFA" w:rsidRPr="004A49EF">
              <w:t xml:space="preserve"> </w:t>
            </w:r>
            <w:r w:rsidRPr="004A49EF">
              <w:t>s</w:t>
            </w:r>
            <w:r w:rsidR="00C56AFA" w:rsidRPr="004A49EF">
              <w:t>o long as the evidence does not show a superseding post-service disability</w:t>
            </w:r>
            <w:r w:rsidRPr="004A49EF">
              <w:t>.</w:t>
            </w:r>
          </w:p>
          <w:p w14:paraId="3B020EA2" w14:textId="77777777" w:rsidR="009576AB" w:rsidRPr="004A49EF" w:rsidRDefault="009576AB">
            <w:pPr>
              <w:pStyle w:val="BlockText"/>
            </w:pPr>
          </w:p>
          <w:p w14:paraId="58F8277B" w14:textId="105293E2" w:rsidR="00744C38" w:rsidRPr="004A49EF" w:rsidRDefault="00744C38">
            <w:pPr>
              <w:pStyle w:val="BlockText"/>
            </w:pPr>
            <w:r w:rsidRPr="004A49EF">
              <w:t xml:space="preserve">When a chronic disease listed </w:t>
            </w:r>
            <w:proofErr w:type="gramStart"/>
            <w:r w:rsidRPr="004A49EF">
              <w:t>under</w:t>
            </w:r>
            <w:proofErr w:type="gramEnd"/>
            <w:r w:rsidRPr="004A49EF">
              <w:t xml:space="preserve"> </w:t>
            </w:r>
            <w:hyperlink r:id="rId16" w:history="1">
              <w:r w:rsidRPr="004A49EF">
                <w:rPr>
                  <w:rStyle w:val="Hyperlink"/>
                </w:rPr>
                <w:t>38 CFR 3.309(a)</w:t>
              </w:r>
            </w:hyperlink>
            <w:r w:rsidRPr="004A49EF">
              <w:t xml:space="preserve"> is shown in service, consider all subsequent manifestations of the same chronic disease as service-connected</w:t>
            </w:r>
            <w:r w:rsidR="00A20AE5" w:rsidRPr="004A49EF">
              <w:t xml:space="preserve"> (SC)</w:t>
            </w:r>
            <w:r w:rsidRPr="004A49EF">
              <w:t>, unless they are clearly shown to be due to inter-current causes.</w:t>
            </w:r>
          </w:p>
          <w:p w14:paraId="430F703A" w14:textId="77777777" w:rsidR="00744C38" w:rsidRPr="004A49EF" w:rsidRDefault="00744C38">
            <w:pPr>
              <w:pStyle w:val="BlockText"/>
            </w:pPr>
          </w:p>
          <w:p w14:paraId="4251330B" w14:textId="77777777" w:rsidR="00744C38" w:rsidRPr="004A49EF" w:rsidRDefault="00FF28DD">
            <w:pPr>
              <w:pStyle w:val="BlockText"/>
            </w:pPr>
            <w:r w:rsidRPr="004A49EF">
              <w:rPr>
                <w:b/>
                <w:i/>
              </w:rPr>
              <w:t>Note</w:t>
            </w:r>
            <w:r w:rsidR="00C56AFA" w:rsidRPr="004A49EF">
              <w:rPr>
                <w:b/>
                <w:i/>
              </w:rPr>
              <w:t>s</w:t>
            </w:r>
            <w:r w:rsidRPr="004A49EF">
              <w:t xml:space="preserve">:  </w:t>
            </w:r>
          </w:p>
          <w:p w14:paraId="401FFBE5" w14:textId="2C80991C" w:rsidR="00744C38" w:rsidRPr="004A49EF" w:rsidRDefault="00E427B1" w:rsidP="00800FBF">
            <w:pPr>
              <w:pStyle w:val="BulletText1"/>
              <w:tabs>
                <w:tab w:val="clear" w:pos="443"/>
                <w:tab w:val="num" w:pos="162"/>
              </w:tabs>
              <w:ind w:left="162"/>
            </w:pPr>
            <w:r w:rsidRPr="004A49EF">
              <w:t>A</w:t>
            </w:r>
            <w:r w:rsidR="00744C38" w:rsidRPr="004A49EF">
              <w:t xml:space="preserve"> careful review of the evidence may reveal </w:t>
            </w:r>
            <w:r w:rsidRPr="004A49EF">
              <w:t xml:space="preserve">that chronic disability from a </w:t>
            </w:r>
            <w:r w:rsidR="00744C38" w:rsidRPr="004A49EF">
              <w:t>condition had its onset during active duty service and has chronically persisted from active service to the present</w:t>
            </w:r>
            <w:r w:rsidRPr="004A49EF">
              <w:t>, even whe</w:t>
            </w:r>
            <w:r w:rsidR="009052CA" w:rsidRPr="004A49EF">
              <w:t>n</w:t>
            </w:r>
            <w:r w:rsidRPr="004A49EF">
              <w:t xml:space="preserve"> service medical providers did not conclude that there were residuals or continuation of a disease or injury</w:t>
            </w:r>
            <w:r w:rsidR="00FD06CE" w:rsidRPr="004A49EF">
              <w:t>.</w:t>
            </w:r>
          </w:p>
          <w:p w14:paraId="260F644C" w14:textId="77777777" w:rsidR="00FF28DD" w:rsidRPr="004A49EF" w:rsidRDefault="00FF28DD" w:rsidP="00800FBF">
            <w:pPr>
              <w:pStyle w:val="BulletText1"/>
              <w:tabs>
                <w:tab w:val="clear" w:pos="443"/>
                <w:tab w:val="num" w:pos="162"/>
              </w:tabs>
              <w:ind w:left="162"/>
            </w:pPr>
            <w:r w:rsidRPr="004A49EF">
              <w:t xml:space="preserve">Application of the chronicity provisions of </w:t>
            </w:r>
            <w:hyperlink r:id="rId17" w:history="1">
              <w:r w:rsidRPr="004A49EF">
                <w:rPr>
                  <w:rStyle w:val="Hyperlink"/>
                </w:rPr>
                <w:t>38 CFR 3.303(b)</w:t>
              </w:r>
            </w:hyperlink>
            <w:r w:rsidRPr="004A49EF">
              <w:t xml:space="preserve"> is limited to the chronic diseases listed under </w:t>
            </w:r>
            <w:hyperlink r:id="rId18" w:history="1">
              <w:r w:rsidRPr="004A49EF">
                <w:rPr>
                  <w:rStyle w:val="Hyperlink"/>
                </w:rPr>
                <w:t>38 CFR 3.309(a)</w:t>
              </w:r>
            </w:hyperlink>
            <w:r w:rsidRPr="004A49EF">
              <w:t xml:space="preserve">.  For any disability not listed under </w:t>
            </w:r>
            <w:hyperlink r:id="rId19" w:history="1">
              <w:r w:rsidRPr="004A49EF">
                <w:rPr>
                  <w:rStyle w:val="Hyperlink"/>
                </w:rPr>
                <w:t>38 CFR 3.309(a),</w:t>
              </w:r>
            </w:hyperlink>
            <w:r w:rsidRPr="004A49EF">
              <w:t xml:space="preserve"> </w:t>
            </w:r>
            <w:r w:rsidR="00B41179" w:rsidRPr="004A49EF">
              <w:t>SC</w:t>
            </w:r>
            <w:r w:rsidRPr="004A49EF">
              <w:t xml:space="preserve"> must be established under </w:t>
            </w:r>
            <w:hyperlink r:id="rId20" w:history="1">
              <w:r w:rsidRPr="004A49EF">
                <w:rPr>
                  <w:rStyle w:val="Hyperlink"/>
                </w:rPr>
                <w:t>38 CFR 3.303(a)</w:t>
              </w:r>
            </w:hyperlink>
            <w:r w:rsidRPr="004A49EF">
              <w:t xml:space="preserve"> by associating a current disability to service by </w:t>
            </w:r>
            <w:r w:rsidR="00175B78" w:rsidRPr="004A49EF">
              <w:t xml:space="preserve">a nexus consisting of </w:t>
            </w:r>
            <w:r w:rsidRPr="004A49EF">
              <w:t>evidence of contin</w:t>
            </w:r>
            <w:r w:rsidR="00175B78" w:rsidRPr="004A49EF">
              <w:t>uous symptoms or a medical</w:t>
            </w:r>
            <w:r w:rsidR="00097CA5" w:rsidRPr="004A49EF">
              <w:t xml:space="preserve"> opinion</w:t>
            </w:r>
            <w:r w:rsidRPr="004A49EF">
              <w:t xml:space="preserve">.  </w:t>
            </w:r>
          </w:p>
          <w:p w14:paraId="214C6D7D" w14:textId="4DD81047" w:rsidR="002A59F4" w:rsidRPr="004A49EF" w:rsidRDefault="00D90468" w:rsidP="002A59F4">
            <w:pPr>
              <w:pStyle w:val="BulletText1"/>
              <w:tabs>
                <w:tab w:val="clear" w:pos="443"/>
                <w:tab w:val="num" w:pos="162"/>
              </w:tabs>
              <w:ind w:left="162"/>
            </w:pPr>
            <w:r w:rsidRPr="004A49EF">
              <w:t>T</w:t>
            </w:r>
            <w:r w:rsidR="002A59F4" w:rsidRPr="004A49EF">
              <w:t xml:space="preserve">he requirement for a current disability </w:t>
            </w:r>
            <w:proofErr w:type="gramStart"/>
            <w:r w:rsidR="002A59F4" w:rsidRPr="004A49EF">
              <w:t>is met</w:t>
            </w:r>
            <w:proofErr w:type="gramEnd"/>
            <w:r w:rsidR="002A59F4" w:rsidRPr="004A49EF">
              <w:t xml:space="preserve"> if a disability exists when a Veteran files a claim or while the claim is pending, even though the disability resolves before VA decides the claim.</w:t>
            </w:r>
          </w:p>
          <w:p w14:paraId="25579FE1" w14:textId="40A0CE62" w:rsidR="00F86DD5" w:rsidRPr="004A49EF" w:rsidRDefault="00F86DD5" w:rsidP="002A59F4">
            <w:pPr>
              <w:pStyle w:val="BulletText1"/>
              <w:tabs>
                <w:tab w:val="clear" w:pos="443"/>
                <w:tab w:val="num" w:pos="162"/>
              </w:tabs>
              <w:ind w:left="162"/>
            </w:pPr>
            <w:r w:rsidRPr="004A49EF">
              <w:t>Evidence that is reasonably contemporaneous with the filing of a claim, even if it predates the claim, must be evaluated and addressed in determining whether a disability exists when the claim is received.  Evidence that a diagnosis falls outside of the claim period, is not, as a matter of law, incapable of proving a current disability.</w:t>
            </w:r>
          </w:p>
          <w:p w14:paraId="378784DC" w14:textId="77777777" w:rsidR="009576AB" w:rsidRPr="004A49EF" w:rsidRDefault="009576AB">
            <w:pPr>
              <w:pStyle w:val="BlockText"/>
            </w:pPr>
          </w:p>
          <w:p w14:paraId="6500D02D" w14:textId="6B4A1F5D" w:rsidR="008613DF" w:rsidRPr="004A49EF" w:rsidRDefault="008613DF" w:rsidP="00004A68">
            <w:r w:rsidRPr="004A49EF">
              <w:rPr>
                <w:b/>
                <w:bCs/>
                <w:i/>
                <w:iCs/>
              </w:rPr>
              <w:t>Reference</w:t>
            </w:r>
            <w:r w:rsidR="00A20AE5" w:rsidRPr="004A49EF">
              <w:rPr>
                <w:b/>
                <w:bCs/>
                <w:i/>
                <w:iCs/>
              </w:rPr>
              <w:t>s</w:t>
            </w:r>
            <w:r w:rsidR="008C5CD7" w:rsidRPr="004A49EF">
              <w:t>:</w:t>
            </w:r>
            <w:r w:rsidRPr="004A49EF">
              <w:t xml:space="preserve">  For more information on</w:t>
            </w:r>
          </w:p>
          <w:p w14:paraId="1F0BB44E" w14:textId="6EC2F7EB" w:rsidR="00F86DD5" w:rsidRPr="004A49EF" w:rsidRDefault="00F86DD5" w:rsidP="00F86DD5">
            <w:pPr>
              <w:pStyle w:val="BulletText1"/>
              <w:tabs>
                <w:tab w:val="clear" w:pos="443"/>
                <w:tab w:val="num" w:pos="162"/>
              </w:tabs>
              <w:ind w:left="162"/>
            </w:pPr>
            <w:r w:rsidRPr="004A49EF">
              <w:t>chronicity, see</w:t>
            </w:r>
          </w:p>
          <w:p w14:paraId="6B3F2988" w14:textId="77777777" w:rsidR="00FF28DD" w:rsidRPr="004A49EF" w:rsidRDefault="004A49EF" w:rsidP="00F86DD5">
            <w:pPr>
              <w:pStyle w:val="BulletText2"/>
            </w:pPr>
            <w:hyperlink r:id="rId21" w:history="1">
              <w:r w:rsidR="0047199F" w:rsidRPr="004A49EF">
                <w:rPr>
                  <w:rStyle w:val="Hyperlink"/>
                </w:rPr>
                <w:t>38 CFR 3.303(b)</w:t>
              </w:r>
            </w:hyperlink>
            <w:r w:rsidR="003E61C1" w:rsidRPr="004A49EF">
              <w:t>,</w:t>
            </w:r>
            <w:r w:rsidR="00B17F2D" w:rsidRPr="004A49EF">
              <w:t xml:space="preserve"> </w:t>
            </w:r>
            <w:r w:rsidR="008C5CD7" w:rsidRPr="004A49EF">
              <w:t>and</w:t>
            </w:r>
          </w:p>
          <w:p w14:paraId="57DB62B8" w14:textId="15A21206" w:rsidR="008C5CD7" w:rsidRPr="004A49EF" w:rsidRDefault="004A49EF" w:rsidP="00F86DD5">
            <w:pPr>
              <w:pStyle w:val="BulletText2"/>
            </w:pPr>
            <w:hyperlink r:id="rId22" w:anchor="bmw" w:history="1">
              <w:r w:rsidR="008C5CD7" w:rsidRPr="004A49EF">
                <w:rPr>
                  <w:rStyle w:val="Hyperlink"/>
                  <w:i/>
                </w:rPr>
                <w:t>Walker v. Shinseki</w:t>
              </w:r>
            </w:hyperlink>
            <w:r w:rsidR="008C5CD7" w:rsidRPr="004A49EF">
              <w:t xml:space="preserve">, 708 </w:t>
            </w:r>
            <w:proofErr w:type="spellStart"/>
            <w:r w:rsidR="008C5CD7" w:rsidRPr="004A49EF">
              <w:t>F.3d</w:t>
            </w:r>
            <w:proofErr w:type="spellEnd"/>
            <w:r w:rsidR="008C5CD7" w:rsidRPr="004A49EF">
              <w:t xml:space="preserve"> 1331 (Fed</w:t>
            </w:r>
            <w:proofErr w:type="gramStart"/>
            <w:r w:rsidR="008C5CD7" w:rsidRPr="004A49EF">
              <w:t xml:space="preserve">. </w:t>
            </w:r>
            <w:proofErr w:type="gramEnd"/>
            <w:r w:rsidR="008C5CD7" w:rsidRPr="004A49EF">
              <w:t>Cir. 2013)</w:t>
            </w:r>
            <w:r w:rsidR="00F86DD5" w:rsidRPr="004A49EF">
              <w:t>, and</w:t>
            </w:r>
            <w:r w:rsidR="008C5CD7" w:rsidRPr="004A49EF">
              <w:t xml:space="preserve">  </w:t>
            </w:r>
          </w:p>
          <w:p w14:paraId="1106D4E7" w14:textId="27FF41CA" w:rsidR="00F86DD5" w:rsidRPr="004A49EF" w:rsidRDefault="00F86DD5" w:rsidP="00523094">
            <w:pPr>
              <w:pStyle w:val="ListParagraph"/>
              <w:numPr>
                <w:ilvl w:val="0"/>
                <w:numId w:val="21"/>
              </w:numPr>
              <w:ind w:left="158" w:hanging="187"/>
            </w:pPr>
            <w:r w:rsidRPr="004A49EF">
              <w:t>current disability, see</w:t>
            </w:r>
          </w:p>
          <w:p w14:paraId="6A8208F8" w14:textId="5E89F6DB" w:rsidR="00F86DD5" w:rsidRPr="004A49EF" w:rsidRDefault="004A49EF" w:rsidP="00F86DD5">
            <w:pPr>
              <w:pStyle w:val="BulletText2"/>
            </w:pPr>
            <w:hyperlink r:id="rId23" w:anchor="bmm" w:history="1">
              <w:r w:rsidR="00F86DD5" w:rsidRPr="004A49EF">
                <w:rPr>
                  <w:rStyle w:val="Hyperlink"/>
                  <w:i/>
                </w:rPr>
                <w:t>McClain v. McDonald</w:t>
              </w:r>
            </w:hyperlink>
            <w:r w:rsidR="00F86DD5" w:rsidRPr="004A49EF">
              <w:t>, 21 Vet.App. 319 (2007), and</w:t>
            </w:r>
          </w:p>
          <w:p w14:paraId="712948C7" w14:textId="16DB26EF" w:rsidR="00F86DD5" w:rsidRPr="004A49EF" w:rsidRDefault="004A49EF" w:rsidP="00C56953">
            <w:pPr>
              <w:pStyle w:val="BulletText2"/>
            </w:pPr>
            <w:hyperlink r:id="rId24" w:anchor="bmr" w:history="1">
              <w:proofErr w:type="gramStart"/>
              <w:r w:rsidR="00F86DD5" w:rsidRPr="004A49EF">
                <w:rPr>
                  <w:rStyle w:val="Hyperlink"/>
                  <w:i/>
                </w:rPr>
                <w:t>Romanowsky v. Shinseki</w:t>
              </w:r>
            </w:hyperlink>
            <w:r w:rsidR="00F86DD5" w:rsidRPr="004A49EF">
              <w:t xml:space="preserve">, 26 </w:t>
            </w:r>
            <w:proofErr w:type="spellStart"/>
            <w:r w:rsidR="00F86DD5" w:rsidRPr="004A49EF">
              <w:t>Vet.App</w:t>
            </w:r>
            <w:proofErr w:type="spellEnd"/>
            <w:r w:rsidR="00F86DD5" w:rsidRPr="004A49EF">
              <w:t xml:space="preserve"> 289 (2013).</w:t>
            </w:r>
            <w:proofErr w:type="gramEnd"/>
          </w:p>
        </w:tc>
      </w:tr>
    </w:tbl>
    <w:p w14:paraId="60BC2843" w14:textId="2D257403"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1F10E5E9" w14:textId="77777777" w:rsidTr="00887096">
        <w:tc>
          <w:tcPr>
            <w:tcW w:w="1728" w:type="dxa"/>
          </w:tcPr>
          <w:p w14:paraId="2D617266" w14:textId="082C2616" w:rsidR="009576AB" w:rsidRPr="004A49EF" w:rsidRDefault="004F0628" w:rsidP="009333C9">
            <w:pPr>
              <w:pStyle w:val="Heading5"/>
            </w:pPr>
            <w:r w:rsidRPr="004A49EF">
              <w:t>c</w:t>
            </w:r>
            <w:r w:rsidR="009576AB" w:rsidRPr="004A49EF">
              <w:t>.  Establishing SC Based on Continuity of Symptoms</w:t>
            </w:r>
          </w:p>
        </w:tc>
        <w:tc>
          <w:tcPr>
            <w:tcW w:w="7740" w:type="dxa"/>
          </w:tcPr>
          <w:p w14:paraId="0E6E87A7" w14:textId="2CBF836C" w:rsidR="00E5149C" w:rsidRPr="004A49EF" w:rsidRDefault="009576AB">
            <w:pPr>
              <w:pStyle w:val="BlockText"/>
            </w:pPr>
            <w:r w:rsidRPr="004A49EF">
              <w:t>S</w:t>
            </w:r>
            <w:r w:rsidR="009333C9" w:rsidRPr="004A49EF">
              <w:t>C</w:t>
            </w:r>
            <w:r w:rsidRPr="004A49EF">
              <w:t xml:space="preserve"> may be established based on continuity of symptoms when</w:t>
            </w:r>
            <w:r w:rsidR="006E667F" w:rsidRPr="004A49EF">
              <w:t xml:space="preserve"> a disease</w:t>
            </w:r>
            <w:r w:rsidR="009333C9" w:rsidRPr="004A49EF">
              <w:t xml:space="preserve"> or condition</w:t>
            </w:r>
          </w:p>
          <w:p w14:paraId="4156C7EB" w14:textId="77777777" w:rsidR="008F398E" w:rsidRPr="004A49EF" w:rsidRDefault="009576AB">
            <w:pPr>
              <w:pStyle w:val="BlockText"/>
            </w:pPr>
            <w:r w:rsidRPr="004A49EF">
              <w:t xml:space="preserve"> </w:t>
            </w:r>
          </w:p>
          <w:p w14:paraId="7249F5E0" w14:textId="7DE5DA31" w:rsidR="009576AB" w:rsidRPr="004A49EF" w:rsidRDefault="003E2844" w:rsidP="00AF2DD3">
            <w:pPr>
              <w:pStyle w:val="BulletText1"/>
              <w:tabs>
                <w:tab w:val="clear" w:pos="443"/>
                <w:tab w:val="num" w:pos="162"/>
              </w:tabs>
              <w:ind w:left="162"/>
            </w:pPr>
            <w:r w:rsidRPr="004A49EF">
              <w:t xml:space="preserve">listed under </w:t>
            </w:r>
            <w:hyperlink r:id="rId25" w:history="1">
              <w:r w:rsidRPr="004A49EF">
                <w:rPr>
                  <w:rStyle w:val="Hyperlink"/>
                </w:rPr>
                <w:t>38 CFR 3.309(a)</w:t>
              </w:r>
            </w:hyperlink>
            <w:r w:rsidR="008E51AB" w:rsidRPr="004A49EF">
              <w:t xml:space="preserve"> is</w:t>
            </w:r>
            <w:r w:rsidR="009333C9" w:rsidRPr="004A49EF">
              <w:t xml:space="preserve"> </w:t>
            </w:r>
            <w:r w:rsidR="00B464E5" w:rsidRPr="004A49EF">
              <w:t>noted in service</w:t>
            </w:r>
          </w:p>
          <w:p w14:paraId="05DC45A3" w14:textId="71909A9F" w:rsidR="009576AB" w:rsidRPr="004A49EF" w:rsidRDefault="008F398E" w:rsidP="00AF2DD3">
            <w:pPr>
              <w:pStyle w:val="BulletText1"/>
              <w:tabs>
                <w:tab w:val="clear" w:pos="443"/>
                <w:tab w:val="num" w:pos="162"/>
              </w:tabs>
              <w:ind w:left="162"/>
            </w:pPr>
            <w:r w:rsidRPr="004A49EF">
              <w:t xml:space="preserve">is not </w:t>
            </w:r>
            <w:r w:rsidR="009576AB" w:rsidRPr="004A49EF">
              <w:t>shown to be chronic</w:t>
            </w:r>
            <w:r w:rsidR="00FA633C" w:rsidRPr="004A49EF">
              <w:t xml:space="preserve"> in service</w:t>
            </w:r>
            <w:r w:rsidR="009576AB" w:rsidRPr="004A49EF">
              <w:t>, or</w:t>
            </w:r>
          </w:p>
          <w:p w14:paraId="6E682FAA" w14:textId="77777777" w:rsidR="009576AB" w:rsidRPr="004A49EF" w:rsidRDefault="009576AB" w:rsidP="00AF2DD3">
            <w:pPr>
              <w:pStyle w:val="BulletText1"/>
              <w:tabs>
                <w:tab w:val="clear" w:pos="443"/>
                <w:tab w:val="num" w:pos="162"/>
              </w:tabs>
              <w:ind w:left="162"/>
            </w:pPr>
            <w:r w:rsidRPr="004A49EF">
              <w:t xml:space="preserve">a diagnosis of chronicity is questionable.  </w:t>
            </w:r>
          </w:p>
          <w:p w14:paraId="2DF98877" w14:textId="77777777" w:rsidR="009576AB" w:rsidRPr="004A49EF" w:rsidRDefault="009576AB" w:rsidP="003D7E3A">
            <w:pPr>
              <w:pStyle w:val="BulletText1"/>
              <w:numPr>
                <w:ilvl w:val="0"/>
                <w:numId w:val="0"/>
              </w:numPr>
              <w:ind w:left="173"/>
            </w:pPr>
          </w:p>
          <w:p w14:paraId="58F512DF" w14:textId="77777777" w:rsidR="00097CA5" w:rsidRPr="004A49EF" w:rsidRDefault="009576AB">
            <w:pPr>
              <w:pStyle w:val="BlockText"/>
            </w:pPr>
            <w:r w:rsidRPr="004A49EF">
              <w:rPr>
                <w:b/>
                <w:bCs/>
                <w:i/>
                <w:iCs/>
              </w:rPr>
              <w:t>Note</w:t>
            </w:r>
            <w:r w:rsidRPr="004A49EF">
              <w:t xml:space="preserve">:  When evidence shows that symptoms that began during service have continued after discharge, a medical opinion is generally not required to establish a link between the claimed disability and the Veteran’s service. </w:t>
            </w:r>
          </w:p>
          <w:p w14:paraId="4CE1E674" w14:textId="77777777" w:rsidR="009576AB" w:rsidRPr="004A49EF" w:rsidRDefault="009576AB">
            <w:pPr>
              <w:pStyle w:val="BlockText"/>
            </w:pPr>
          </w:p>
          <w:p w14:paraId="1152CA22" w14:textId="77777777" w:rsidR="00644F04" w:rsidRPr="004A49EF" w:rsidRDefault="009576AB">
            <w:pPr>
              <w:pStyle w:val="BlockText"/>
            </w:pPr>
            <w:r w:rsidRPr="004A49EF">
              <w:rPr>
                <w:b/>
                <w:bCs/>
                <w:i/>
                <w:iCs/>
              </w:rPr>
              <w:t>Reference</w:t>
            </w:r>
            <w:r w:rsidRPr="004A49EF">
              <w:t xml:space="preserve">: </w:t>
            </w:r>
            <w:r w:rsidR="006E667F" w:rsidRPr="004A49EF">
              <w:t xml:space="preserve"> </w:t>
            </w:r>
            <w:r w:rsidR="008C5CD7" w:rsidRPr="004A49EF">
              <w:t>For more information on continuity of symptoms, see</w:t>
            </w:r>
          </w:p>
          <w:p w14:paraId="30213399" w14:textId="77777777" w:rsidR="009576AB" w:rsidRPr="004A49EF" w:rsidRDefault="004A49EF" w:rsidP="00523094">
            <w:pPr>
              <w:pStyle w:val="ListParagraph"/>
              <w:numPr>
                <w:ilvl w:val="0"/>
                <w:numId w:val="20"/>
              </w:numPr>
              <w:ind w:left="158" w:hanging="187"/>
            </w:pPr>
            <w:hyperlink r:id="rId26" w:history="1">
              <w:r w:rsidR="008C5CD7" w:rsidRPr="004A49EF">
                <w:rPr>
                  <w:rStyle w:val="Hyperlink"/>
                </w:rPr>
                <w:t>38 CFR 3.303(b),</w:t>
              </w:r>
            </w:hyperlink>
            <w:r w:rsidR="008C5CD7" w:rsidRPr="004A49EF">
              <w:t xml:space="preserve"> and</w:t>
            </w:r>
          </w:p>
          <w:p w14:paraId="04C545BC" w14:textId="53A902E6" w:rsidR="008C5CD7" w:rsidRPr="004A49EF" w:rsidRDefault="00857FC9" w:rsidP="00523094">
            <w:pPr>
              <w:pStyle w:val="ListParagraph"/>
              <w:numPr>
                <w:ilvl w:val="0"/>
                <w:numId w:val="20"/>
              </w:numPr>
              <w:ind w:left="158" w:hanging="187"/>
            </w:pPr>
            <w:hyperlink r:id="rId27" w:history="1">
              <w:r w:rsidR="008C5CD7" w:rsidRPr="004A49EF">
                <w:rPr>
                  <w:rStyle w:val="Hyperlink"/>
                  <w:i/>
                </w:rPr>
                <w:t>Walker v. Shinseki,</w:t>
              </w:r>
            </w:hyperlink>
            <w:r w:rsidR="008C5CD7" w:rsidRPr="004A49EF">
              <w:t xml:space="preserve"> 708 </w:t>
            </w:r>
            <w:proofErr w:type="spellStart"/>
            <w:r w:rsidR="008C5CD7" w:rsidRPr="004A49EF">
              <w:t>F.3d</w:t>
            </w:r>
            <w:proofErr w:type="spellEnd"/>
            <w:r w:rsidR="008C5CD7" w:rsidRPr="004A49EF">
              <w:t xml:space="preserve"> 1331 (Fed</w:t>
            </w:r>
            <w:proofErr w:type="gramStart"/>
            <w:r w:rsidR="008C5CD7" w:rsidRPr="004A49EF">
              <w:t xml:space="preserve">. </w:t>
            </w:r>
            <w:proofErr w:type="gramEnd"/>
            <w:r w:rsidR="008C5CD7" w:rsidRPr="004A49EF">
              <w:t xml:space="preserve">Cir. 2013).  </w:t>
            </w:r>
          </w:p>
        </w:tc>
      </w:tr>
    </w:tbl>
    <w:p w14:paraId="6650E05A" w14:textId="77777777" w:rsidR="00BC06A6" w:rsidRPr="004A49EF" w:rsidRDefault="00BC06A6" w:rsidP="0013092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C06A6" w:rsidRPr="004A49EF" w14:paraId="63ECA2F6" w14:textId="77777777" w:rsidTr="003D7E3A">
        <w:tc>
          <w:tcPr>
            <w:tcW w:w="1728" w:type="dxa"/>
            <w:shd w:val="clear" w:color="auto" w:fill="auto"/>
          </w:tcPr>
          <w:p w14:paraId="47BBCC30" w14:textId="77777777" w:rsidR="00BC06A6" w:rsidRPr="004A49EF" w:rsidRDefault="004F0628" w:rsidP="00016E5C">
            <w:pPr>
              <w:rPr>
                <w:b/>
                <w:sz w:val="22"/>
              </w:rPr>
            </w:pPr>
            <w:r w:rsidRPr="004A49EF">
              <w:rPr>
                <w:b/>
                <w:sz w:val="22"/>
              </w:rPr>
              <w:t>d</w:t>
            </w:r>
            <w:r w:rsidR="00BC06A6" w:rsidRPr="004A49EF">
              <w:rPr>
                <w:b/>
                <w:sz w:val="22"/>
              </w:rPr>
              <w:t xml:space="preserve">.  </w:t>
            </w:r>
            <w:r w:rsidR="004B324A" w:rsidRPr="004A49EF">
              <w:rPr>
                <w:b/>
                <w:sz w:val="22"/>
              </w:rPr>
              <w:t xml:space="preserve">Establishing </w:t>
            </w:r>
            <w:r w:rsidR="00BC06A6" w:rsidRPr="004A49EF">
              <w:rPr>
                <w:b/>
                <w:sz w:val="22"/>
              </w:rPr>
              <w:t>Direct SC</w:t>
            </w:r>
            <w:r w:rsidR="00016E5C" w:rsidRPr="004A49EF">
              <w:rPr>
                <w:b/>
                <w:sz w:val="22"/>
              </w:rPr>
              <w:t xml:space="preserve"> </w:t>
            </w:r>
            <w:r w:rsidR="00BC06A6" w:rsidRPr="004A49EF">
              <w:rPr>
                <w:b/>
                <w:sz w:val="22"/>
              </w:rPr>
              <w:t>Under 38 CFR 3.303(a)</w:t>
            </w:r>
          </w:p>
        </w:tc>
        <w:tc>
          <w:tcPr>
            <w:tcW w:w="7740" w:type="dxa"/>
            <w:shd w:val="clear" w:color="auto" w:fill="auto"/>
          </w:tcPr>
          <w:p w14:paraId="0A953212" w14:textId="77777777" w:rsidR="00BC06A6" w:rsidRPr="004A49EF" w:rsidRDefault="00186D2A" w:rsidP="00BC06A6">
            <w:r w:rsidRPr="004A49EF">
              <w:t xml:space="preserve">Direct </w:t>
            </w:r>
            <w:r w:rsidR="00016E5C" w:rsidRPr="004A49EF">
              <w:t>SC</w:t>
            </w:r>
            <w:r w:rsidR="00751803" w:rsidRPr="004A49EF">
              <w:t xml:space="preserve"> may be established under </w:t>
            </w:r>
            <w:hyperlink r:id="rId28" w:history="1">
              <w:r w:rsidR="00751803" w:rsidRPr="004A49EF">
                <w:rPr>
                  <w:rStyle w:val="Hyperlink"/>
                </w:rPr>
                <w:t>38 CFR 3.303(a)</w:t>
              </w:r>
            </w:hyperlink>
            <w:r w:rsidR="00751803" w:rsidRPr="004A49EF">
              <w:t xml:space="preserve"> when</w:t>
            </w:r>
          </w:p>
          <w:p w14:paraId="18AE8DD8" w14:textId="77777777" w:rsidR="00751803" w:rsidRPr="004A49EF" w:rsidRDefault="00751803" w:rsidP="00BC06A6"/>
          <w:p w14:paraId="7B845EDF" w14:textId="77777777" w:rsidR="00751803" w:rsidRPr="004A49EF" w:rsidRDefault="0099225A" w:rsidP="00523094">
            <w:pPr>
              <w:pStyle w:val="ListParagraph"/>
              <w:numPr>
                <w:ilvl w:val="0"/>
                <w:numId w:val="5"/>
              </w:numPr>
              <w:ind w:left="158" w:hanging="187"/>
            </w:pPr>
            <w:r w:rsidRPr="004A49EF">
              <w:t xml:space="preserve">the evidence or </w:t>
            </w:r>
            <w:r w:rsidR="00E5149C" w:rsidRPr="004A49EF">
              <w:t>a</w:t>
            </w:r>
            <w:r w:rsidR="00751803" w:rsidRPr="004A49EF">
              <w:t xml:space="preserve"> medical opinion shows a nexus between a current disability and an injury, disease, or event in service, or</w:t>
            </w:r>
          </w:p>
          <w:p w14:paraId="20389530" w14:textId="77777777" w:rsidR="00751803" w:rsidRPr="004A49EF" w:rsidRDefault="000466A5" w:rsidP="00523094">
            <w:pPr>
              <w:pStyle w:val="ListParagraph"/>
              <w:numPr>
                <w:ilvl w:val="0"/>
                <w:numId w:val="5"/>
              </w:numPr>
              <w:ind w:left="158" w:hanging="187"/>
            </w:pPr>
            <w:r w:rsidRPr="004A49EF">
              <w:t>c</w:t>
            </w:r>
            <w:r w:rsidR="00751803" w:rsidRPr="004A49EF">
              <w:t>ompetent medical evidence demonstr</w:t>
            </w:r>
            <w:r w:rsidR="00F36FDB" w:rsidRPr="004A49EF">
              <w:t xml:space="preserve">ates continuous symptoms that </w:t>
            </w:r>
            <w:r w:rsidRPr="004A49EF">
              <w:t>are</w:t>
            </w:r>
            <w:r w:rsidR="00751803" w:rsidRPr="004A49EF">
              <w:t xml:space="preserve"> sufficient to constitute a nexus between a current disability and an injury, disease, or event in service.</w:t>
            </w:r>
          </w:p>
          <w:p w14:paraId="35C015CD" w14:textId="77777777" w:rsidR="00F36FDB" w:rsidRPr="004A49EF" w:rsidRDefault="00F36FDB" w:rsidP="00F36FDB"/>
          <w:p w14:paraId="25111844" w14:textId="77777777" w:rsidR="00674085" w:rsidRPr="004A49EF" w:rsidRDefault="00F36FDB" w:rsidP="00F36FDB">
            <w:pPr>
              <w:rPr>
                <w:b/>
                <w:i/>
              </w:rPr>
            </w:pPr>
            <w:r w:rsidRPr="004A49EF">
              <w:rPr>
                <w:b/>
                <w:i/>
              </w:rPr>
              <w:t>Note</w:t>
            </w:r>
            <w:r w:rsidR="00674085" w:rsidRPr="004A49EF">
              <w:rPr>
                <w:b/>
                <w:i/>
              </w:rPr>
              <w:t>s</w:t>
            </w:r>
            <w:r w:rsidRPr="004A49EF">
              <w:t xml:space="preserve">: </w:t>
            </w:r>
          </w:p>
          <w:p w14:paraId="1BDCA46C" w14:textId="3C37D50E" w:rsidR="00674085" w:rsidRPr="004A49EF" w:rsidRDefault="00E761D7" w:rsidP="00523094">
            <w:pPr>
              <w:pStyle w:val="ListParagraph"/>
              <w:numPr>
                <w:ilvl w:val="0"/>
                <w:numId w:val="6"/>
              </w:numPr>
              <w:ind w:left="158" w:hanging="187"/>
            </w:pPr>
            <w:r w:rsidRPr="004A49EF">
              <w:t>C</w:t>
            </w:r>
            <w:r w:rsidR="00674085" w:rsidRPr="004A49EF">
              <w:t xml:space="preserve">ontinuous symptoms </w:t>
            </w:r>
            <w:r w:rsidRPr="004A49EF">
              <w:t>are</w:t>
            </w:r>
            <w:r w:rsidR="00674085" w:rsidRPr="004A49EF">
              <w:t xml:space="preserve"> demonstrated when the medical evidence shows symptoms continuing without stopping</w:t>
            </w:r>
            <w:r w:rsidR="003C2AC2" w:rsidRPr="004A49EF">
              <w:t>,</w:t>
            </w:r>
            <w:r w:rsidR="00674085" w:rsidRPr="004A49EF">
              <w:t xml:space="preserve"> or recurring regularly, with minimal interruptions, from service.  </w:t>
            </w:r>
          </w:p>
          <w:p w14:paraId="7A9C9427" w14:textId="61461B5E" w:rsidR="00F36FDB" w:rsidRPr="004A49EF" w:rsidRDefault="0099225A" w:rsidP="00523094">
            <w:pPr>
              <w:pStyle w:val="ListParagraph"/>
              <w:numPr>
                <w:ilvl w:val="0"/>
                <w:numId w:val="6"/>
              </w:numPr>
              <w:ind w:left="158" w:hanging="187"/>
            </w:pPr>
            <w:r w:rsidRPr="004A49EF">
              <w:t>When the evidence shows i</w:t>
            </w:r>
            <w:r w:rsidR="00F36FDB" w:rsidRPr="004A49EF">
              <w:t>solated instances of symptoms between service and a current disability</w:t>
            </w:r>
            <w:r w:rsidR="00EB14B5" w:rsidRPr="004A49EF">
              <w:t xml:space="preserve"> which do not demonstrate continuity</w:t>
            </w:r>
            <w:r w:rsidR="00F36FDB" w:rsidRPr="004A49EF">
              <w:t>, an examination with</w:t>
            </w:r>
            <w:r w:rsidR="00E761D7" w:rsidRPr="004A49EF">
              <w:t xml:space="preserve"> medical</w:t>
            </w:r>
            <w:r w:rsidR="00F36FDB" w:rsidRPr="004A49EF">
              <w:t xml:space="preserve"> opinion </w:t>
            </w:r>
            <w:r w:rsidRPr="004A49EF">
              <w:t>requested in accordance with</w:t>
            </w:r>
            <w:r w:rsidR="00F36FDB" w:rsidRPr="004A49EF">
              <w:t xml:space="preserve"> </w:t>
            </w:r>
            <w:hyperlink r:id="rId29" w:history="1">
              <w:r w:rsidRPr="004A49EF">
                <w:rPr>
                  <w:rStyle w:val="Hyperlink"/>
                </w:rPr>
                <w:t>38 CFR 3.159(c)(4)</w:t>
              </w:r>
            </w:hyperlink>
            <w:r w:rsidR="00F36FDB" w:rsidRPr="004A49EF">
              <w:t xml:space="preserve"> </w:t>
            </w:r>
            <w:r w:rsidR="000466A5" w:rsidRPr="004A49EF">
              <w:t xml:space="preserve">may </w:t>
            </w:r>
            <w:r w:rsidR="00F65C27" w:rsidRPr="004A49EF">
              <w:t>provide the required nexus</w:t>
            </w:r>
            <w:r w:rsidR="000466A5" w:rsidRPr="004A49EF">
              <w:t xml:space="preserve">.  </w:t>
            </w:r>
          </w:p>
        </w:tc>
      </w:tr>
    </w:tbl>
    <w:p w14:paraId="0834AEE2" w14:textId="292AD67E" w:rsidR="0013092C" w:rsidRPr="004A49EF" w:rsidRDefault="0013092C" w:rsidP="0013092C">
      <w:pPr>
        <w:pStyle w:val="BlockLine"/>
      </w:pPr>
    </w:p>
    <w:tbl>
      <w:tblPr>
        <w:tblW w:w="0" w:type="auto"/>
        <w:tblLayout w:type="fixed"/>
        <w:tblLook w:val="0000" w:firstRow="0" w:lastRow="0" w:firstColumn="0" w:lastColumn="0" w:noHBand="0" w:noVBand="0"/>
      </w:tblPr>
      <w:tblGrid>
        <w:gridCol w:w="1728"/>
        <w:gridCol w:w="7740"/>
      </w:tblGrid>
      <w:tr w:rsidR="0013092C" w:rsidRPr="004A49EF" w14:paraId="5007FFE4" w14:textId="77777777" w:rsidTr="0013092C">
        <w:tc>
          <w:tcPr>
            <w:tcW w:w="1728" w:type="dxa"/>
            <w:shd w:val="clear" w:color="auto" w:fill="auto"/>
          </w:tcPr>
          <w:p w14:paraId="6825BCB6" w14:textId="75C6D7C8" w:rsidR="0013092C" w:rsidRPr="004A49EF" w:rsidRDefault="00C12F8D" w:rsidP="00183EA4">
            <w:pPr>
              <w:pStyle w:val="Heading5"/>
            </w:pPr>
            <w:r w:rsidRPr="004A49EF">
              <w:t>e</w:t>
            </w:r>
            <w:r w:rsidR="0013092C" w:rsidRPr="004A49EF">
              <w:t xml:space="preserve">.  </w:t>
            </w:r>
            <w:r w:rsidR="004B324A" w:rsidRPr="004A49EF">
              <w:t xml:space="preserve">Establishing </w:t>
            </w:r>
            <w:r w:rsidR="0013092C" w:rsidRPr="004A49EF">
              <w:t>Direct SC Under 38 CFR 3.303(d)</w:t>
            </w:r>
          </w:p>
        </w:tc>
        <w:tc>
          <w:tcPr>
            <w:tcW w:w="7740" w:type="dxa"/>
            <w:shd w:val="clear" w:color="auto" w:fill="auto"/>
          </w:tcPr>
          <w:p w14:paraId="07BF46B3" w14:textId="35EA849A" w:rsidR="0013092C" w:rsidRPr="004A49EF" w:rsidRDefault="0013092C" w:rsidP="0013092C">
            <w:pPr>
              <w:pStyle w:val="BlockText"/>
            </w:pPr>
            <w:r w:rsidRPr="004A49EF">
              <w:t xml:space="preserve">Consider whether direct </w:t>
            </w:r>
            <w:r w:rsidR="005B50B4" w:rsidRPr="004A49EF">
              <w:t>SC</w:t>
            </w:r>
            <w:r w:rsidRPr="004A49EF">
              <w:t xml:space="preserve"> may be established under </w:t>
            </w:r>
            <w:hyperlink r:id="rId30" w:history="1">
              <w:r w:rsidR="005B50B4" w:rsidRPr="004A49EF">
                <w:rPr>
                  <w:rStyle w:val="Hyperlink"/>
                </w:rPr>
                <w:t>38 CFR 3.303(d)</w:t>
              </w:r>
            </w:hyperlink>
            <w:r w:rsidR="005B50B4" w:rsidRPr="004A49EF">
              <w:t>,</w:t>
            </w:r>
            <w:r w:rsidRPr="004A49EF">
              <w:t xml:space="preserve"> even if </w:t>
            </w:r>
            <w:r w:rsidR="005B50B4" w:rsidRPr="004A49EF">
              <w:t>SC</w:t>
            </w:r>
            <w:r w:rsidRPr="004A49EF">
              <w:t xml:space="preserve"> is claimed for a disease diagnosed </w:t>
            </w:r>
            <w:r w:rsidRPr="004A49EF">
              <w:rPr>
                <w:i/>
                <w:iCs/>
              </w:rPr>
              <w:t xml:space="preserve">after </w:t>
            </w:r>
            <w:r w:rsidRPr="004A49EF">
              <w:t>service has ended.  S</w:t>
            </w:r>
            <w:r w:rsidR="005B50B4" w:rsidRPr="004A49EF">
              <w:t>C</w:t>
            </w:r>
            <w:r w:rsidRPr="004A49EF">
              <w:t xml:space="preserve"> may be </w:t>
            </w:r>
            <w:r w:rsidR="00705C6F" w:rsidRPr="004A49EF">
              <w:t>award</w:t>
            </w:r>
            <w:r w:rsidRPr="004A49EF">
              <w:t>ed for a disease diagnosed after discharge when all the evidence establishes that the disease was incurred in service.</w:t>
            </w:r>
          </w:p>
        </w:tc>
      </w:tr>
    </w:tbl>
    <w:p w14:paraId="5DF0B6E0" w14:textId="6B736501" w:rsidR="009576AB" w:rsidRPr="004A49EF" w:rsidRDefault="009576AB" w:rsidP="003D593A">
      <w:pPr>
        <w:pStyle w:val="BlockLine"/>
      </w:pPr>
    </w:p>
    <w:tbl>
      <w:tblPr>
        <w:tblW w:w="0" w:type="auto"/>
        <w:tblLayout w:type="fixed"/>
        <w:tblLook w:val="0000" w:firstRow="0" w:lastRow="0" w:firstColumn="0" w:lastColumn="0" w:noHBand="0" w:noVBand="0"/>
      </w:tblPr>
      <w:tblGrid>
        <w:gridCol w:w="1728"/>
        <w:gridCol w:w="7740"/>
      </w:tblGrid>
      <w:tr w:rsidR="009576AB" w:rsidRPr="004A49EF" w14:paraId="6625AB50" w14:textId="77777777" w:rsidTr="00003CA7">
        <w:tc>
          <w:tcPr>
            <w:tcW w:w="1728" w:type="dxa"/>
          </w:tcPr>
          <w:p w14:paraId="76A4A289" w14:textId="00EDD32D" w:rsidR="009576AB" w:rsidRPr="004A49EF" w:rsidRDefault="00C12F8D" w:rsidP="00354CC7">
            <w:pPr>
              <w:pStyle w:val="Heading5"/>
            </w:pPr>
            <w:r w:rsidRPr="004A49EF">
              <w:t>f</w:t>
            </w:r>
            <w:r w:rsidR="009576AB" w:rsidRPr="004A49EF">
              <w:t>.  Definition</w:t>
            </w:r>
            <w:r w:rsidR="005745F6" w:rsidRPr="004A49EF">
              <w:t>:</w:t>
            </w:r>
            <w:r w:rsidR="00354CC7" w:rsidRPr="004A49EF">
              <w:t xml:space="preserve"> </w:t>
            </w:r>
            <w:r w:rsidR="009576AB" w:rsidRPr="004A49EF">
              <w:t xml:space="preserve"> Presumption of Soundness</w:t>
            </w:r>
          </w:p>
        </w:tc>
        <w:tc>
          <w:tcPr>
            <w:tcW w:w="7740" w:type="dxa"/>
          </w:tcPr>
          <w:p w14:paraId="24FC68F1" w14:textId="34C1A074" w:rsidR="009576AB" w:rsidRPr="004A49EF" w:rsidRDefault="009576AB" w:rsidP="00E504B6">
            <w:pPr>
              <w:pStyle w:val="BlockText"/>
            </w:pPr>
            <w:r w:rsidRPr="004A49EF">
              <w:t xml:space="preserve">The </w:t>
            </w:r>
            <w:r w:rsidRPr="004A49EF">
              <w:rPr>
                <w:b/>
                <w:bCs/>
                <w:i/>
                <w:iCs/>
              </w:rPr>
              <w:t>presumption of soundness</w:t>
            </w:r>
            <w:r w:rsidRPr="004A49EF">
              <w:t xml:space="preserve"> means that</w:t>
            </w:r>
            <w:r w:rsidR="00561F68" w:rsidRPr="004A49EF">
              <w:t xml:space="preserve"> a</w:t>
            </w:r>
            <w:r w:rsidRPr="004A49EF">
              <w:t xml:space="preserve"> Veteran will be considered to have been in sound condition </w:t>
            </w:r>
            <w:r w:rsidR="001C51DA" w:rsidRPr="004A49EF">
              <w:t xml:space="preserve">(the claimed disability did not exist) </w:t>
            </w:r>
            <w:r w:rsidRPr="004A49EF">
              <w:t>when examined, accepted, and enrolled for service</w:t>
            </w:r>
            <w:r w:rsidR="00E705EE" w:rsidRPr="004A49EF">
              <w:t>.</w:t>
            </w:r>
          </w:p>
          <w:p w14:paraId="61E8E4F3" w14:textId="77777777" w:rsidR="004A278C" w:rsidRPr="004A49EF" w:rsidRDefault="004A278C" w:rsidP="00E504B6">
            <w:pPr>
              <w:pStyle w:val="BlockText"/>
            </w:pPr>
          </w:p>
          <w:p w14:paraId="3EA4163E" w14:textId="37F62BCE" w:rsidR="004A278C" w:rsidRPr="004A49EF" w:rsidRDefault="004A278C" w:rsidP="00E504B6">
            <w:pPr>
              <w:pStyle w:val="BlockText"/>
            </w:pPr>
            <w:r w:rsidRPr="004A49EF">
              <w:rPr>
                <w:b/>
                <w:i/>
              </w:rPr>
              <w:t>Exceptions</w:t>
            </w:r>
            <w:r w:rsidRPr="004A49EF">
              <w:t>:</w:t>
            </w:r>
            <w:r w:rsidR="00983937" w:rsidRPr="004A49EF">
              <w:t xml:space="preserve">  The presumption of soundness does </w:t>
            </w:r>
            <w:r w:rsidR="00983937" w:rsidRPr="004A49EF">
              <w:rPr>
                <w:i/>
              </w:rPr>
              <w:t>not</w:t>
            </w:r>
            <w:r w:rsidR="00983937" w:rsidRPr="004A49EF">
              <w:t xml:space="preserve"> apply when the evidence shows</w:t>
            </w:r>
          </w:p>
          <w:p w14:paraId="28DCADF3" w14:textId="3BAE314F" w:rsidR="00983937" w:rsidRPr="004A49EF" w:rsidRDefault="00983937" w:rsidP="00AF2DD3">
            <w:pPr>
              <w:pStyle w:val="BulletText1"/>
              <w:tabs>
                <w:tab w:val="clear" w:pos="443"/>
                <w:tab w:val="num" w:pos="162"/>
              </w:tabs>
              <w:ind w:left="162"/>
            </w:pPr>
            <w:r w:rsidRPr="004A49EF">
              <w:t>defects, infirmities, or disorders noted at entrance into service (such as conditions noted on the entrance examination)</w:t>
            </w:r>
            <w:r w:rsidR="00E53D40" w:rsidRPr="004A49EF">
              <w:t>, or</w:t>
            </w:r>
          </w:p>
          <w:p w14:paraId="32F8BEA2" w14:textId="77A0D2F5" w:rsidR="00983937" w:rsidRPr="004A49EF" w:rsidRDefault="00983937" w:rsidP="00AF2DD3">
            <w:pPr>
              <w:pStyle w:val="BulletText1"/>
              <w:tabs>
                <w:tab w:val="clear" w:pos="443"/>
                <w:tab w:val="num" w:pos="162"/>
              </w:tabs>
              <w:ind w:left="162"/>
            </w:pPr>
            <w:r w:rsidRPr="004A49EF">
              <w:lastRenderedPageBreak/>
              <w:t>the injury or disease clearly</w:t>
            </w:r>
            <w:r w:rsidR="00C93D57" w:rsidRPr="004A49EF">
              <w:t xml:space="preserve"> and unmistakably</w:t>
            </w:r>
            <w:r w:rsidRPr="004A49EF">
              <w:t xml:space="preserve"> existed prior to service </w:t>
            </w:r>
            <w:r w:rsidR="008976D8" w:rsidRPr="004A49EF">
              <w:t>and</w:t>
            </w:r>
            <w:r w:rsidR="00E53D40" w:rsidRPr="004A49EF">
              <w:t xml:space="preserve"> </w:t>
            </w:r>
            <w:r w:rsidRPr="004A49EF">
              <w:t>was not aggravated by service.</w:t>
            </w:r>
          </w:p>
          <w:p w14:paraId="0252B31B" w14:textId="77777777" w:rsidR="00AF07F6" w:rsidRPr="004A49EF" w:rsidRDefault="00AF07F6" w:rsidP="00E504B6">
            <w:pPr>
              <w:pStyle w:val="BlockText"/>
            </w:pPr>
          </w:p>
          <w:p w14:paraId="5B960DEE" w14:textId="77777777" w:rsidR="0047199F" w:rsidRPr="004A49EF" w:rsidRDefault="00140261" w:rsidP="00140261">
            <w:pPr>
              <w:pStyle w:val="BulletText1"/>
              <w:numPr>
                <w:ilvl w:val="0"/>
                <w:numId w:val="0"/>
              </w:numPr>
            </w:pPr>
            <w:r w:rsidRPr="004A49EF">
              <w:rPr>
                <w:b/>
                <w:i/>
              </w:rPr>
              <w:t>Notes</w:t>
            </w:r>
            <w:r w:rsidRPr="004A49EF">
              <w:t xml:space="preserve">:  </w:t>
            </w:r>
          </w:p>
          <w:p w14:paraId="26A13B81" w14:textId="77777777" w:rsidR="00140261" w:rsidRPr="004A49EF" w:rsidRDefault="00140261" w:rsidP="00523094">
            <w:pPr>
              <w:pStyle w:val="ListParagraph"/>
              <w:numPr>
                <w:ilvl w:val="0"/>
                <w:numId w:val="16"/>
              </w:numPr>
              <w:ind w:left="158" w:hanging="187"/>
            </w:pPr>
            <w:r w:rsidRPr="004A49EF">
              <w:t xml:space="preserve">The presumption of soundness applies only when the Veteran underwent a physical examination at the time of entry into service on which the claim is based.  </w:t>
            </w:r>
          </w:p>
          <w:p w14:paraId="127487C0" w14:textId="77777777" w:rsidR="00140261" w:rsidRPr="004A49EF" w:rsidRDefault="00140261" w:rsidP="00523094">
            <w:pPr>
              <w:pStyle w:val="ListParagraph"/>
              <w:numPr>
                <w:ilvl w:val="0"/>
                <w:numId w:val="17"/>
              </w:numPr>
              <w:ind w:left="158" w:hanging="187"/>
            </w:pPr>
            <w:r w:rsidRPr="004A49EF">
              <w:t>Only the conditions that are recorded in the</w:t>
            </w:r>
            <w:r w:rsidR="00E761D7" w:rsidRPr="004A49EF">
              <w:t xml:space="preserve"> enlistment</w:t>
            </w:r>
            <w:r w:rsidRPr="004A49EF">
              <w:t xml:space="preserve"> examination report are to be considered as noted.</w:t>
            </w:r>
            <w:r w:rsidR="00986807" w:rsidRPr="004A49EF">
              <w:t xml:space="preserve">  A history of pre</w:t>
            </w:r>
            <w:r w:rsidR="008C5578" w:rsidRPr="004A49EF">
              <w:t>-</w:t>
            </w:r>
            <w:r w:rsidR="00986807" w:rsidRPr="004A49EF">
              <w:t xml:space="preserve">service conditions recorded at the time of the entrance examination is not a notation of the condition.  It is just one factor that must be considered on the question of </w:t>
            </w:r>
            <w:r w:rsidR="00E705EE" w:rsidRPr="004A49EF">
              <w:t>presumption of soundness</w:t>
            </w:r>
            <w:r w:rsidR="00986807" w:rsidRPr="004A49EF">
              <w:t xml:space="preserve">.  </w:t>
            </w:r>
          </w:p>
          <w:p w14:paraId="1B8899F5" w14:textId="14BBBDA0" w:rsidR="00566B6F" w:rsidRPr="004A49EF" w:rsidRDefault="00566B6F" w:rsidP="00523094">
            <w:pPr>
              <w:pStyle w:val="ListParagraph"/>
              <w:numPr>
                <w:ilvl w:val="0"/>
                <w:numId w:val="18"/>
              </w:numPr>
              <w:ind w:left="158" w:hanging="187"/>
            </w:pPr>
            <w:r w:rsidRPr="004A49EF">
              <w:t xml:space="preserve">The presumption of soundness is also applicable when the Veteran underwent a physical examination upon entrance into service, but the report of examination is unavailable.  In such </w:t>
            </w:r>
            <w:r w:rsidR="00AF07F6" w:rsidRPr="004A49EF">
              <w:t xml:space="preserve">a </w:t>
            </w:r>
            <w:r w:rsidRPr="004A49EF">
              <w:t>situation, the presumption of soundness</w:t>
            </w:r>
            <w:r w:rsidR="00156BD6" w:rsidRPr="004A49EF">
              <w:t xml:space="preserve"> will stand.  Once the presumption</w:t>
            </w:r>
            <w:r w:rsidR="001C51DA" w:rsidRPr="004A49EF">
              <w:t xml:space="preserve"> of soundness</w:t>
            </w:r>
            <w:r w:rsidR="00156BD6" w:rsidRPr="004A49EF">
              <w:t xml:space="preserve"> arises it is only overcome when the record contains </w:t>
            </w:r>
            <w:r w:rsidRPr="004A49EF">
              <w:t xml:space="preserve">clear and unmistakable evidence showing that the disease or injury existed prior to service </w:t>
            </w:r>
            <w:r w:rsidRPr="004A49EF">
              <w:rPr>
                <w:b/>
                <w:i/>
              </w:rPr>
              <w:t>and</w:t>
            </w:r>
            <w:r w:rsidRPr="004A49EF">
              <w:t xml:space="preserve"> was not aggravated by service.  </w:t>
            </w:r>
          </w:p>
          <w:p w14:paraId="6287113C" w14:textId="77777777" w:rsidR="00E504B6" w:rsidRPr="004A49EF" w:rsidRDefault="00E504B6" w:rsidP="006E4EF1">
            <w:pPr>
              <w:pStyle w:val="BlockText"/>
            </w:pPr>
          </w:p>
          <w:p w14:paraId="72AD24B4" w14:textId="77777777" w:rsidR="00523EF5" w:rsidRPr="004A49EF" w:rsidRDefault="003D593A" w:rsidP="00004A68">
            <w:pPr>
              <w:pStyle w:val="BlockText"/>
            </w:pPr>
            <w:r w:rsidRPr="004A49EF">
              <w:rPr>
                <w:b/>
                <w:i/>
              </w:rPr>
              <w:t>Reference</w:t>
            </w:r>
            <w:r w:rsidRPr="004A49EF">
              <w:t xml:space="preserve">:  </w:t>
            </w:r>
            <w:r w:rsidR="0047199F" w:rsidRPr="004A49EF">
              <w:t>For more information on the presumption of soundness and aggravation, see</w:t>
            </w:r>
          </w:p>
          <w:p w14:paraId="7765FB88" w14:textId="77777777" w:rsidR="00986807" w:rsidRPr="004A49EF" w:rsidRDefault="00986807" w:rsidP="00523094">
            <w:pPr>
              <w:pStyle w:val="ListParagraph"/>
              <w:numPr>
                <w:ilvl w:val="0"/>
                <w:numId w:val="22"/>
              </w:numPr>
              <w:ind w:left="158" w:hanging="187"/>
              <w:rPr>
                <w:rStyle w:val="Hyperlink"/>
                <w:color w:val="000000"/>
                <w:u w:val="none"/>
              </w:rPr>
            </w:pPr>
            <w:r w:rsidRPr="004A49EF">
              <w:t>M21-1</w:t>
            </w:r>
            <w:r w:rsidR="003C2AC2" w:rsidRPr="004A49EF">
              <w:t>,</w:t>
            </w:r>
            <w:r w:rsidRPr="004A49EF">
              <w:t xml:space="preserve"> Part IV, Subpart ii, </w:t>
            </w:r>
            <w:proofErr w:type="spellStart"/>
            <w:r w:rsidRPr="004A49EF">
              <w:t>2.B.</w:t>
            </w:r>
            <w:r w:rsidR="00561F68" w:rsidRPr="004A49EF">
              <w:t>4</w:t>
            </w:r>
            <w:r w:rsidRPr="004A49EF">
              <w:t>.a</w:t>
            </w:r>
            <w:proofErr w:type="spellEnd"/>
          </w:p>
          <w:p w14:paraId="1E6F910F" w14:textId="623B3DA4" w:rsidR="00966A21" w:rsidRPr="004A49EF" w:rsidRDefault="004A49EF" w:rsidP="00523094">
            <w:pPr>
              <w:pStyle w:val="ListParagraph"/>
              <w:numPr>
                <w:ilvl w:val="0"/>
                <w:numId w:val="23"/>
              </w:numPr>
              <w:ind w:left="158" w:hanging="187"/>
              <w:rPr>
                <w:rStyle w:val="Hyperlink"/>
                <w:color w:val="auto"/>
              </w:rPr>
            </w:pPr>
            <w:hyperlink r:id="rId31" w:history="1">
              <w:r w:rsidR="00966A21" w:rsidRPr="004A49EF">
                <w:rPr>
                  <w:rStyle w:val="Hyperlink"/>
                </w:rPr>
                <w:t>38 CFR 3.304(b)</w:t>
              </w:r>
            </w:hyperlink>
          </w:p>
          <w:p w14:paraId="391CC1A5" w14:textId="77777777" w:rsidR="00531597" w:rsidRPr="004A49EF" w:rsidRDefault="004A49EF" w:rsidP="00523094">
            <w:pPr>
              <w:pStyle w:val="ListParagraph"/>
              <w:numPr>
                <w:ilvl w:val="0"/>
                <w:numId w:val="24"/>
              </w:numPr>
              <w:ind w:left="158" w:hanging="187"/>
              <w:rPr>
                <w:rStyle w:val="Hyperlink"/>
                <w:color w:val="000000"/>
                <w:u w:val="none"/>
              </w:rPr>
            </w:pPr>
            <w:hyperlink r:id="rId32" w:history="1">
              <w:r w:rsidR="00531597" w:rsidRPr="004A49EF">
                <w:rPr>
                  <w:rStyle w:val="Hyperlink"/>
                </w:rPr>
                <w:t>38 U.S.C. 1111</w:t>
              </w:r>
            </w:hyperlink>
          </w:p>
          <w:p w14:paraId="1F3D9E93" w14:textId="77777777" w:rsidR="00E761D7" w:rsidRPr="004A49EF" w:rsidRDefault="004A49EF" w:rsidP="00523094">
            <w:pPr>
              <w:pStyle w:val="ListParagraph"/>
              <w:numPr>
                <w:ilvl w:val="0"/>
                <w:numId w:val="24"/>
              </w:numPr>
              <w:ind w:left="158" w:hanging="187"/>
            </w:pPr>
            <w:hyperlink r:id="rId33" w:history="1">
              <w:r w:rsidR="00E761D7" w:rsidRPr="004A49EF">
                <w:rPr>
                  <w:rStyle w:val="Hyperlink"/>
                </w:rPr>
                <w:t>VAOPGCPREC 3-2003</w:t>
              </w:r>
            </w:hyperlink>
          </w:p>
          <w:p w14:paraId="19F939C2" w14:textId="539BF994" w:rsidR="003D593A" w:rsidRPr="004A49EF" w:rsidRDefault="00AF546B" w:rsidP="00523094">
            <w:pPr>
              <w:pStyle w:val="ListParagraph"/>
              <w:numPr>
                <w:ilvl w:val="0"/>
                <w:numId w:val="25"/>
              </w:numPr>
              <w:ind w:left="158" w:hanging="187"/>
            </w:pPr>
            <w:hyperlink r:id="rId34" w:anchor="bmw" w:history="1">
              <w:r w:rsidRPr="004A49EF">
                <w:rPr>
                  <w:rStyle w:val="Hyperlink"/>
                  <w:i/>
                </w:rPr>
                <w:t xml:space="preserve">Wagner v. </w:t>
              </w:r>
              <w:proofErr w:type="spellStart"/>
              <w:r w:rsidRPr="004A49EF">
                <w:rPr>
                  <w:rStyle w:val="Hyperlink"/>
                  <w:i/>
                </w:rPr>
                <w:t>Principi</w:t>
              </w:r>
              <w:proofErr w:type="spellEnd"/>
            </w:hyperlink>
            <w:r w:rsidR="00F67F4C" w:rsidRPr="004A49EF">
              <w:rPr>
                <w:i/>
              </w:rPr>
              <w:t>,</w:t>
            </w:r>
            <w:r w:rsidR="00F67F4C" w:rsidRPr="004A49EF">
              <w:t xml:space="preserve"> 370 </w:t>
            </w:r>
            <w:proofErr w:type="spellStart"/>
            <w:r w:rsidR="00F67F4C" w:rsidRPr="004A49EF">
              <w:t>F.3d</w:t>
            </w:r>
            <w:proofErr w:type="spellEnd"/>
            <w:r w:rsidR="00F67F4C" w:rsidRPr="004A49EF">
              <w:t xml:space="preserve"> 1089, 1096 (Fed</w:t>
            </w:r>
            <w:proofErr w:type="gramStart"/>
            <w:r w:rsidR="00F67F4C" w:rsidRPr="004A49EF">
              <w:t xml:space="preserve">. </w:t>
            </w:r>
            <w:proofErr w:type="gramEnd"/>
            <w:r w:rsidR="00F67F4C" w:rsidRPr="004A49EF">
              <w:t>Cir. 2004)</w:t>
            </w:r>
          </w:p>
          <w:p w14:paraId="09297E7A" w14:textId="77777777" w:rsidR="008F540A" w:rsidRPr="004A49EF" w:rsidRDefault="004A49EF" w:rsidP="00523094">
            <w:pPr>
              <w:pStyle w:val="ListParagraph"/>
              <w:numPr>
                <w:ilvl w:val="0"/>
                <w:numId w:val="26"/>
              </w:numPr>
              <w:ind w:left="158" w:hanging="187"/>
            </w:pPr>
            <w:hyperlink r:id="rId35" w:anchor="bmh" w:history="1">
              <w:r w:rsidR="008F540A" w:rsidRPr="004A49EF">
                <w:rPr>
                  <w:rStyle w:val="Hyperlink"/>
                  <w:i/>
                </w:rPr>
                <w:t xml:space="preserve">Horn v </w:t>
              </w:r>
              <w:r w:rsidR="009D3EB8" w:rsidRPr="004A49EF">
                <w:rPr>
                  <w:rStyle w:val="Hyperlink"/>
                  <w:i/>
                </w:rPr>
                <w:t>Shinseki</w:t>
              </w:r>
            </w:hyperlink>
            <w:r w:rsidR="008F540A" w:rsidRPr="004A49EF">
              <w:t>, 25 Vet.App. 231 (2012)</w:t>
            </w:r>
            <w:r w:rsidR="00E5149C" w:rsidRPr="004A49EF">
              <w:t>, and</w:t>
            </w:r>
          </w:p>
          <w:p w14:paraId="17E5CE3D" w14:textId="77777777" w:rsidR="002D7E09" w:rsidRPr="004A49EF" w:rsidRDefault="004A49EF" w:rsidP="00AF2DD3">
            <w:pPr>
              <w:pStyle w:val="BulletText1"/>
              <w:tabs>
                <w:tab w:val="clear" w:pos="443"/>
                <w:tab w:val="num" w:pos="162"/>
              </w:tabs>
              <w:ind w:left="162"/>
            </w:pPr>
            <w:hyperlink r:id="rId36" w:anchor="bmg" w:history="1">
              <w:r w:rsidR="00AF07F6" w:rsidRPr="004A49EF">
                <w:rPr>
                  <w:rStyle w:val="Hyperlink"/>
                  <w:i/>
                </w:rPr>
                <w:t>Gilbert v. Shinseki</w:t>
              </w:r>
            </w:hyperlink>
            <w:r w:rsidR="00AF07F6" w:rsidRPr="004A49EF">
              <w:t>, 26 Vet.App. 48 (2012).</w:t>
            </w:r>
          </w:p>
        </w:tc>
      </w:tr>
    </w:tbl>
    <w:p w14:paraId="4E29FBE5" w14:textId="44F6D146"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3D294ECF" w14:textId="77777777">
        <w:trPr>
          <w:cantSplit/>
        </w:trPr>
        <w:tc>
          <w:tcPr>
            <w:tcW w:w="1728" w:type="dxa"/>
          </w:tcPr>
          <w:p w14:paraId="3BB1663F" w14:textId="49D5C63D" w:rsidR="009576AB" w:rsidRPr="004A49EF" w:rsidRDefault="00C12F8D">
            <w:pPr>
              <w:pStyle w:val="Heading5"/>
            </w:pPr>
            <w:r w:rsidRPr="004A49EF">
              <w:t>g</w:t>
            </w:r>
            <w:r w:rsidR="009576AB" w:rsidRPr="004A49EF">
              <w:t>.  Service Requirements for Presumption of Soundness</w:t>
            </w:r>
          </w:p>
        </w:tc>
        <w:tc>
          <w:tcPr>
            <w:tcW w:w="7740" w:type="dxa"/>
          </w:tcPr>
          <w:p w14:paraId="1FAC4180" w14:textId="44E5BCE2" w:rsidR="009576AB" w:rsidRPr="004A49EF" w:rsidRDefault="00DF62BA">
            <w:pPr>
              <w:pStyle w:val="BlockText"/>
            </w:pPr>
            <w:r w:rsidRPr="004A49EF">
              <w:t>Use t</w:t>
            </w:r>
            <w:r w:rsidR="00F67F4C" w:rsidRPr="004A49EF">
              <w:t>he table below</w:t>
            </w:r>
            <w:r w:rsidRPr="004A49EF">
              <w:t xml:space="preserve"> to determine</w:t>
            </w:r>
            <w:r w:rsidR="00F67F4C" w:rsidRPr="004A49EF">
              <w:t xml:space="preserve"> the service </w:t>
            </w:r>
            <w:r w:rsidR="00531597" w:rsidRPr="004A49EF">
              <w:t>requirements the Veteran must meet before VA can apply the presumption of soundness.</w:t>
            </w:r>
          </w:p>
          <w:p w14:paraId="2E599156" w14:textId="77777777" w:rsidR="009576AB" w:rsidRPr="004A49EF" w:rsidRDefault="009576AB">
            <w:pPr>
              <w:pStyle w:val="BlockText"/>
              <w:rPr>
                <w:b/>
              </w:rPr>
            </w:pPr>
          </w:p>
        </w:tc>
      </w:tr>
    </w:tbl>
    <w:p w14:paraId="74C1285F" w14:textId="77777777" w:rsidR="009576AB" w:rsidRPr="004A49EF" w:rsidRDefault="009576AB">
      <w:r w:rsidRPr="004A49EF">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3590"/>
        <w:gridCol w:w="3970"/>
      </w:tblGrid>
      <w:tr w:rsidR="009576AB" w:rsidRPr="004A49EF" w14:paraId="11430267" w14:textId="77777777">
        <w:trPr>
          <w:cantSplit/>
        </w:trPr>
        <w:tc>
          <w:tcPr>
            <w:tcW w:w="3590" w:type="dxa"/>
            <w:tcBorders>
              <w:top w:val="single" w:sz="6" w:space="0" w:color="auto"/>
              <w:left w:val="single" w:sz="6" w:space="0" w:color="auto"/>
              <w:bottom w:val="single" w:sz="6" w:space="0" w:color="auto"/>
              <w:right w:val="single" w:sz="6" w:space="0" w:color="auto"/>
            </w:tcBorders>
          </w:tcPr>
          <w:p w14:paraId="3136C829" w14:textId="77777777" w:rsidR="009576AB" w:rsidRPr="004A49EF" w:rsidRDefault="009576AB">
            <w:pPr>
              <w:pStyle w:val="TableHeaderText"/>
              <w:jc w:val="left"/>
            </w:pPr>
            <w:r w:rsidRPr="004A49EF">
              <w:t>If the Veteran served during …</w:t>
            </w:r>
          </w:p>
        </w:tc>
        <w:tc>
          <w:tcPr>
            <w:tcW w:w="3970" w:type="dxa"/>
            <w:tcBorders>
              <w:top w:val="single" w:sz="6" w:space="0" w:color="auto"/>
              <w:left w:val="single" w:sz="6" w:space="0" w:color="auto"/>
              <w:bottom w:val="single" w:sz="6" w:space="0" w:color="auto"/>
              <w:right w:val="single" w:sz="6" w:space="0" w:color="auto"/>
            </w:tcBorders>
          </w:tcPr>
          <w:p w14:paraId="1DA9AC48" w14:textId="77777777" w:rsidR="009576AB" w:rsidRPr="004A49EF" w:rsidRDefault="009576AB">
            <w:pPr>
              <w:pStyle w:val="TableHeaderText"/>
              <w:jc w:val="left"/>
            </w:pPr>
            <w:r w:rsidRPr="004A49EF">
              <w:t>Then the Veteran must …</w:t>
            </w:r>
          </w:p>
        </w:tc>
      </w:tr>
      <w:tr w:rsidR="009576AB" w:rsidRPr="004A49EF" w14:paraId="59E9537D" w14:textId="77777777">
        <w:trPr>
          <w:cantSplit/>
        </w:trPr>
        <w:tc>
          <w:tcPr>
            <w:tcW w:w="3590" w:type="dxa"/>
            <w:tcBorders>
              <w:top w:val="single" w:sz="6" w:space="0" w:color="auto"/>
              <w:left w:val="single" w:sz="6" w:space="0" w:color="auto"/>
              <w:bottom w:val="single" w:sz="6" w:space="0" w:color="auto"/>
              <w:right w:val="single" w:sz="6" w:space="0" w:color="auto"/>
            </w:tcBorders>
          </w:tcPr>
          <w:p w14:paraId="52BFDE64" w14:textId="77777777" w:rsidR="009576AB" w:rsidRPr="004A49EF" w:rsidRDefault="009576AB" w:rsidP="00DF62BA">
            <w:r w:rsidRPr="004A49EF">
              <w:t>peacetime before January 1, 1947</w:t>
            </w:r>
          </w:p>
        </w:tc>
        <w:tc>
          <w:tcPr>
            <w:tcW w:w="3970" w:type="dxa"/>
            <w:tcBorders>
              <w:top w:val="single" w:sz="6" w:space="0" w:color="auto"/>
              <w:left w:val="single" w:sz="6" w:space="0" w:color="auto"/>
              <w:bottom w:val="single" w:sz="6" w:space="0" w:color="auto"/>
              <w:right w:val="single" w:sz="6" w:space="0" w:color="auto"/>
            </w:tcBorders>
          </w:tcPr>
          <w:p w14:paraId="25C38C47" w14:textId="77777777" w:rsidR="009576AB" w:rsidRPr="004A49EF" w:rsidRDefault="009576AB" w:rsidP="004E156B">
            <w:pPr>
              <w:pStyle w:val="TableText"/>
            </w:pPr>
            <w:proofErr w:type="gramStart"/>
            <w:r w:rsidRPr="004A49EF">
              <w:t>have</w:t>
            </w:r>
            <w:proofErr w:type="gramEnd"/>
            <w:r w:rsidRPr="004A49EF">
              <w:t xml:space="preserve"> had active continuous service </w:t>
            </w:r>
            <w:r w:rsidR="00D0237E" w:rsidRPr="004A49EF">
              <w:t xml:space="preserve">of </w:t>
            </w:r>
            <w:r w:rsidRPr="004A49EF">
              <w:t xml:space="preserve">six months or more, per </w:t>
            </w:r>
            <w:hyperlink r:id="rId37" w:history="1">
              <w:r w:rsidRPr="004A49EF">
                <w:rPr>
                  <w:rStyle w:val="Hyperlink"/>
                </w:rPr>
                <w:t>38 CFR 3.305(b)</w:t>
              </w:r>
              <w:r w:rsidRPr="004A49EF">
                <w:rPr>
                  <w:rStyle w:val="Hyperlink"/>
                  <w:color w:val="auto"/>
                  <w:u w:val="none"/>
                </w:rPr>
                <w:t>.</w:t>
              </w:r>
            </w:hyperlink>
          </w:p>
        </w:tc>
      </w:tr>
      <w:tr w:rsidR="009576AB" w:rsidRPr="004A49EF" w14:paraId="559179A7" w14:textId="77777777">
        <w:trPr>
          <w:cantSplit/>
        </w:trPr>
        <w:tc>
          <w:tcPr>
            <w:tcW w:w="3590" w:type="dxa"/>
            <w:tcBorders>
              <w:top w:val="single" w:sz="6" w:space="0" w:color="auto"/>
              <w:left w:val="single" w:sz="6" w:space="0" w:color="auto"/>
              <w:bottom w:val="single" w:sz="6" w:space="0" w:color="auto"/>
              <w:right w:val="single" w:sz="6" w:space="0" w:color="auto"/>
            </w:tcBorders>
          </w:tcPr>
          <w:p w14:paraId="6734B820" w14:textId="77777777" w:rsidR="009576AB" w:rsidRPr="004A49EF" w:rsidRDefault="009576AB" w:rsidP="00AF2DD3">
            <w:pPr>
              <w:pStyle w:val="BulletText1"/>
              <w:tabs>
                <w:tab w:val="clear" w:pos="443"/>
                <w:tab w:val="num" w:pos="180"/>
              </w:tabs>
              <w:ind w:left="180"/>
            </w:pPr>
            <w:r w:rsidRPr="004A49EF">
              <w:t>peacetime on or after January 1, 1947, or</w:t>
            </w:r>
          </w:p>
          <w:p w14:paraId="6C889C08" w14:textId="77777777" w:rsidR="009576AB" w:rsidRPr="004A49EF" w:rsidRDefault="009576AB" w:rsidP="00AF2DD3">
            <w:pPr>
              <w:pStyle w:val="BulletText1"/>
              <w:tabs>
                <w:tab w:val="clear" w:pos="443"/>
                <w:tab w:val="num" w:pos="180"/>
              </w:tabs>
              <w:ind w:left="180"/>
            </w:pPr>
            <w:r w:rsidRPr="004A49EF">
              <w:t>wartime</w:t>
            </w:r>
          </w:p>
        </w:tc>
        <w:tc>
          <w:tcPr>
            <w:tcW w:w="3970" w:type="dxa"/>
            <w:tcBorders>
              <w:top w:val="single" w:sz="6" w:space="0" w:color="auto"/>
              <w:left w:val="single" w:sz="6" w:space="0" w:color="auto"/>
              <w:bottom w:val="single" w:sz="6" w:space="0" w:color="auto"/>
              <w:right w:val="single" w:sz="6" w:space="0" w:color="auto"/>
            </w:tcBorders>
          </w:tcPr>
          <w:p w14:paraId="4FD6DB23" w14:textId="77777777" w:rsidR="009576AB" w:rsidRPr="004A49EF" w:rsidRDefault="009576AB" w:rsidP="004E156B">
            <w:pPr>
              <w:pStyle w:val="TableText"/>
            </w:pPr>
            <w:proofErr w:type="gramStart"/>
            <w:r w:rsidRPr="004A49EF">
              <w:t>meet</w:t>
            </w:r>
            <w:proofErr w:type="gramEnd"/>
            <w:r w:rsidRPr="004A49EF">
              <w:t xml:space="preserve"> </w:t>
            </w:r>
            <w:r w:rsidRPr="004A49EF">
              <w:rPr>
                <w:i/>
              </w:rPr>
              <w:t xml:space="preserve">no </w:t>
            </w:r>
            <w:r w:rsidR="00D0237E" w:rsidRPr="004A49EF">
              <w:t xml:space="preserve">minimum </w:t>
            </w:r>
            <w:r w:rsidRPr="004A49EF">
              <w:t xml:space="preserve">service requirements, per </w:t>
            </w:r>
            <w:hyperlink r:id="rId38" w:history="1">
              <w:r w:rsidRPr="004A49EF">
                <w:rPr>
                  <w:rStyle w:val="Hyperlink"/>
                </w:rPr>
                <w:t>38 CFR 3.304(b)</w:t>
              </w:r>
              <w:r w:rsidRPr="004A49EF">
                <w:rPr>
                  <w:rStyle w:val="Hyperlink"/>
                  <w:color w:val="auto"/>
                  <w:u w:val="none"/>
                </w:rPr>
                <w:t>.</w:t>
              </w:r>
            </w:hyperlink>
          </w:p>
          <w:p w14:paraId="00A1ADB4" w14:textId="77777777" w:rsidR="00455E33" w:rsidRPr="004A49EF" w:rsidRDefault="00455E33" w:rsidP="004E156B">
            <w:pPr>
              <w:pStyle w:val="TableText"/>
            </w:pPr>
          </w:p>
        </w:tc>
      </w:tr>
    </w:tbl>
    <w:p w14:paraId="48F4DC67" w14:textId="4BC73249" w:rsidR="009576AB" w:rsidRPr="004A49EF" w:rsidRDefault="009576AB" w:rsidP="009F087A">
      <w:pPr>
        <w:pStyle w:val="BlockLine"/>
      </w:pPr>
    </w:p>
    <w:tbl>
      <w:tblPr>
        <w:tblW w:w="0" w:type="auto"/>
        <w:tblLayout w:type="fixed"/>
        <w:tblLook w:val="0000" w:firstRow="0" w:lastRow="0" w:firstColumn="0" w:lastColumn="0" w:noHBand="0" w:noVBand="0"/>
      </w:tblPr>
      <w:tblGrid>
        <w:gridCol w:w="1728"/>
        <w:gridCol w:w="7740"/>
      </w:tblGrid>
      <w:tr w:rsidR="009F087A" w:rsidRPr="004A49EF" w14:paraId="139EB2DB" w14:textId="77777777" w:rsidTr="009F087A">
        <w:tc>
          <w:tcPr>
            <w:tcW w:w="1728" w:type="dxa"/>
            <w:shd w:val="clear" w:color="auto" w:fill="auto"/>
          </w:tcPr>
          <w:p w14:paraId="571BA203" w14:textId="5C52491A" w:rsidR="009F087A" w:rsidRPr="004A49EF" w:rsidRDefault="009F087A" w:rsidP="009F087A">
            <w:pPr>
              <w:pStyle w:val="Heading5"/>
            </w:pPr>
            <w:r w:rsidRPr="004A49EF">
              <w:t xml:space="preserve">h.  Considering the Presumption of </w:t>
            </w:r>
            <w:r w:rsidRPr="004A49EF">
              <w:lastRenderedPageBreak/>
              <w:t xml:space="preserve">Soundness at Entry Into Service </w:t>
            </w:r>
          </w:p>
        </w:tc>
        <w:tc>
          <w:tcPr>
            <w:tcW w:w="7740" w:type="dxa"/>
            <w:shd w:val="clear" w:color="auto" w:fill="auto"/>
          </w:tcPr>
          <w:p w14:paraId="1E6BEFE0" w14:textId="0DABF407" w:rsidR="009F087A" w:rsidRPr="004A49EF" w:rsidRDefault="009F087A" w:rsidP="009F087A">
            <w:pPr>
              <w:pStyle w:val="BlockText"/>
            </w:pPr>
            <w:r w:rsidRPr="004A49EF">
              <w:lastRenderedPageBreak/>
              <w:t xml:space="preserve">Under </w:t>
            </w:r>
            <w:hyperlink r:id="rId39" w:history="1">
              <w:r w:rsidRPr="004A49EF">
                <w:rPr>
                  <w:rStyle w:val="Hyperlink"/>
                </w:rPr>
                <w:t xml:space="preserve">38 </w:t>
              </w:r>
              <w:proofErr w:type="spellStart"/>
              <w:r w:rsidRPr="004A49EF">
                <w:rPr>
                  <w:rStyle w:val="Hyperlink"/>
                </w:rPr>
                <w:t>U.S.C</w:t>
              </w:r>
              <w:proofErr w:type="spellEnd"/>
              <w:r w:rsidRPr="004A49EF">
                <w:rPr>
                  <w:rStyle w:val="Hyperlink"/>
                </w:rPr>
                <w:t>. 1111</w:t>
              </w:r>
            </w:hyperlink>
            <w:r w:rsidRPr="004A49EF">
              <w:rPr>
                <w:rStyle w:val="Hyperlink"/>
                <w:color w:val="auto"/>
                <w:u w:val="none"/>
              </w:rPr>
              <w:t>,</w:t>
            </w:r>
            <w:r w:rsidRPr="004A49EF">
              <w:t xml:space="preserve"> when no pre-existing condition is noted at entrance into service, the</w:t>
            </w:r>
            <w:r w:rsidR="006A0609" w:rsidRPr="004A49EF">
              <w:t>n</w:t>
            </w:r>
            <w:r w:rsidRPr="004A49EF">
              <w:t xml:space="preserve"> </w:t>
            </w:r>
            <w:r w:rsidR="006A0609" w:rsidRPr="004A49EF">
              <w:t>t</w:t>
            </w:r>
            <w:r w:rsidRPr="004A49EF">
              <w:t xml:space="preserve">he presumption of soundness establishes that the claimed disability did </w:t>
            </w:r>
            <w:r w:rsidRPr="004A49EF">
              <w:rPr>
                <w:i/>
              </w:rPr>
              <w:t>not</w:t>
            </w:r>
            <w:r w:rsidRPr="004A49EF">
              <w:t xml:space="preserve"> exist before service unless there is clear and unmistakable </w:t>
            </w:r>
            <w:r w:rsidRPr="004A49EF">
              <w:lastRenderedPageBreak/>
              <w:t>(undebatable) evidence showing that the disease or injury which manifested in service</w:t>
            </w:r>
          </w:p>
          <w:p w14:paraId="2DDE28F0" w14:textId="77777777" w:rsidR="009F087A" w:rsidRPr="004A49EF" w:rsidRDefault="009F087A" w:rsidP="009F087A">
            <w:pPr>
              <w:pStyle w:val="BlockText"/>
            </w:pPr>
          </w:p>
          <w:p w14:paraId="3ED53A62" w14:textId="77777777" w:rsidR="009F087A" w:rsidRPr="004A49EF" w:rsidRDefault="009F087A" w:rsidP="009F087A">
            <w:pPr>
              <w:pStyle w:val="BulletText1"/>
              <w:tabs>
                <w:tab w:val="clear" w:pos="443"/>
                <w:tab w:val="num" w:pos="162"/>
              </w:tabs>
              <w:ind w:left="162"/>
            </w:pPr>
            <w:r w:rsidRPr="004A49EF">
              <w:t>existed prior to service, and</w:t>
            </w:r>
          </w:p>
          <w:p w14:paraId="152D881D" w14:textId="77777777" w:rsidR="009F087A" w:rsidRPr="004A49EF" w:rsidRDefault="009F087A" w:rsidP="009F087A">
            <w:pPr>
              <w:pStyle w:val="BulletText1"/>
              <w:tabs>
                <w:tab w:val="clear" w:pos="443"/>
                <w:tab w:val="num" w:pos="162"/>
              </w:tabs>
              <w:ind w:left="162"/>
            </w:pPr>
            <w:r w:rsidRPr="004A49EF">
              <w:t>was not aggravated by service.</w:t>
            </w:r>
          </w:p>
          <w:p w14:paraId="0ECB7118" w14:textId="77777777" w:rsidR="009F087A" w:rsidRPr="004A49EF" w:rsidRDefault="009F087A" w:rsidP="009F087A">
            <w:pPr>
              <w:pStyle w:val="BlockText"/>
            </w:pPr>
          </w:p>
          <w:p w14:paraId="2DBE4DCF" w14:textId="77777777" w:rsidR="009F087A" w:rsidRPr="004A49EF" w:rsidRDefault="009F087A" w:rsidP="009F087A">
            <w:pPr>
              <w:pStyle w:val="BlockText"/>
            </w:pPr>
            <w:r w:rsidRPr="004A49EF">
              <w:rPr>
                <w:b/>
                <w:i/>
              </w:rPr>
              <w:t>Notes</w:t>
            </w:r>
            <w:r w:rsidRPr="004A49EF">
              <w:t xml:space="preserve">:  </w:t>
            </w:r>
          </w:p>
          <w:p w14:paraId="78BBB87E" w14:textId="77777777" w:rsidR="009F087A" w:rsidRPr="004A49EF" w:rsidRDefault="009F087A" w:rsidP="00523094">
            <w:pPr>
              <w:pStyle w:val="ListParagraph"/>
              <w:numPr>
                <w:ilvl w:val="0"/>
                <w:numId w:val="45"/>
              </w:numPr>
              <w:ind w:left="158" w:hanging="187"/>
            </w:pPr>
            <w:r w:rsidRPr="004A49EF">
              <w:t xml:space="preserve">Personality disorders are not considered diseases or injuries under </w:t>
            </w:r>
            <w:hyperlink r:id="rId40" w:history="1">
              <w:r w:rsidRPr="004A49EF">
                <w:rPr>
                  <w:rStyle w:val="Hyperlink"/>
                </w:rPr>
                <w:t>38 U.S.C. 1110</w:t>
              </w:r>
            </w:hyperlink>
            <w:r w:rsidRPr="004A49EF">
              <w:t xml:space="preserve">; therefore presumption of soundness under </w:t>
            </w:r>
            <w:hyperlink r:id="rId41" w:history="1">
              <w:r w:rsidRPr="004A49EF">
                <w:rPr>
                  <w:rStyle w:val="Hyperlink"/>
                </w:rPr>
                <w:t>38 U.S.C. 1111</w:t>
              </w:r>
            </w:hyperlink>
            <w:r w:rsidRPr="004A49EF">
              <w:t xml:space="preserve"> pertaining to personality disorders does </w:t>
            </w:r>
            <w:r w:rsidRPr="004A49EF">
              <w:rPr>
                <w:i/>
              </w:rPr>
              <w:t xml:space="preserve">not </w:t>
            </w:r>
            <w:r w:rsidRPr="004A49EF">
              <w:t xml:space="preserve">apply. </w:t>
            </w:r>
          </w:p>
          <w:p w14:paraId="54A19FC0" w14:textId="77777777" w:rsidR="009F087A" w:rsidRPr="004A49EF" w:rsidRDefault="009F087A" w:rsidP="00523094">
            <w:pPr>
              <w:pStyle w:val="ListParagraph"/>
              <w:numPr>
                <w:ilvl w:val="0"/>
                <w:numId w:val="45"/>
              </w:numPr>
              <w:ind w:left="158" w:hanging="187"/>
            </w:pPr>
            <w:r w:rsidRPr="004A49EF">
              <w:t xml:space="preserve">The presumption of soundness still requires evidence of a nexus between a current disability and the in-service disease or injury. </w:t>
            </w:r>
          </w:p>
          <w:p w14:paraId="577A6AD4" w14:textId="77777777" w:rsidR="009F087A" w:rsidRPr="004A49EF" w:rsidRDefault="009F087A" w:rsidP="009F087A">
            <w:pPr>
              <w:pStyle w:val="BlockText"/>
            </w:pPr>
          </w:p>
          <w:p w14:paraId="0E613E4E" w14:textId="77777777" w:rsidR="009F087A" w:rsidRPr="004A49EF" w:rsidRDefault="009F087A" w:rsidP="009F087A">
            <w:pPr>
              <w:pStyle w:val="BlockText"/>
            </w:pPr>
            <w:r w:rsidRPr="004A49EF">
              <w:rPr>
                <w:b/>
                <w:bCs/>
                <w:i/>
                <w:iCs/>
              </w:rPr>
              <w:t>Reference</w:t>
            </w:r>
            <w:r w:rsidRPr="004A49EF">
              <w:t>:  For more information on the presumption of soundness, see</w:t>
            </w:r>
          </w:p>
          <w:p w14:paraId="439FF068" w14:textId="78CF9691" w:rsidR="009F087A" w:rsidRPr="004A49EF" w:rsidRDefault="004A49EF" w:rsidP="00523094">
            <w:pPr>
              <w:pStyle w:val="ListParagraph"/>
              <w:numPr>
                <w:ilvl w:val="0"/>
                <w:numId w:val="28"/>
              </w:numPr>
              <w:ind w:left="158" w:hanging="187"/>
            </w:pPr>
            <w:hyperlink r:id="rId42" w:history="1">
              <w:r w:rsidR="009F087A" w:rsidRPr="004A49EF">
                <w:rPr>
                  <w:rStyle w:val="Hyperlink"/>
                </w:rPr>
                <w:t>38 CFR 3.304(b)</w:t>
              </w:r>
            </w:hyperlink>
          </w:p>
          <w:p w14:paraId="69D696DA" w14:textId="5F1E6677" w:rsidR="009F087A" w:rsidRPr="004A49EF" w:rsidRDefault="009F087A" w:rsidP="00523094">
            <w:pPr>
              <w:pStyle w:val="ListParagraph"/>
              <w:numPr>
                <w:ilvl w:val="0"/>
                <w:numId w:val="28"/>
              </w:numPr>
              <w:ind w:left="158" w:hanging="187"/>
            </w:pPr>
            <w:r w:rsidRPr="004A49EF">
              <w:t xml:space="preserve">M21-1, Part IV, Subpart ii, </w:t>
            </w:r>
            <w:proofErr w:type="spellStart"/>
            <w:r w:rsidRPr="004A49EF">
              <w:t>2.B.1.f</w:t>
            </w:r>
            <w:proofErr w:type="spellEnd"/>
          </w:p>
          <w:p w14:paraId="68661790" w14:textId="77777777" w:rsidR="009F087A" w:rsidRPr="004A49EF" w:rsidRDefault="004A49EF" w:rsidP="00523094">
            <w:pPr>
              <w:pStyle w:val="ListParagraph"/>
              <w:numPr>
                <w:ilvl w:val="0"/>
                <w:numId w:val="29"/>
              </w:numPr>
              <w:ind w:left="158" w:hanging="187"/>
            </w:pPr>
            <w:hyperlink r:id="rId43" w:history="1">
              <w:r w:rsidR="009F087A" w:rsidRPr="004A49EF">
                <w:rPr>
                  <w:rStyle w:val="Hyperlink"/>
                </w:rPr>
                <w:t>38 U.S.C. 1111</w:t>
              </w:r>
            </w:hyperlink>
          </w:p>
          <w:p w14:paraId="2FA2DE82" w14:textId="77777777" w:rsidR="009F087A" w:rsidRPr="004A49EF" w:rsidRDefault="004A49EF" w:rsidP="00523094">
            <w:pPr>
              <w:pStyle w:val="ListParagraph"/>
              <w:numPr>
                <w:ilvl w:val="0"/>
                <w:numId w:val="30"/>
              </w:numPr>
              <w:ind w:left="158" w:hanging="187"/>
            </w:pPr>
            <w:hyperlink r:id="rId44" w:anchor="bmw" w:history="1">
              <w:r w:rsidR="009F087A" w:rsidRPr="004A49EF">
                <w:rPr>
                  <w:rStyle w:val="Hyperlink"/>
                  <w:i/>
                </w:rPr>
                <w:t>Wagner v. Principi</w:t>
              </w:r>
            </w:hyperlink>
            <w:r w:rsidR="009F087A" w:rsidRPr="004A49EF">
              <w:t>, 370 F.3d 1089 (Fed. Cir. 2004)</w:t>
            </w:r>
          </w:p>
          <w:p w14:paraId="163EE9FC" w14:textId="77777777" w:rsidR="009F087A" w:rsidRPr="004A49EF" w:rsidRDefault="004A49EF" w:rsidP="00523094">
            <w:pPr>
              <w:pStyle w:val="ListParagraph"/>
              <w:numPr>
                <w:ilvl w:val="0"/>
                <w:numId w:val="31"/>
              </w:numPr>
              <w:ind w:left="158" w:hanging="187"/>
            </w:pPr>
            <w:hyperlink r:id="rId45" w:anchor="bmh" w:history="1">
              <w:r w:rsidR="009F087A" w:rsidRPr="004A49EF">
                <w:rPr>
                  <w:rStyle w:val="Hyperlink"/>
                  <w:i/>
                </w:rPr>
                <w:t>Horn v. Shinseki</w:t>
              </w:r>
            </w:hyperlink>
            <w:r w:rsidR="009F087A" w:rsidRPr="004A49EF">
              <w:rPr>
                <w:i/>
              </w:rPr>
              <w:t>,</w:t>
            </w:r>
            <w:r w:rsidR="009F087A" w:rsidRPr="004A49EF">
              <w:t xml:space="preserve"> 25 Vet.App. 231 (2012)</w:t>
            </w:r>
          </w:p>
          <w:p w14:paraId="06A32A56" w14:textId="4B394DC8" w:rsidR="009F087A" w:rsidRPr="004A49EF" w:rsidRDefault="004A49EF" w:rsidP="00523094">
            <w:pPr>
              <w:pStyle w:val="ListParagraph"/>
              <w:numPr>
                <w:ilvl w:val="0"/>
                <w:numId w:val="32"/>
              </w:numPr>
              <w:ind w:left="158" w:hanging="187"/>
            </w:pPr>
            <w:hyperlink r:id="rId46" w:anchor="bmg" w:history="1">
              <w:r w:rsidR="009F087A" w:rsidRPr="004A49EF">
                <w:rPr>
                  <w:rStyle w:val="Hyperlink"/>
                  <w:i/>
                </w:rPr>
                <w:t>Gilbert v. Shinseki</w:t>
              </w:r>
            </w:hyperlink>
            <w:r w:rsidR="009F087A" w:rsidRPr="004A49EF">
              <w:rPr>
                <w:i/>
              </w:rPr>
              <w:t>,</w:t>
            </w:r>
            <w:r w:rsidR="009F087A" w:rsidRPr="004A49EF">
              <w:t xml:space="preserve"> 26 Vet.App. 48 (2012), and </w:t>
            </w:r>
          </w:p>
          <w:p w14:paraId="5A23346A" w14:textId="3C9BEB27" w:rsidR="009F087A" w:rsidRPr="004A49EF" w:rsidRDefault="004A49EF" w:rsidP="006A0609">
            <w:pPr>
              <w:pStyle w:val="BulletText1"/>
              <w:tabs>
                <w:tab w:val="clear" w:pos="443"/>
                <w:tab w:val="num" w:pos="162"/>
              </w:tabs>
              <w:ind w:left="162"/>
            </w:pPr>
            <w:hyperlink r:id="rId47" w:anchor="bmm" w:history="1">
              <w:r w:rsidR="009F087A" w:rsidRPr="004A49EF">
                <w:rPr>
                  <w:rStyle w:val="Hyperlink"/>
                  <w:i/>
                </w:rPr>
                <w:t>Morris v. Shinseki</w:t>
              </w:r>
            </w:hyperlink>
            <w:r w:rsidR="009F087A" w:rsidRPr="004A49EF">
              <w:rPr>
                <w:i/>
              </w:rPr>
              <w:t>,</w:t>
            </w:r>
            <w:r w:rsidR="009F087A" w:rsidRPr="004A49EF">
              <w:t xml:space="preserve"> 678 F.3d 1346 (Fed. Cir. 2012).  </w:t>
            </w:r>
          </w:p>
        </w:tc>
      </w:tr>
    </w:tbl>
    <w:p w14:paraId="0A5A8AA7" w14:textId="77777777" w:rsidR="009F087A" w:rsidRPr="004A49EF" w:rsidRDefault="009F087A" w:rsidP="009F087A">
      <w:pPr>
        <w:pStyle w:val="BlockLine"/>
      </w:pPr>
    </w:p>
    <w:tbl>
      <w:tblPr>
        <w:tblW w:w="0" w:type="auto"/>
        <w:tblLayout w:type="fixed"/>
        <w:tblLook w:val="0000" w:firstRow="0" w:lastRow="0" w:firstColumn="0" w:lastColumn="0" w:noHBand="0" w:noVBand="0"/>
      </w:tblPr>
      <w:tblGrid>
        <w:gridCol w:w="1728"/>
        <w:gridCol w:w="7740"/>
      </w:tblGrid>
      <w:tr w:rsidR="009576AB" w:rsidRPr="004A49EF" w14:paraId="5F0897F5" w14:textId="77777777" w:rsidTr="00AF2DD3">
        <w:tc>
          <w:tcPr>
            <w:tcW w:w="1728" w:type="dxa"/>
          </w:tcPr>
          <w:p w14:paraId="74B82D76" w14:textId="3C8C0B82" w:rsidR="009576AB" w:rsidRPr="004A49EF" w:rsidRDefault="009F087A" w:rsidP="00354CC7">
            <w:pPr>
              <w:pStyle w:val="Heading5"/>
            </w:pPr>
            <w:r w:rsidRPr="004A49EF">
              <w:t>i</w:t>
            </w:r>
            <w:r w:rsidR="009576AB" w:rsidRPr="004A49EF">
              <w:t>.  Definition</w:t>
            </w:r>
            <w:r w:rsidR="005745F6" w:rsidRPr="004A49EF">
              <w:t>:</w:t>
            </w:r>
            <w:r w:rsidR="009576AB" w:rsidRPr="004A49EF">
              <w:t xml:space="preserve"> </w:t>
            </w:r>
            <w:r w:rsidR="005745F6" w:rsidRPr="004A49EF">
              <w:t xml:space="preserve"> </w:t>
            </w:r>
            <w:r w:rsidR="009576AB" w:rsidRPr="004A49EF">
              <w:t>Active Continuous Service</w:t>
            </w:r>
          </w:p>
        </w:tc>
        <w:tc>
          <w:tcPr>
            <w:tcW w:w="7740" w:type="dxa"/>
          </w:tcPr>
          <w:p w14:paraId="58B50419" w14:textId="77777777" w:rsidR="009576AB" w:rsidRPr="004A49EF" w:rsidRDefault="009576AB">
            <w:pPr>
              <w:pStyle w:val="BlockText"/>
            </w:pPr>
            <w:r w:rsidRPr="004A49EF">
              <w:rPr>
                <w:b/>
                <w:i/>
              </w:rPr>
              <w:t>Active continuous service</w:t>
            </w:r>
            <w:r w:rsidRPr="004A49EF">
              <w:t xml:space="preserve"> </w:t>
            </w:r>
            <w:r w:rsidR="00C80B79" w:rsidRPr="004A49EF">
              <w:t xml:space="preserve">may </w:t>
            </w:r>
            <w:r w:rsidRPr="004A49EF">
              <w:t>exclude lengthy periods of extended absence from duty, such as unauthorized absence or other extended non-pay status.</w:t>
            </w:r>
          </w:p>
          <w:p w14:paraId="336B1311" w14:textId="77777777" w:rsidR="00C80B79" w:rsidRPr="004A49EF" w:rsidRDefault="00C80B79">
            <w:pPr>
              <w:pStyle w:val="BlockText"/>
            </w:pPr>
          </w:p>
          <w:p w14:paraId="2DC740CE" w14:textId="1746FC5E" w:rsidR="00C80B79" w:rsidRPr="004A49EF" w:rsidRDefault="00C80B79">
            <w:pPr>
              <w:pStyle w:val="BlockText"/>
            </w:pPr>
            <w:r w:rsidRPr="004A49EF">
              <w:t xml:space="preserve">A determination of whether a period of unauthorized absence is considered a break in service </w:t>
            </w:r>
            <w:r w:rsidR="008976D8" w:rsidRPr="004A49EF">
              <w:t xml:space="preserve">should </w:t>
            </w:r>
            <w:r w:rsidRPr="004A49EF">
              <w:t xml:space="preserve">be undertaken on a case-by-case basis with consideration of the facts of the individual’s case, including the extent to which the circumstances, nature, and duration of the claimant’s absence affected his or her performance of continuous duty.  </w:t>
            </w:r>
          </w:p>
          <w:p w14:paraId="500DD934" w14:textId="77777777" w:rsidR="009576AB" w:rsidRPr="004A49EF" w:rsidRDefault="009576AB">
            <w:pPr>
              <w:pStyle w:val="BlockText"/>
            </w:pPr>
          </w:p>
          <w:p w14:paraId="3E528CD6" w14:textId="1FD17338" w:rsidR="00697980" w:rsidRPr="004A49EF" w:rsidRDefault="009576AB">
            <w:pPr>
              <w:pStyle w:val="BlockText"/>
            </w:pPr>
            <w:r w:rsidRPr="004A49EF">
              <w:rPr>
                <w:b/>
                <w:i/>
              </w:rPr>
              <w:t>Example</w:t>
            </w:r>
            <w:r w:rsidR="005F5E38" w:rsidRPr="004A49EF">
              <w:rPr>
                <w:b/>
                <w:i/>
              </w:rPr>
              <w:t>s</w:t>
            </w:r>
            <w:r w:rsidRPr="004A49EF">
              <w:t xml:space="preserve">:  The following facts and findings are set forth in </w:t>
            </w:r>
            <w:r w:rsidRPr="004A49EF">
              <w:rPr>
                <w:iCs/>
              </w:rPr>
              <w:t>General Counsel (GC) Opinion</w:t>
            </w:r>
            <w:r w:rsidR="005F5E38" w:rsidRPr="004A49EF">
              <w:rPr>
                <w:iCs/>
              </w:rPr>
              <w:t>s</w:t>
            </w:r>
          </w:p>
          <w:p w14:paraId="7FF1CBA0" w14:textId="7DCACDC2" w:rsidR="009576AB" w:rsidRPr="004A49EF" w:rsidRDefault="00697980" w:rsidP="00523094">
            <w:pPr>
              <w:pStyle w:val="ListParagraph"/>
              <w:numPr>
                <w:ilvl w:val="0"/>
                <w:numId w:val="13"/>
              </w:numPr>
              <w:ind w:left="158" w:hanging="187"/>
            </w:pPr>
            <w:r w:rsidRPr="004A49EF">
              <w:t>In</w:t>
            </w:r>
            <w:r w:rsidR="00F73453" w:rsidRPr="004A49EF">
              <w:t xml:space="preserve"> GC Advisory Opinion </w:t>
            </w:r>
            <w:hyperlink r:id="rId48" w:history="1">
              <w:r w:rsidR="00F73453" w:rsidRPr="004A49EF">
                <w:rPr>
                  <w:rStyle w:val="Hyperlink"/>
                </w:rPr>
                <w:t xml:space="preserve">Op. </w:t>
              </w:r>
              <w:proofErr w:type="spellStart"/>
              <w:r w:rsidRPr="004A49EF">
                <w:rPr>
                  <w:rStyle w:val="Hyperlink"/>
                </w:rPr>
                <w:t>G</w:t>
              </w:r>
              <w:r w:rsidR="00F73453" w:rsidRPr="004A49EF">
                <w:rPr>
                  <w:rStyle w:val="Hyperlink"/>
                </w:rPr>
                <w:t>.</w:t>
              </w:r>
              <w:r w:rsidRPr="004A49EF">
                <w:rPr>
                  <w:rStyle w:val="Hyperlink"/>
                </w:rPr>
                <w:t>C</w:t>
              </w:r>
              <w:proofErr w:type="spellEnd"/>
              <w:r w:rsidR="00F73453" w:rsidRPr="004A49EF">
                <w:rPr>
                  <w:rStyle w:val="Hyperlink"/>
                </w:rPr>
                <w:t>.</w:t>
              </w:r>
              <w:r w:rsidRPr="004A49EF">
                <w:rPr>
                  <w:rStyle w:val="Hyperlink"/>
                </w:rPr>
                <w:t xml:space="preserve"> 4-80</w:t>
              </w:r>
            </w:hyperlink>
            <w:r w:rsidRPr="004A49EF">
              <w:t>, t</w:t>
            </w:r>
            <w:r w:rsidR="009576AB" w:rsidRPr="004A49EF">
              <w:t xml:space="preserve">he service member was absent from duty for 1,344 days before returning to military control.  The Veteran received an honorable discharge nine days later and developed a chronic disease within one year of discharge.  Since the Veteran was without active, continuous service for all but </w:t>
            </w:r>
            <w:r w:rsidR="006E4C6E" w:rsidRPr="004A49EF">
              <w:t>nine</w:t>
            </w:r>
            <w:r w:rsidR="009576AB" w:rsidRPr="004A49EF">
              <w:t xml:space="preserve"> days of the 3-3/4 years preceding separation, the continuous service requirement of </w:t>
            </w:r>
            <w:hyperlink r:id="rId49" w:history="1">
              <w:r w:rsidR="003465DC" w:rsidRPr="004A49EF">
                <w:rPr>
                  <w:rStyle w:val="Hyperlink"/>
                </w:rPr>
                <w:t>38 CFR 3.307</w:t>
              </w:r>
            </w:hyperlink>
            <w:r w:rsidR="009576AB" w:rsidRPr="004A49EF">
              <w:t xml:space="preserve"> </w:t>
            </w:r>
            <w:r w:rsidR="00AA69F7" w:rsidRPr="004A49EF">
              <w:t>was</w:t>
            </w:r>
            <w:r w:rsidR="009576AB" w:rsidRPr="004A49EF">
              <w:t xml:space="preserve"> not met</w:t>
            </w:r>
            <w:r w:rsidR="00473193" w:rsidRPr="004A49EF">
              <w:t>.</w:t>
            </w:r>
            <w:r w:rsidR="005F5E38" w:rsidRPr="004A49EF">
              <w:t xml:space="preserve">  </w:t>
            </w:r>
          </w:p>
          <w:p w14:paraId="7A1DA9D0" w14:textId="5E07DED2" w:rsidR="00697980" w:rsidRPr="004A49EF" w:rsidRDefault="00697980" w:rsidP="00523094">
            <w:pPr>
              <w:pStyle w:val="ListParagraph"/>
              <w:numPr>
                <w:ilvl w:val="0"/>
                <w:numId w:val="14"/>
              </w:numPr>
              <w:ind w:left="158" w:hanging="187"/>
            </w:pPr>
            <w:r w:rsidRPr="004A49EF">
              <w:t xml:space="preserve">In </w:t>
            </w:r>
            <w:r w:rsidR="00C56953" w:rsidRPr="004A49EF">
              <w:t xml:space="preserve">Precedent Opinion </w:t>
            </w:r>
            <w:hyperlink r:id="rId50" w:history="1">
              <w:proofErr w:type="spellStart"/>
              <w:r w:rsidRPr="004A49EF">
                <w:rPr>
                  <w:rStyle w:val="Hyperlink"/>
                </w:rPr>
                <w:t>VAOPGCPREC</w:t>
              </w:r>
              <w:proofErr w:type="spellEnd"/>
              <w:r w:rsidRPr="004A49EF">
                <w:rPr>
                  <w:rStyle w:val="Hyperlink"/>
                </w:rPr>
                <w:t xml:space="preserve"> 11-93</w:t>
              </w:r>
            </w:hyperlink>
            <w:r w:rsidRPr="004A49EF">
              <w:t xml:space="preserve">, the service member voluntarily returned to his </w:t>
            </w:r>
            <w:r w:rsidR="00C123C9" w:rsidRPr="004A49EF">
              <w:t>unit</w:t>
            </w:r>
            <w:r w:rsidRPr="004A49EF">
              <w:t xml:space="preserve"> after 13 days of unauthorized absence.  Although the 13 days of unauthorized absence was not creditable for pay or time-in-service purposes, it did not constitute a break in service for purpose of</w:t>
            </w:r>
            <w:r w:rsidR="00C123C9" w:rsidRPr="004A49EF">
              <w:t xml:space="preserve"> the</w:t>
            </w:r>
            <w:r w:rsidRPr="004A49EF">
              <w:t xml:space="preserve"> “active, continuous service” requirement under </w:t>
            </w:r>
            <w:hyperlink r:id="rId51" w:history="1">
              <w:r w:rsidRPr="004A49EF">
                <w:rPr>
                  <w:rStyle w:val="Hyperlink"/>
                </w:rPr>
                <w:t>38 CFR 3.307</w:t>
              </w:r>
            </w:hyperlink>
            <w:r w:rsidR="00AA69F7" w:rsidRPr="004A49EF">
              <w:t>.</w:t>
            </w:r>
          </w:p>
        </w:tc>
      </w:tr>
    </w:tbl>
    <w:p w14:paraId="2E6DAD67" w14:textId="77777777" w:rsidR="00DF5CDA" w:rsidRPr="004A49EF" w:rsidRDefault="00DF5CDA" w:rsidP="00C1504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12F8D" w:rsidRPr="004A49EF" w14:paraId="6038E5BA" w14:textId="77777777" w:rsidTr="003D7E3A">
        <w:tc>
          <w:tcPr>
            <w:tcW w:w="1728" w:type="dxa"/>
            <w:shd w:val="clear" w:color="auto" w:fill="auto"/>
          </w:tcPr>
          <w:p w14:paraId="40A22255" w14:textId="6643590D" w:rsidR="00C12F8D" w:rsidRPr="004A49EF" w:rsidRDefault="009F087A" w:rsidP="009F087A">
            <w:pPr>
              <w:rPr>
                <w:b/>
                <w:sz w:val="22"/>
              </w:rPr>
            </w:pPr>
            <w:r w:rsidRPr="004A49EF">
              <w:rPr>
                <w:b/>
                <w:sz w:val="22"/>
              </w:rPr>
              <w:t>j</w:t>
            </w:r>
            <w:r w:rsidR="00C12F8D" w:rsidRPr="004A49EF">
              <w:rPr>
                <w:b/>
                <w:sz w:val="22"/>
              </w:rPr>
              <w:t>.</w:t>
            </w:r>
            <w:r w:rsidR="00CE7D07" w:rsidRPr="004A49EF">
              <w:rPr>
                <w:b/>
                <w:sz w:val="22"/>
              </w:rPr>
              <w:t xml:space="preserve">  </w:t>
            </w:r>
            <w:r w:rsidR="00976C39" w:rsidRPr="004A49EF">
              <w:rPr>
                <w:b/>
                <w:sz w:val="22"/>
              </w:rPr>
              <w:t xml:space="preserve">Applying the </w:t>
            </w:r>
            <w:r w:rsidR="00C12F8D" w:rsidRPr="004A49EF">
              <w:rPr>
                <w:b/>
                <w:sz w:val="22"/>
              </w:rPr>
              <w:lastRenderedPageBreak/>
              <w:t>Presumption of Soundness for Active Duty for Training</w:t>
            </w:r>
          </w:p>
        </w:tc>
        <w:tc>
          <w:tcPr>
            <w:tcW w:w="7740" w:type="dxa"/>
            <w:shd w:val="clear" w:color="auto" w:fill="auto"/>
          </w:tcPr>
          <w:p w14:paraId="270BEF85" w14:textId="77777777" w:rsidR="00513DF8" w:rsidRPr="004A49EF" w:rsidRDefault="00513DF8" w:rsidP="00513DF8">
            <w:pPr>
              <w:pStyle w:val="BlockText"/>
            </w:pPr>
            <w:r w:rsidRPr="004A49EF">
              <w:lastRenderedPageBreak/>
              <w:t xml:space="preserve">In claims based on a period of active duty for training, apply the presumption </w:t>
            </w:r>
            <w:r w:rsidRPr="004A49EF">
              <w:lastRenderedPageBreak/>
              <w:t xml:space="preserve">of soundness only when the Veteran underwent a physical examination at the time of entry into the period of active duty for training on which the claim is based.  </w:t>
            </w:r>
          </w:p>
          <w:p w14:paraId="0FF09697" w14:textId="77777777" w:rsidR="00513DF8" w:rsidRPr="004A49EF" w:rsidRDefault="00513DF8" w:rsidP="00513DF8">
            <w:pPr>
              <w:pStyle w:val="BlockText"/>
            </w:pPr>
          </w:p>
          <w:p w14:paraId="1BCDC718" w14:textId="77777777" w:rsidR="004214AC" w:rsidRPr="004A49EF" w:rsidRDefault="00513DF8" w:rsidP="00513DF8">
            <w:pPr>
              <w:pStyle w:val="BlockText"/>
            </w:pPr>
            <w:r w:rsidRPr="004A49EF">
              <w:t>If an examination was performed, consider the Veteran to have been in sound condition when entering active duty for training except as to defects, infirmities, or disorders noted on the examination report.</w:t>
            </w:r>
          </w:p>
          <w:p w14:paraId="405BABF3" w14:textId="77777777" w:rsidR="00F76DB8" w:rsidRPr="004A49EF" w:rsidRDefault="00F76DB8" w:rsidP="00513DF8">
            <w:pPr>
              <w:pStyle w:val="BlockText"/>
            </w:pPr>
          </w:p>
          <w:p w14:paraId="17E06704" w14:textId="4AB888AB" w:rsidR="004214AC" w:rsidRPr="004A49EF" w:rsidRDefault="004214AC" w:rsidP="00513DF8">
            <w:pPr>
              <w:pStyle w:val="BlockText"/>
            </w:pPr>
            <w:r w:rsidRPr="004A49EF">
              <w:rPr>
                <w:b/>
                <w:i/>
              </w:rPr>
              <w:t>Important</w:t>
            </w:r>
            <w:r w:rsidRPr="004A49EF">
              <w:t>:  The presumption of soundn</w:t>
            </w:r>
            <w:r w:rsidR="00A90A31" w:rsidRPr="004A49EF">
              <w:t>ess is only triggered for a period of active duty for training when an examination has been conducted if the claimant has previously established Veteran status, which is defined as havi</w:t>
            </w:r>
            <w:r w:rsidR="00F76DB8" w:rsidRPr="004A49EF">
              <w:t>n</w:t>
            </w:r>
            <w:r w:rsidR="00A90A31" w:rsidRPr="004A49EF">
              <w:t>g prior active military service, and</w:t>
            </w:r>
            <w:r w:rsidR="00976C39" w:rsidRPr="004A49EF">
              <w:t xml:space="preserve"> was</w:t>
            </w:r>
            <w:r w:rsidR="00A90A31" w:rsidRPr="004A49EF">
              <w:t xml:space="preserve"> discharged under conditions other than dishonorable.  Neither the presumption of soundness </w:t>
            </w:r>
            <w:r w:rsidR="00B944BA" w:rsidRPr="004A49EF">
              <w:t>n</w:t>
            </w:r>
            <w:r w:rsidR="00A90A31" w:rsidRPr="004A49EF">
              <w:t xml:space="preserve">or aggravation </w:t>
            </w:r>
            <w:proofErr w:type="gramStart"/>
            <w:r w:rsidR="00A90A31" w:rsidRPr="004A49EF">
              <w:t>may be applied</w:t>
            </w:r>
            <w:proofErr w:type="gramEnd"/>
            <w:r w:rsidR="00A90A31" w:rsidRPr="004A49EF">
              <w:t xml:space="preserve"> if the claimant does not have Veterans status.  </w:t>
            </w:r>
          </w:p>
          <w:p w14:paraId="16DCC0D9" w14:textId="77777777" w:rsidR="00513DF8" w:rsidRPr="004A49EF" w:rsidRDefault="00513DF8" w:rsidP="00513DF8">
            <w:pPr>
              <w:pStyle w:val="BlockText"/>
            </w:pPr>
          </w:p>
          <w:p w14:paraId="2DDF07BF" w14:textId="09E12164" w:rsidR="00C12F8D" w:rsidRPr="004A49EF" w:rsidRDefault="00513DF8" w:rsidP="00C56EB0">
            <w:r w:rsidRPr="004A49EF">
              <w:rPr>
                <w:b/>
                <w:i/>
              </w:rPr>
              <w:t>Reference</w:t>
            </w:r>
            <w:r w:rsidRPr="004A49EF">
              <w:t>:  For more information</w:t>
            </w:r>
            <w:r w:rsidR="006E4C6E" w:rsidRPr="004A49EF">
              <w:t xml:space="preserve"> on</w:t>
            </w:r>
            <w:r w:rsidRPr="004A49EF">
              <w:t xml:space="preserve"> the presumption of soundness in claims based on active duty for training, see </w:t>
            </w:r>
            <w:hyperlink r:id="rId52" w:anchor="bms" w:history="1">
              <w:r w:rsidR="009E224B" w:rsidRPr="004A49EF">
                <w:rPr>
                  <w:rStyle w:val="Hyperlink"/>
                  <w:i/>
                </w:rPr>
                <w:t>Smith (Valerie Y.) v. Shinseki</w:t>
              </w:r>
            </w:hyperlink>
            <w:r w:rsidR="009E224B" w:rsidRPr="004A49EF">
              <w:t xml:space="preserve">, 24 </w:t>
            </w:r>
            <w:proofErr w:type="spellStart"/>
            <w:r w:rsidR="009E224B" w:rsidRPr="004A49EF">
              <w:t>Vet.App</w:t>
            </w:r>
            <w:proofErr w:type="spellEnd"/>
            <w:proofErr w:type="gramStart"/>
            <w:r w:rsidR="009E224B" w:rsidRPr="004A49EF">
              <w:t xml:space="preserve">. </w:t>
            </w:r>
            <w:proofErr w:type="gramEnd"/>
            <w:r w:rsidR="009E224B" w:rsidRPr="004A49EF">
              <w:t>40, 44 (2010).</w:t>
            </w:r>
          </w:p>
        </w:tc>
      </w:tr>
    </w:tbl>
    <w:p w14:paraId="18A5FBC9" w14:textId="77777777" w:rsidR="00445722" w:rsidRPr="004A49EF" w:rsidRDefault="00445722" w:rsidP="0044572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13DF8" w:rsidRPr="004A49EF" w14:paraId="3409B6DB" w14:textId="77777777" w:rsidTr="003D7E3A">
        <w:tc>
          <w:tcPr>
            <w:tcW w:w="1728" w:type="dxa"/>
            <w:shd w:val="clear" w:color="auto" w:fill="auto"/>
          </w:tcPr>
          <w:p w14:paraId="32B9028C" w14:textId="40BC3BC9" w:rsidR="00513DF8" w:rsidRPr="004A49EF" w:rsidRDefault="009F087A" w:rsidP="002E1EAC">
            <w:pPr>
              <w:rPr>
                <w:b/>
                <w:sz w:val="22"/>
              </w:rPr>
            </w:pPr>
            <w:r w:rsidRPr="004A49EF">
              <w:rPr>
                <w:b/>
              </w:rPr>
              <w:t>k</w:t>
            </w:r>
            <w:r w:rsidR="00513DF8" w:rsidRPr="004A49EF">
              <w:rPr>
                <w:b/>
              </w:rPr>
              <w:t>.</w:t>
            </w:r>
            <w:r w:rsidR="00513DF8" w:rsidRPr="004A49EF">
              <w:t xml:space="preserve"> </w:t>
            </w:r>
            <w:r w:rsidR="00CE7D07" w:rsidRPr="004A49EF">
              <w:t xml:space="preserve"> </w:t>
            </w:r>
            <w:r w:rsidR="00C87A83" w:rsidRPr="004A49EF">
              <w:rPr>
                <w:b/>
                <w:sz w:val="22"/>
                <w:szCs w:val="22"/>
              </w:rPr>
              <w:t xml:space="preserve">Requirements for </w:t>
            </w:r>
            <w:r w:rsidR="00513DF8" w:rsidRPr="004A49EF">
              <w:rPr>
                <w:b/>
                <w:sz w:val="22"/>
                <w:szCs w:val="22"/>
              </w:rPr>
              <w:t>Inactive Duty Training</w:t>
            </w:r>
            <w:r w:rsidR="00C87A83" w:rsidRPr="004A49EF">
              <w:rPr>
                <w:b/>
                <w:sz w:val="22"/>
                <w:szCs w:val="22"/>
              </w:rPr>
              <w:t xml:space="preserve"> to Be</w:t>
            </w:r>
            <w:r w:rsidR="00513DF8" w:rsidRPr="004A49EF">
              <w:rPr>
                <w:b/>
                <w:sz w:val="22"/>
                <w:szCs w:val="22"/>
              </w:rPr>
              <w:t xml:space="preserve"> Considered Active Service</w:t>
            </w:r>
          </w:p>
        </w:tc>
        <w:tc>
          <w:tcPr>
            <w:tcW w:w="7740" w:type="dxa"/>
            <w:shd w:val="clear" w:color="auto" w:fill="auto"/>
          </w:tcPr>
          <w:p w14:paraId="7EA374FF" w14:textId="104E75B9" w:rsidR="00D438E7" w:rsidRPr="004A49EF" w:rsidRDefault="00D438E7" w:rsidP="00D438E7">
            <w:pPr>
              <w:pStyle w:val="BlockText"/>
            </w:pPr>
            <w:r w:rsidRPr="004A49EF">
              <w:t xml:space="preserve">Inactive duty training is </w:t>
            </w:r>
            <w:r w:rsidRPr="004A49EF">
              <w:rPr>
                <w:i/>
              </w:rPr>
              <w:t>not</w:t>
            </w:r>
            <w:r w:rsidRPr="004A49EF">
              <w:t xml:space="preserve"> considered active service unless </w:t>
            </w:r>
            <w:r w:rsidR="002E1EAC" w:rsidRPr="004A49EF">
              <w:t>SC</w:t>
            </w:r>
            <w:r w:rsidRPr="004A49EF">
              <w:t xml:space="preserve"> is awarded for disability or death resulting from</w:t>
            </w:r>
          </w:p>
          <w:p w14:paraId="5FCC470E" w14:textId="77777777" w:rsidR="00D438E7" w:rsidRPr="004A49EF" w:rsidRDefault="00D438E7" w:rsidP="00D438E7">
            <w:pPr>
              <w:pStyle w:val="BlockText"/>
            </w:pPr>
          </w:p>
          <w:p w14:paraId="3ACEDDFF" w14:textId="77777777" w:rsidR="00D438E7" w:rsidRPr="004A49EF" w:rsidRDefault="00D438E7" w:rsidP="007B3B0B">
            <w:pPr>
              <w:pStyle w:val="BulletText1"/>
              <w:tabs>
                <w:tab w:val="clear" w:pos="443"/>
                <w:tab w:val="num" w:pos="162"/>
              </w:tabs>
              <w:ind w:left="162" w:hanging="180"/>
            </w:pPr>
            <w:r w:rsidRPr="004A49EF">
              <w:t xml:space="preserve">an injury directly incurred during the period of inactive duty training, or </w:t>
            </w:r>
          </w:p>
          <w:p w14:paraId="2D27476B" w14:textId="2D06FCAB" w:rsidR="00D438E7" w:rsidRPr="004A49EF" w:rsidRDefault="00D438E7" w:rsidP="007B3B0B">
            <w:pPr>
              <w:pStyle w:val="BulletText1"/>
              <w:tabs>
                <w:tab w:val="clear" w:pos="443"/>
                <w:tab w:val="num" w:pos="162"/>
              </w:tabs>
              <w:ind w:left="162" w:hanging="180"/>
            </w:pPr>
            <w:r w:rsidRPr="004A49EF">
              <w:t xml:space="preserve">an injury or one of the following events if the injury or event occurred during inactive duty training or while an individual was proceeding directly to, or returning directly </w:t>
            </w:r>
            <w:r w:rsidR="00CC613B" w:rsidRPr="004A49EF">
              <w:t>from, a period of such training</w:t>
            </w:r>
          </w:p>
          <w:p w14:paraId="56EBAE29" w14:textId="77777777" w:rsidR="00D438E7" w:rsidRPr="004A49EF" w:rsidRDefault="00D438E7" w:rsidP="00D438E7">
            <w:pPr>
              <w:pStyle w:val="BulletText2"/>
              <w:tabs>
                <w:tab w:val="num" w:pos="547"/>
              </w:tabs>
            </w:pPr>
            <w:r w:rsidRPr="004A49EF">
              <w:t>an acute myocardial infarction</w:t>
            </w:r>
          </w:p>
          <w:p w14:paraId="2A853004" w14:textId="77777777" w:rsidR="00D438E7" w:rsidRPr="004A49EF" w:rsidRDefault="00D438E7" w:rsidP="00D438E7">
            <w:pPr>
              <w:pStyle w:val="BulletText2"/>
              <w:tabs>
                <w:tab w:val="num" w:pos="547"/>
              </w:tabs>
            </w:pPr>
            <w:r w:rsidRPr="004A49EF">
              <w:t>a cardiac arrest, or</w:t>
            </w:r>
          </w:p>
          <w:p w14:paraId="528FCA1E" w14:textId="77777777" w:rsidR="00D438E7" w:rsidRPr="004A49EF" w:rsidRDefault="00D438E7" w:rsidP="00D438E7">
            <w:pPr>
              <w:pStyle w:val="BulletText2"/>
              <w:tabs>
                <w:tab w:val="num" w:pos="547"/>
              </w:tabs>
            </w:pPr>
            <w:r w:rsidRPr="004A49EF">
              <w:t>a cerebrovascular accident.</w:t>
            </w:r>
          </w:p>
          <w:p w14:paraId="7149B15E" w14:textId="77777777" w:rsidR="00D438E7" w:rsidRPr="004A49EF" w:rsidRDefault="00D438E7" w:rsidP="00D438E7">
            <w:pPr>
              <w:pStyle w:val="BlockText"/>
            </w:pPr>
          </w:p>
          <w:p w14:paraId="33266680" w14:textId="77777777" w:rsidR="005F7F3F" w:rsidRPr="004A49EF" w:rsidRDefault="00D438E7" w:rsidP="00D438E7">
            <w:pPr>
              <w:pStyle w:val="BlockText"/>
              <w:rPr>
                <w:b/>
                <w:bCs/>
              </w:rPr>
            </w:pPr>
            <w:r w:rsidRPr="004A49EF">
              <w:rPr>
                <w:b/>
                <w:bCs/>
                <w:i/>
                <w:iCs/>
              </w:rPr>
              <w:t>Note</w:t>
            </w:r>
            <w:r w:rsidR="005F7F3F" w:rsidRPr="004A49EF">
              <w:rPr>
                <w:b/>
                <w:bCs/>
                <w:i/>
                <w:iCs/>
              </w:rPr>
              <w:t>s</w:t>
            </w:r>
            <w:r w:rsidRPr="004A49EF">
              <w:t>:</w:t>
            </w:r>
            <w:r w:rsidRPr="004A49EF">
              <w:rPr>
                <w:b/>
                <w:bCs/>
              </w:rPr>
              <w:t xml:space="preserve">  </w:t>
            </w:r>
          </w:p>
          <w:p w14:paraId="63370002" w14:textId="77777777" w:rsidR="00D438E7" w:rsidRPr="004A49EF" w:rsidRDefault="00D438E7" w:rsidP="00523094">
            <w:pPr>
              <w:pStyle w:val="ListParagraph"/>
              <w:numPr>
                <w:ilvl w:val="0"/>
                <w:numId w:val="7"/>
              </w:numPr>
              <w:ind w:left="158" w:hanging="187"/>
              <w:rPr>
                <w:rStyle w:val="Emphasis"/>
                <w:i w:val="0"/>
                <w:sz w:val="24"/>
              </w:rPr>
            </w:pPr>
            <w:r w:rsidRPr="004A49EF">
              <w:t>If evidence establishes that an individual suffers from a disabling condition as a result of the administration of an anthrax vaccine during inactive duty training,</w:t>
            </w:r>
            <w:r w:rsidRPr="004A49EF">
              <w:rPr>
                <w:rStyle w:val="Emphasis"/>
                <w:i w:val="0"/>
                <w:sz w:val="24"/>
              </w:rPr>
              <w:t xml:space="preserve"> the individual may be considered disabled by an “injury” incurred during such training.</w:t>
            </w:r>
          </w:p>
          <w:p w14:paraId="50083FD1" w14:textId="77777777" w:rsidR="005F7F3F" w:rsidRPr="004A49EF" w:rsidRDefault="005F7F3F" w:rsidP="00523094">
            <w:pPr>
              <w:pStyle w:val="ListParagraph"/>
              <w:numPr>
                <w:ilvl w:val="0"/>
                <w:numId w:val="8"/>
              </w:numPr>
              <w:ind w:left="158" w:hanging="187"/>
            </w:pPr>
            <w:r w:rsidRPr="004A49EF">
              <w:t xml:space="preserve">An individual who suffers from posttraumatic stress disorder (PTSD) as a result of military sexual trauma (MST) that occurred during a period of inactive duty for training may be considered disabled by an injury for purposes of </w:t>
            </w:r>
            <w:hyperlink r:id="rId53" w:history="1">
              <w:r w:rsidRPr="004A49EF">
                <w:rPr>
                  <w:rStyle w:val="Hyperlink"/>
                </w:rPr>
                <w:t>38 U</w:t>
              </w:r>
              <w:r w:rsidR="0011491F" w:rsidRPr="004A49EF">
                <w:rPr>
                  <w:rStyle w:val="Hyperlink"/>
                </w:rPr>
                <w:t>.</w:t>
              </w:r>
              <w:r w:rsidRPr="004A49EF">
                <w:rPr>
                  <w:rStyle w:val="Hyperlink"/>
                </w:rPr>
                <w:t>S</w:t>
              </w:r>
              <w:r w:rsidR="0011491F" w:rsidRPr="004A49EF">
                <w:rPr>
                  <w:rStyle w:val="Hyperlink"/>
                </w:rPr>
                <w:t>.</w:t>
              </w:r>
              <w:r w:rsidRPr="004A49EF">
                <w:rPr>
                  <w:rStyle w:val="Hyperlink"/>
                </w:rPr>
                <w:t>C</w:t>
              </w:r>
              <w:r w:rsidR="0011491F" w:rsidRPr="004A49EF">
                <w:rPr>
                  <w:rStyle w:val="Hyperlink"/>
                </w:rPr>
                <w:t xml:space="preserve">. 101(2) and (24).  </w:t>
              </w:r>
            </w:hyperlink>
            <w:r w:rsidRPr="004A49EF">
              <w:t xml:space="preserve"> </w:t>
            </w:r>
          </w:p>
          <w:p w14:paraId="67850EC3" w14:textId="77777777" w:rsidR="00D438E7" w:rsidRPr="004A49EF" w:rsidRDefault="00D438E7" w:rsidP="00D438E7">
            <w:pPr>
              <w:pStyle w:val="BlockText"/>
            </w:pPr>
          </w:p>
          <w:p w14:paraId="769446DF" w14:textId="77777777" w:rsidR="00D438E7" w:rsidRPr="004A49EF" w:rsidRDefault="00D438E7" w:rsidP="00D438E7">
            <w:pPr>
              <w:pStyle w:val="BlockText"/>
            </w:pPr>
            <w:r w:rsidRPr="004A49EF">
              <w:rPr>
                <w:b/>
                <w:i/>
              </w:rPr>
              <w:t>References</w:t>
            </w:r>
            <w:r w:rsidRPr="004A49EF">
              <w:t xml:space="preserve">:  For more information on </w:t>
            </w:r>
          </w:p>
          <w:p w14:paraId="316FD8C4" w14:textId="77777777" w:rsidR="00D438E7" w:rsidRPr="004A49EF" w:rsidRDefault="00D438E7" w:rsidP="005C0EF0">
            <w:pPr>
              <w:pStyle w:val="BulletText1"/>
              <w:tabs>
                <w:tab w:val="clear" w:pos="443"/>
                <w:tab w:val="num" w:pos="162"/>
              </w:tabs>
              <w:ind w:left="162"/>
              <w:rPr>
                <w:rStyle w:val="Hyperlink"/>
              </w:rPr>
            </w:pPr>
            <w:r w:rsidRPr="004A49EF">
              <w:t xml:space="preserve">determining duty periods, see </w:t>
            </w:r>
            <w:r w:rsidR="00F57D5C" w:rsidRPr="004A49EF">
              <w:fldChar w:fldCharType="begin"/>
            </w:r>
            <w:r w:rsidR="00F57D5C" w:rsidRPr="004A49EF">
              <w:instrText xml:space="preserve"> HYPERLINK "http://www.ecfr.gov/cgi-bin/text-idx?SID=6e1e12aa28ee0f0d123f83385d671f2f&amp;node=se38.1.3_16&amp;rgn=div8" </w:instrText>
            </w:r>
            <w:r w:rsidR="00F57D5C" w:rsidRPr="004A49EF">
              <w:fldChar w:fldCharType="separate"/>
            </w:r>
            <w:r w:rsidRPr="004A49EF">
              <w:rPr>
                <w:rStyle w:val="Hyperlink"/>
              </w:rPr>
              <w:t>38 CFR 3.6</w:t>
            </w:r>
          </w:p>
          <w:p w14:paraId="2ADBA581" w14:textId="77777777" w:rsidR="002E1EAC" w:rsidRPr="004A49EF" w:rsidRDefault="00F57D5C" w:rsidP="005C0EF0">
            <w:pPr>
              <w:pStyle w:val="BulletText1"/>
              <w:tabs>
                <w:tab w:val="clear" w:pos="443"/>
                <w:tab w:val="num" w:pos="162"/>
              </w:tabs>
              <w:ind w:left="162"/>
            </w:pPr>
            <w:r w:rsidRPr="004A49EF">
              <w:fldChar w:fldCharType="end"/>
            </w:r>
            <w:r w:rsidR="00D438E7" w:rsidRPr="004A49EF">
              <w:t>injuries that occurred</w:t>
            </w:r>
            <w:r w:rsidR="00E5149C" w:rsidRPr="004A49EF">
              <w:t xml:space="preserve"> </w:t>
            </w:r>
          </w:p>
          <w:p w14:paraId="47691896" w14:textId="7D956FA7" w:rsidR="00D438E7" w:rsidRPr="004A49EF" w:rsidRDefault="00D438E7" w:rsidP="002E1EAC">
            <w:pPr>
              <w:pStyle w:val="BulletText2"/>
            </w:pPr>
            <w:r w:rsidRPr="004A49EF">
              <w:t xml:space="preserve">while an individual was proceeding directly to, or returning directly from, a period of inactive duty training, see </w:t>
            </w:r>
            <w:hyperlink r:id="rId54" w:history="1">
              <w:r w:rsidRPr="004A49EF">
                <w:rPr>
                  <w:rStyle w:val="Hyperlink"/>
                </w:rPr>
                <w:t>38 CFR 3.6(e)</w:t>
              </w:r>
            </w:hyperlink>
            <w:r w:rsidR="00A20AE5" w:rsidRPr="004A49EF">
              <w:rPr>
                <w:rStyle w:val="Hyperlink"/>
                <w:color w:val="auto"/>
                <w:u w:val="none"/>
              </w:rPr>
              <w:t>, and</w:t>
            </w:r>
          </w:p>
          <w:p w14:paraId="25E0FA5A" w14:textId="2A00FA9F" w:rsidR="0011491F" w:rsidRPr="004A49EF" w:rsidRDefault="00D438E7" w:rsidP="002E1EAC">
            <w:pPr>
              <w:pStyle w:val="BulletText2"/>
              <w:rPr>
                <w:rStyle w:val="Hyperlink"/>
                <w:color w:val="000000"/>
                <w:u w:val="none"/>
              </w:rPr>
            </w:pPr>
            <w:r w:rsidRPr="004A49EF">
              <w:t xml:space="preserve">as a result of administration of an anthrax vaccine during inactive duty training, see </w:t>
            </w:r>
            <w:hyperlink r:id="rId55" w:history="1">
              <w:proofErr w:type="spellStart"/>
              <w:r w:rsidRPr="004A49EF">
                <w:rPr>
                  <w:rStyle w:val="Hyperlink"/>
                  <w:iCs/>
                </w:rPr>
                <w:t>VAOPGCPREC</w:t>
              </w:r>
              <w:proofErr w:type="spellEnd"/>
              <w:r w:rsidRPr="004A49EF">
                <w:rPr>
                  <w:rStyle w:val="Hyperlink"/>
                  <w:iCs/>
                </w:rPr>
                <w:t xml:space="preserve"> 4-2002</w:t>
              </w:r>
            </w:hyperlink>
            <w:r w:rsidR="0011491F" w:rsidRPr="004A49EF">
              <w:t>,</w:t>
            </w:r>
            <w:r w:rsidR="00E5149C" w:rsidRPr="004A49EF">
              <w:t xml:space="preserve"> and</w:t>
            </w:r>
            <w:r w:rsidR="0011491F" w:rsidRPr="004A49EF">
              <w:rPr>
                <w:rStyle w:val="Hyperlink"/>
                <w:iCs/>
              </w:rPr>
              <w:t xml:space="preserve"> </w:t>
            </w:r>
          </w:p>
          <w:p w14:paraId="42F10997" w14:textId="4273410B" w:rsidR="00513DF8" w:rsidRPr="004A49EF" w:rsidRDefault="007C5C0A" w:rsidP="00523094">
            <w:pPr>
              <w:pStyle w:val="ListParagraph"/>
              <w:numPr>
                <w:ilvl w:val="0"/>
                <w:numId w:val="9"/>
              </w:numPr>
              <w:ind w:left="158" w:hanging="187"/>
              <w:rPr>
                <w:szCs w:val="20"/>
              </w:rPr>
            </w:pPr>
            <w:r w:rsidRPr="004A49EF">
              <w:rPr>
                <w:rStyle w:val="Hyperlink"/>
                <w:iCs/>
                <w:color w:val="auto"/>
                <w:u w:val="none"/>
              </w:rPr>
              <w:t xml:space="preserve">PTSD that results from </w:t>
            </w:r>
            <w:r w:rsidR="008C5578" w:rsidRPr="004A49EF">
              <w:rPr>
                <w:rStyle w:val="Hyperlink"/>
                <w:iCs/>
                <w:color w:val="auto"/>
                <w:u w:val="none"/>
              </w:rPr>
              <w:t xml:space="preserve">MST during inactive duty for training, </w:t>
            </w:r>
            <w:proofErr w:type="gramStart"/>
            <w:r w:rsidR="008C5578" w:rsidRPr="004A49EF">
              <w:rPr>
                <w:rStyle w:val="Hyperlink"/>
                <w:iCs/>
                <w:color w:val="auto"/>
                <w:u w:val="none"/>
              </w:rPr>
              <w:t>see</w:t>
            </w:r>
            <w:proofErr w:type="gramEnd"/>
            <w:r w:rsidR="008C5578" w:rsidRPr="004A49EF">
              <w:rPr>
                <w:rStyle w:val="Hyperlink"/>
                <w:iCs/>
                <w:u w:val="none"/>
              </w:rPr>
              <w:t xml:space="preserve"> </w:t>
            </w:r>
            <w:hyperlink r:id="rId56" w:history="1">
              <w:proofErr w:type="spellStart"/>
              <w:r w:rsidR="0011491F" w:rsidRPr="004A49EF">
                <w:rPr>
                  <w:rStyle w:val="Hyperlink"/>
                  <w:iCs/>
                </w:rPr>
                <w:t>VAOPGCPREC</w:t>
              </w:r>
              <w:proofErr w:type="spellEnd"/>
              <w:r w:rsidR="0011491F" w:rsidRPr="004A49EF">
                <w:rPr>
                  <w:rStyle w:val="Hyperlink"/>
                  <w:iCs/>
                </w:rPr>
                <w:t xml:space="preserve"> 8-2001</w:t>
              </w:r>
            </w:hyperlink>
            <w:r w:rsidR="0011491F" w:rsidRPr="004A49EF">
              <w:rPr>
                <w:rStyle w:val="Hyperlink"/>
                <w:iCs/>
                <w:u w:val="none"/>
              </w:rPr>
              <w:t xml:space="preserve">. </w:t>
            </w:r>
            <w:r w:rsidR="0011491F" w:rsidRPr="004A49EF">
              <w:rPr>
                <w:rStyle w:val="Hyperlink"/>
                <w:iCs/>
              </w:rPr>
              <w:t xml:space="preserve"> </w:t>
            </w:r>
          </w:p>
        </w:tc>
      </w:tr>
    </w:tbl>
    <w:p w14:paraId="46056822" w14:textId="77777777" w:rsidR="00445722" w:rsidRPr="004A49EF" w:rsidRDefault="00445722" w:rsidP="00445722">
      <w:pPr>
        <w:pStyle w:val="BlockLine"/>
      </w:pPr>
    </w:p>
    <w:p w14:paraId="5878B28C" w14:textId="77777777" w:rsidR="00CC613B" w:rsidRPr="004A49EF" w:rsidRDefault="00CC613B">
      <w:r w:rsidRPr="004A49EF">
        <w:br w:type="page"/>
      </w:r>
    </w:p>
    <w:p w14:paraId="296688AA" w14:textId="299DF927" w:rsidR="004F6AC3" w:rsidRPr="004A49EF" w:rsidRDefault="004F6AC3" w:rsidP="003D7E3A">
      <w:pPr>
        <w:rPr>
          <w:rFonts w:ascii="Arial" w:hAnsi="Arial" w:cs="Arial"/>
          <w:b/>
          <w:sz w:val="32"/>
          <w:szCs w:val="32"/>
        </w:rPr>
      </w:pPr>
      <w:r w:rsidRPr="004A49EF">
        <w:rPr>
          <w:rFonts w:ascii="Arial" w:hAnsi="Arial" w:cs="Arial"/>
          <w:b/>
          <w:sz w:val="32"/>
          <w:szCs w:val="32"/>
        </w:rPr>
        <w:lastRenderedPageBreak/>
        <w:t>2.  Determining Presumptive SC</w:t>
      </w:r>
    </w:p>
    <w:p w14:paraId="5D95B97F" w14:textId="77777777" w:rsidR="004F6AC3" w:rsidRPr="004A49EF" w:rsidRDefault="004F6AC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F6AC3" w:rsidRPr="004A49EF" w14:paraId="3486B54F" w14:textId="77777777" w:rsidTr="003D7E3A">
        <w:tc>
          <w:tcPr>
            <w:tcW w:w="1728" w:type="dxa"/>
            <w:shd w:val="clear" w:color="auto" w:fill="auto"/>
          </w:tcPr>
          <w:p w14:paraId="53FA31E0" w14:textId="77777777" w:rsidR="004F6AC3" w:rsidRPr="004A49EF" w:rsidRDefault="004F6AC3" w:rsidP="004F6AC3">
            <w:pPr>
              <w:rPr>
                <w:b/>
                <w:sz w:val="22"/>
              </w:rPr>
            </w:pPr>
            <w:r w:rsidRPr="004A49EF">
              <w:rPr>
                <w:b/>
                <w:sz w:val="22"/>
              </w:rPr>
              <w:t>Introduction</w:t>
            </w:r>
          </w:p>
        </w:tc>
        <w:tc>
          <w:tcPr>
            <w:tcW w:w="7740" w:type="dxa"/>
            <w:shd w:val="clear" w:color="auto" w:fill="auto"/>
          </w:tcPr>
          <w:p w14:paraId="40583811" w14:textId="11EE7522" w:rsidR="004F6AC3" w:rsidRPr="004A49EF" w:rsidRDefault="00E16BBC" w:rsidP="004F6AC3">
            <w:r w:rsidRPr="004A49EF">
              <w:t>This topic contain</w:t>
            </w:r>
            <w:r w:rsidR="00E5149C" w:rsidRPr="004A49EF">
              <w:t>s</w:t>
            </w:r>
            <w:r w:rsidRPr="004A49EF">
              <w:t xml:space="preserve"> information on determining presumptive </w:t>
            </w:r>
            <w:r w:rsidR="00AF52DA" w:rsidRPr="004A49EF">
              <w:t>SC</w:t>
            </w:r>
            <w:r w:rsidR="00E5149C" w:rsidRPr="004A49EF">
              <w:t>,</w:t>
            </w:r>
            <w:r w:rsidRPr="004A49EF">
              <w:t xml:space="preserve"> includ</w:t>
            </w:r>
            <w:r w:rsidR="00E5149C" w:rsidRPr="004A49EF">
              <w:t>ing</w:t>
            </w:r>
          </w:p>
          <w:p w14:paraId="136BA7EA" w14:textId="77777777" w:rsidR="00E16BBC" w:rsidRPr="004A49EF" w:rsidRDefault="00E16BBC" w:rsidP="004F6AC3"/>
          <w:p w14:paraId="24157747" w14:textId="77777777" w:rsidR="00E16BBC" w:rsidRPr="004A49EF" w:rsidRDefault="00E16BBC" w:rsidP="00523094">
            <w:pPr>
              <w:pStyle w:val="ListParagraph"/>
              <w:numPr>
                <w:ilvl w:val="0"/>
                <w:numId w:val="10"/>
              </w:numPr>
              <w:ind w:left="158" w:hanging="187"/>
            </w:pPr>
            <w:r w:rsidRPr="004A49EF">
              <w:t xml:space="preserve">overview of presumptive </w:t>
            </w:r>
            <w:r w:rsidR="00AF52DA" w:rsidRPr="004A49EF">
              <w:t>SC</w:t>
            </w:r>
          </w:p>
          <w:p w14:paraId="668DAC44" w14:textId="77777777" w:rsidR="00A331CF" w:rsidRPr="004A49EF" w:rsidRDefault="00A331CF" w:rsidP="00523094">
            <w:pPr>
              <w:pStyle w:val="ListParagraph"/>
              <w:numPr>
                <w:ilvl w:val="0"/>
                <w:numId w:val="10"/>
              </w:numPr>
              <w:ind w:left="158" w:hanging="187"/>
            </w:pPr>
            <w:r w:rsidRPr="004A49EF">
              <w:t>definition</w:t>
            </w:r>
            <w:r w:rsidR="00EB07BE" w:rsidRPr="004A49EF">
              <w:t xml:space="preserve"> of</w:t>
            </w:r>
            <w:r w:rsidRPr="004A49EF">
              <w:t xml:space="preserve"> </w:t>
            </w:r>
            <w:r w:rsidR="00D95B6C" w:rsidRPr="004A49EF">
              <w:t xml:space="preserve">other </w:t>
            </w:r>
            <w:r w:rsidRPr="004A49EF">
              <w:t>organic diseases of the nervous system</w:t>
            </w:r>
          </w:p>
          <w:p w14:paraId="6416A5DC" w14:textId="77777777" w:rsidR="00E16BBC" w:rsidRPr="004A49EF" w:rsidRDefault="00A95B6C" w:rsidP="00523094">
            <w:pPr>
              <w:pStyle w:val="ListParagraph"/>
              <w:numPr>
                <w:ilvl w:val="0"/>
                <w:numId w:val="10"/>
              </w:numPr>
              <w:ind w:left="158" w:hanging="187"/>
            </w:pPr>
            <w:r w:rsidRPr="004A49EF">
              <w:t xml:space="preserve">establishing presumptive </w:t>
            </w:r>
            <w:r w:rsidR="00AF52DA" w:rsidRPr="004A49EF">
              <w:t>SC</w:t>
            </w:r>
            <w:r w:rsidRPr="004A49EF">
              <w:t xml:space="preserve"> for </w:t>
            </w:r>
            <w:r w:rsidR="00E16BBC" w:rsidRPr="004A49EF">
              <w:t xml:space="preserve">chronic </w:t>
            </w:r>
            <w:r w:rsidR="006D4992" w:rsidRPr="004A49EF">
              <w:t xml:space="preserve">and tropical </w:t>
            </w:r>
            <w:r w:rsidR="00E16BBC" w:rsidRPr="004A49EF">
              <w:t>diseases</w:t>
            </w:r>
            <w:r w:rsidR="006D4992" w:rsidRPr="004A49EF">
              <w:t xml:space="preserve">, and </w:t>
            </w:r>
          </w:p>
          <w:p w14:paraId="53E5DE1C" w14:textId="77777777" w:rsidR="00E16BBC" w:rsidRPr="004A49EF" w:rsidRDefault="00A95B6C" w:rsidP="00523094">
            <w:pPr>
              <w:pStyle w:val="ListParagraph"/>
              <w:numPr>
                <w:ilvl w:val="0"/>
                <w:numId w:val="10"/>
              </w:numPr>
              <w:ind w:left="158" w:hanging="187"/>
            </w:pPr>
            <w:r w:rsidRPr="004A49EF">
              <w:t xml:space="preserve">establishing presumptive </w:t>
            </w:r>
            <w:r w:rsidR="00AF52DA" w:rsidRPr="004A49EF">
              <w:t>SC</w:t>
            </w:r>
            <w:r w:rsidRPr="004A49EF">
              <w:t xml:space="preserve"> for </w:t>
            </w:r>
            <w:r w:rsidR="00E16BBC" w:rsidRPr="004A49EF">
              <w:t>radiogenic diseases</w:t>
            </w:r>
            <w:r w:rsidR="00D95B6C" w:rsidRPr="004A49EF">
              <w:t xml:space="preserve"> under 38 CFR 3.309(d)</w:t>
            </w:r>
            <w:r w:rsidR="00E5149C" w:rsidRPr="004A49EF">
              <w:t>.</w:t>
            </w:r>
          </w:p>
        </w:tc>
      </w:tr>
    </w:tbl>
    <w:p w14:paraId="2EE66913" w14:textId="77777777" w:rsidR="004F6AC3" w:rsidRPr="004A49EF" w:rsidRDefault="00E16BBC" w:rsidP="00E16BBC">
      <w:pPr>
        <w:tabs>
          <w:tab w:val="left" w:pos="9360"/>
        </w:tabs>
        <w:ind w:left="1714"/>
      </w:pPr>
      <w:r w:rsidRPr="004A49EF">
        <w:rPr>
          <w:u w:val="single"/>
        </w:rPr>
        <w:tab/>
      </w:r>
    </w:p>
    <w:p w14:paraId="5859BB6B" w14:textId="77777777" w:rsidR="00E16BBC" w:rsidRPr="004A49EF" w:rsidRDefault="00E16BBC" w:rsidP="00E16BB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A63C5" w:rsidRPr="004A49EF" w14:paraId="38C5AF29" w14:textId="77777777" w:rsidTr="007A63C5">
        <w:tc>
          <w:tcPr>
            <w:tcW w:w="1728" w:type="dxa"/>
            <w:shd w:val="clear" w:color="auto" w:fill="auto"/>
          </w:tcPr>
          <w:p w14:paraId="080C4FB5" w14:textId="26E7AEE5" w:rsidR="007A63C5" w:rsidRPr="004A49EF" w:rsidRDefault="007A63C5" w:rsidP="007A63C5">
            <w:pPr>
              <w:rPr>
                <w:b/>
                <w:sz w:val="22"/>
              </w:rPr>
            </w:pPr>
            <w:r w:rsidRPr="004A49EF">
              <w:rPr>
                <w:b/>
                <w:sz w:val="22"/>
              </w:rPr>
              <w:t>Change Date</w:t>
            </w:r>
          </w:p>
        </w:tc>
        <w:tc>
          <w:tcPr>
            <w:tcW w:w="7740" w:type="dxa"/>
            <w:shd w:val="clear" w:color="auto" w:fill="auto"/>
          </w:tcPr>
          <w:p w14:paraId="5B5A784B" w14:textId="1F63FAB3" w:rsidR="007A63C5" w:rsidRPr="004A49EF" w:rsidRDefault="007A63C5" w:rsidP="007A63C5">
            <w:r w:rsidRPr="004A49EF">
              <w:t>July 8, 2015</w:t>
            </w:r>
          </w:p>
        </w:tc>
      </w:tr>
    </w:tbl>
    <w:p w14:paraId="5C237617" w14:textId="58FEAD09" w:rsidR="007A63C5" w:rsidRPr="004A49EF" w:rsidRDefault="007A63C5" w:rsidP="007A63C5">
      <w:pPr>
        <w:tabs>
          <w:tab w:val="left" w:pos="9360"/>
        </w:tabs>
        <w:ind w:left="1714"/>
      </w:pPr>
      <w:r w:rsidRPr="004A49EF">
        <w:rPr>
          <w:u w:val="single"/>
        </w:rPr>
        <w:tab/>
      </w:r>
    </w:p>
    <w:p w14:paraId="3D41273C" w14:textId="078AF108" w:rsidR="007A63C5" w:rsidRPr="004A49EF" w:rsidRDefault="007A63C5" w:rsidP="007A63C5">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16BBC" w:rsidRPr="004A49EF" w14:paraId="56767356" w14:textId="77777777" w:rsidTr="003D7E3A">
        <w:tc>
          <w:tcPr>
            <w:tcW w:w="1728" w:type="dxa"/>
            <w:shd w:val="clear" w:color="auto" w:fill="auto"/>
          </w:tcPr>
          <w:p w14:paraId="0CF5BF6B" w14:textId="77777777" w:rsidR="00E16BBC" w:rsidRPr="004A49EF" w:rsidRDefault="00E16BBC" w:rsidP="00AF52DA">
            <w:pPr>
              <w:rPr>
                <w:b/>
                <w:sz w:val="22"/>
              </w:rPr>
            </w:pPr>
            <w:r w:rsidRPr="004A49EF">
              <w:rPr>
                <w:b/>
                <w:sz w:val="22"/>
              </w:rPr>
              <w:t>a.</w:t>
            </w:r>
            <w:r w:rsidR="00CE7D07" w:rsidRPr="004A49EF">
              <w:rPr>
                <w:b/>
                <w:sz w:val="22"/>
              </w:rPr>
              <w:t xml:space="preserve">  </w:t>
            </w:r>
            <w:r w:rsidRPr="004A49EF">
              <w:rPr>
                <w:b/>
                <w:sz w:val="22"/>
              </w:rPr>
              <w:t>Overview</w:t>
            </w:r>
            <w:r w:rsidR="00714498" w:rsidRPr="004A49EF">
              <w:rPr>
                <w:b/>
                <w:sz w:val="22"/>
              </w:rPr>
              <w:t xml:space="preserve"> of Presumptive SC</w:t>
            </w:r>
          </w:p>
        </w:tc>
        <w:tc>
          <w:tcPr>
            <w:tcW w:w="7740" w:type="dxa"/>
            <w:shd w:val="clear" w:color="auto" w:fill="auto"/>
          </w:tcPr>
          <w:p w14:paraId="4ABD2D0F" w14:textId="77777777" w:rsidR="00D13D66" w:rsidRPr="004A49EF" w:rsidRDefault="009A6B27" w:rsidP="00ED0B01">
            <w:r w:rsidRPr="004A49EF">
              <w:t>Diseases or conditions entitled to consideration for presumptive SC</w:t>
            </w:r>
            <w:r w:rsidR="00F14A01" w:rsidRPr="004A49EF">
              <w:t xml:space="preserve"> will be considered to have been incurred in or aggravated by service if manifested to a compensable level within the time frame specified for that certain disease under</w:t>
            </w:r>
            <w:r w:rsidRPr="004A49EF">
              <w:t xml:space="preserve"> the regulation, </w:t>
            </w:r>
            <w:r w:rsidR="00F14A01" w:rsidRPr="004A49EF">
              <w:t xml:space="preserve">even </w:t>
            </w:r>
            <w:r w:rsidRPr="004A49EF">
              <w:t>if</w:t>
            </w:r>
            <w:r w:rsidR="00F14A01" w:rsidRPr="004A49EF">
              <w:t xml:space="preserve"> there is no evidence of such disease during </w:t>
            </w:r>
            <w:r w:rsidRPr="004A49EF">
              <w:t>service.</w:t>
            </w:r>
            <w:r w:rsidR="00D32C6B" w:rsidRPr="004A49EF">
              <w:t xml:space="preserve"> </w:t>
            </w:r>
          </w:p>
        </w:tc>
      </w:tr>
    </w:tbl>
    <w:p w14:paraId="193390BF" w14:textId="77777777" w:rsidR="00AF52DA" w:rsidRPr="004A49EF" w:rsidRDefault="00AF52DA" w:rsidP="00AF52DA"/>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AF52DA" w:rsidRPr="004A49EF" w14:paraId="1A0F2A48" w14:textId="77777777" w:rsidTr="00AF52DA">
        <w:tc>
          <w:tcPr>
            <w:tcW w:w="4788" w:type="dxa"/>
            <w:shd w:val="clear" w:color="auto" w:fill="auto"/>
          </w:tcPr>
          <w:p w14:paraId="6A44B571" w14:textId="77777777" w:rsidR="00AF52DA" w:rsidRPr="004A49EF" w:rsidRDefault="00AF52DA" w:rsidP="00AF52DA">
            <w:pPr>
              <w:pStyle w:val="TableHeaderText"/>
            </w:pPr>
            <w:r w:rsidRPr="004A49EF">
              <w:t>Type of Disease or Condition</w:t>
            </w:r>
          </w:p>
        </w:tc>
        <w:tc>
          <w:tcPr>
            <w:tcW w:w="4788" w:type="dxa"/>
            <w:shd w:val="clear" w:color="auto" w:fill="auto"/>
          </w:tcPr>
          <w:p w14:paraId="68F1A9E2" w14:textId="77777777" w:rsidR="00AF52DA" w:rsidRPr="004A49EF" w:rsidRDefault="00AF52DA" w:rsidP="00AF52DA">
            <w:pPr>
              <w:pStyle w:val="TableHeaderText"/>
            </w:pPr>
            <w:r w:rsidRPr="004A49EF">
              <w:t>Regulation</w:t>
            </w:r>
            <w:r w:rsidR="00E43675" w:rsidRPr="004A49EF">
              <w:t xml:space="preserve"> for Presumption of SC</w:t>
            </w:r>
          </w:p>
        </w:tc>
      </w:tr>
      <w:tr w:rsidR="00AF52DA" w:rsidRPr="004A49EF" w14:paraId="18C7D867" w14:textId="77777777" w:rsidTr="00AF52DA">
        <w:tc>
          <w:tcPr>
            <w:tcW w:w="4788" w:type="dxa"/>
            <w:shd w:val="clear" w:color="auto" w:fill="auto"/>
          </w:tcPr>
          <w:p w14:paraId="52D5C434" w14:textId="77777777" w:rsidR="00AF52DA" w:rsidRPr="004A49EF" w:rsidRDefault="002A5BD1" w:rsidP="00E43675">
            <w:pPr>
              <w:pStyle w:val="TableText"/>
            </w:pPr>
            <w:r w:rsidRPr="004A49EF">
              <w:t>c</w:t>
            </w:r>
            <w:r w:rsidR="00E43675" w:rsidRPr="004A49EF">
              <w:t>hronic</w:t>
            </w:r>
            <w:r w:rsidRPr="004A49EF">
              <w:t xml:space="preserve"> disease</w:t>
            </w:r>
          </w:p>
        </w:tc>
        <w:tc>
          <w:tcPr>
            <w:tcW w:w="4788" w:type="dxa"/>
            <w:shd w:val="clear" w:color="auto" w:fill="auto"/>
          </w:tcPr>
          <w:p w14:paraId="6DD4D3A2" w14:textId="77777777" w:rsidR="00AF52DA" w:rsidRPr="004A49EF" w:rsidRDefault="004A49EF" w:rsidP="00AF52DA">
            <w:pPr>
              <w:pStyle w:val="TableText"/>
            </w:pPr>
            <w:hyperlink r:id="rId57" w:history="1">
              <w:r w:rsidR="00E43675" w:rsidRPr="004A49EF">
                <w:rPr>
                  <w:rStyle w:val="Hyperlink"/>
                </w:rPr>
                <w:t>38 CFR 3.309(a)</w:t>
              </w:r>
            </w:hyperlink>
          </w:p>
        </w:tc>
      </w:tr>
      <w:tr w:rsidR="00AF52DA" w:rsidRPr="004A49EF" w14:paraId="28A1DFBC" w14:textId="77777777" w:rsidTr="00AF52DA">
        <w:tc>
          <w:tcPr>
            <w:tcW w:w="4788" w:type="dxa"/>
            <w:shd w:val="clear" w:color="auto" w:fill="auto"/>
          </w:tcPr>
          <w:p w14:paraId="45C5A622" w14:textId="746182FA" w:rsidR="00E43675" w:rsidRPr="004A49EF" w:rsidRDefault="00E43675" w:rsidP="00E43675">
            <w:pPr>
              <w:pStyle w:val="TableText"/>
            </w:pPr>
            <w:r w:rsidRPr="004A49EF">
              <w:t xml:space="preserve">disease associated with service of the following categories </w:t>
            </w:r>
          </w:p>
          <w:p w14:paraId="4A834177" w14:textId="77777777" w:rsidR="00E43675" w:rsidRPr="004A49EF" w:rsidRDefault="00E43675" w:rsidP="00E43675">
            <w:pPr>
              <w:pStyle w:val="TableText"/>
            </w:pPr>
          </w:p>
          <w:p w14:paraId="28734747" w14:textId="77777777" w:rsidR="00E43675" w:rsidRPr="004A49EF" w:rsidRDefault="00E43675" w:rsidP="005C0EF0">
            <w:pPr>
              <w:pStyle w:val="BulletText1"/>
              <w:tabs>
                <w:tab w:val="clear" w:pos="443"/>
                <w:tab w:val="num" w:pos="108"/>
              </w:tabs>
              <w:ind w:left="108"/>
            </w:pPr>
            <w:r w:rsidRPr="004A49EF">
              <w:t>tropical</w:t>
            </w:r>
          </w:p>
          <w:p w14:paraId="6982287C" w14:textId="772BE464" w:rsidR="00E43675" w:rsidRPr="004A49EF" w:rsidRDefault="00E43675" w:rsidP="005C0EF0">
            <w:pPr>
              <w:pStyle w:val="BulletText1"/>
              <w:tabs>
                <w:tab w:val="clear" w:pos="443"/>
                <w:tab w:val="num" w:pos="108"/>
              </w:tabs>
              <w:ind w:left="108"/>
            </w:pPr>
            <w:r w:rsidRPr="004A49EF">
              <w:t>former prisoner of war (</w:t>
            </w:r>
            <w:proofErr w:type="spellStart"/>
            <w:r w:rsidRPr="004A49EF">
              <w:t>FPOW</w:t>
            </w:r>
            <w:proofErr w:type="spellEnd"/>
            <w:r w:rsidR="00C56953" w:rsidRPr="004A49EF">
              <w:t>)</w:t>
            </w:r>
          </w:p>
          <w:p w14:paraId="41581801" w14:textId="77777777" w:rsidR="00E444C8" w:rsidRPr="004A49EF" w:rsidRDefault="00E43675" w:rsidP="005C0EF0">
            <w:pPr>
              <w:pStyle w:val="BulletText1"/>
              <w:tabs>
                <w:tab w:val="clear" w:pos="443"/>
                <w:tab w:val="num" w:pos="108"/>
              </w:tabs>
              <w:ind w:left="108"/>
            </w:pPr>
            <w:r w:rsidRPr="004A49EF">
              <w:t>exposure to ionizing radiation</w:t>
            </w:r>
            <w:r w:rsidR="00E444C8" w:rsidRPr="004A49EF">
              <w:t>,</w:t>
            </w:r>
            <w:r w:rsidRPr="004A49EF">
              <w:t xml:space="preserve"> or </w:t>
            </w:r>
          </w:p>
          <w:p w14:paraId="6B9DBAF9" w14:textId="77777777" w:rsidR="00AF52DA" w:rsidRPr="004A49EF" w:rsidRDefault="00E444C8" w:rsidP="005C0EF0">
            <w:pPr>
              <w:pStyle w:val="BulletText1"/>
              <w:tabs>
                <w:tab w:val="clear" w:pos="443"/>
                <w:tab w:val="num" w:pos="108"/>
              </w:tabs>
              <w:ind w:left="108"/>
            </w:pPr>
            <w:r w:rsidRPr="004A49EF">
              <w:t xml:space="preserve">exposure to </w:t>
            </w:r>
            <w:r w:rsidR="00E43675" w:rsidRPr="004A49EF">
              <w:t>certain herbicide</w:t>
            </w:r>
            <w:r w:rsidRPr="004A49EF">
              <w:t xml:space="preserve"> agents.</w:t>
            </w:r>
          </w:p>
        </w:tc>
        <w:tc>
          <w:tcPr>
            <w:tcW w:w="4788" w:type="dxa"/>
            <w:shd w:val="clear" w:color="auto" w:fill="auto"/>
          </w:tcPr>
          <w:p w14:paraId="1D1ACFC8" w14:textId="77777777" w:rsidR="00AF52DA" w:rsidRPr="004A49EF" w:rsidRDefault="004A49EF" w:rsidP="00AF52DA">
            <w:pPr>
              <w:pStyle w:val="TableText"/>
            </w:pPr>
            <w:hyperlink r:id="rId58" w:history="1">
              <w:r w:rsidR="00E444C8" w:rsidRPr="004A49EF">
                <w:rPr>
                  <w:rStyle w:val="Hyperlink"/>
                </w:rPr>
                <w:t>38 CFR 3.309(b)-(e)</w:t>
              </w:r>
            </w:hyperlink>
          </w:p>
        </w:tc>
      </w:tr>
      <w:tr w:rsidR="00AF52DA" w:rsidRPr="004A49EF" w14:paraId="3311A8E3" w14:textId="77777777" w:rsidTr="00AF52DA">
        <w:tc>
          <w:tcPr>
            <w:tcW w:w="4788" w:type="dxa"/>
            <w:shd w:val="clear" w:color="auto" w:fill="auto"/>
          </w:tcPr>
          <w:p w14:paraId="6510EBFD" w14:textId="545CB2F2" w:rsidR="00AF52DA" w:rsidRPr="004A49EF" w:rsidRDefault="000F0EA0" w:rsidP="002A5BD1">
            <w:pPr>
              <w:pStyle w:val="TableText"/>
            </w:pPr>
            <w:r w:rsidRPr="004A49EF">
              <w:t>d</w:t>
            </w:r>
            <w:r w:rsidR="009A6B27" w:rsidRPr="004A49EF">
              <w:t>iseases based on full-body exposure to mustard gas or Lewisite</w:t>
            </w:r>
            <w:r w:rsidR="002A5BD1" w:rsidRPr="004A49EF">
              <w:t>.</w:t>
            </w:r>
            <w:r w:rsidR="009A6B27" w:rsidRPr="004A49EF">
              <w:t xml:space="preserve"> </w:t>
            </w:r>
          </w:p>
        </w:tc>
        <w:tc>
          <w:tcPr>
            <w:tcW w:w="4788" w:type="dxa"/>
            <w:shd w:val="clear" w:color="auto" w:fill="auto"/>
          </w:tcPr>
          <w:p w14:paraId="553A27B2" w14:textId="3F19CC9E" w:rsidR="00AF52DA" w:rsidRPr="004A49EF" w:rsidRDefault="004A49EF" w:rsidP="00AF52DA">
            <w:pPr>
              <w:pStyle w:val="TableText"/>
            </w:pPr>
            <w:hyperlink r:id="rId59" w:history="1">
              <w:r w:rsidR="000D3E6E" w:rsidRPr="004A49EF">
                <w:rPr>
                  <w:rStyle w:val="Hyperlink"/>
                </w:rPr>
                <w:t>38 CFR 3.316</w:t>
              </w:r>
            </w:hyperlink>
          </w:p>
        </w:tc>
      </w:tr>
      <w:tr w:rsidR="002A5BD1" w:rsidRPr="004A49EF" w14:paraId="31A2BDB4" w14:textId="77777777" w:rsidTr="00AF52DA">
        <w:tc>
          <w:tcPr>
            <w:tcW w:w="4788" w:type="dxa"/>
            <w:shd w:val="clear" w:color="auto" w:fill="auto"/>
          </w:tcPr>
          <w:p w14:paraId="4788E268" w14:textId="44833A9E" w:rsidR="00CD2DCC" w:rsidRPr="004A49EF" w:rsidRDefault="000F0EA0" w:rsidP="002A5BD1">
            <w:pPr>
              <w:pStyle w:val="TableText"/>
            </w:pPr>
            <w:r w:rsidRPr="004A49EF">
              <w:t>d</w:t>
            </w:r>
            <w:r w:rsidR="00CD2DCC" w:rsidRPr="004A49EF">
              <w:t xml:space="preserve">iseases associated with service in the Southwest Asia theater of operations including </w:t>
            </w:r>
          </w:p>
          <w:p w14:paraId="696296BB" w14:textId="77777777" w:rsidR="00F1003D" w:rsidRPr="004A49EF" w:rsidRDefault="00F1003D" w:rsidP="002A5BD1">
            <w:pPr>
              <w:pStyle w:val="TableText"/>
            </w:pPr>
          </w:p>
          <w:p w14:paraId="063D73CE" w14:textId="77777777" w:rsidR="00CD2DCC" w:rsidRPr="004A49EF" w:rsidRDefault="00CD2DCC" w:rsidP="005C0EF0">
            <w:pPr>
              <w:pStyle w:val="BulletText1"/>
              <w:tabs>
                <w:tab w:val="clear" w:pos="443"/>
                <w:tab w:val="num" w:pos="108"/>
              </w:tabs>
              <w:ind w:left="108"/>
            </w:pPr>
            <w:r w:rsidRPr="004A49EF">
              <w:t>undiagnosed illnesses</w:t>
            </w:r>
          </w:p>
          <w:p w14:paraId="7E906094" w14:textId="77777777" w:rsidR="00CD2DCC" w:rsidRPr="004A49EF" w:rsidRDefault="00CD2DCC" w:rsidP="005C0EF0">
            <w:pPr>
              <w:pStyle w:val="BulletText1"/>
              <w:tabs>
                <w:tab w:val="clear" w:pos="443"/>
                <w:tab w:val="num" w:pos="108"/>
              </w:tabs>
              <w:ind w:left="108"/>
            </w:pPr>
            <w:r w:rsidRPr="004A49EF">
              <w:t>medically unexplained chronic multi-symptom illnesses, and</w:t>
            </w:r>
          </w:p>
          <w:p w14:paraId="03D5F732" w14:textId="77777777" w:rsidR="002A5BD1" w:rsidRPr="004A49EF" w:rsidRDefault="00CD2DCC" w:rsidP="005C0EF0">
            <w:pPr>
              <w:pStyle w:val="BulletText1"/>
              <w:tabs>
                <w:tab w:val="clear" w:pos="443"/>
                <w:tab w:val="num" w:pos="108"/>
              </w:tabs>
              <w:ind w:left="108"/>
            </w:pPr>
            <w:r w:rsidRPr="004A49EF">
              <w:t>certain infectious diseases.</w:t>
            </w:r>
          </w:p>
        </w:tc>
        <w:tc>
          <w:tcPr>
            <w:tcW w:w="4788" w:type="dxa"/>
            <w:shd w:val="clear" w:color="auto" w:fill="auto"/>
          </w:tcPr>
          <w:p w14:paraId="4278DC28" w14:textId="647B8B76" w:rsidR="002A5BD1" w:rsidRPr="004A49EF" w:rsidRDefault="004A49EF" w:rsidP="00AF52DA">
            <w:pPr>
              <w:pStyle w:val="TableText"/>
            </w:pPr>
            <w:hyperlink r:id="rId60" w:history="1">
              <w:r w:rsidR="000D3E6E" w:rsidRPr="004A49EF">
                <w:rPr>
                  <w:rStyle w:val="Hyperlink"/>
                </w:rPr>
                <w:t>38 CFR 3.317</w:t>
              </w:r>
            </w:hyperlink>
          </w:p>
        </w:tc>
      </w:tr>
      <w:tr w:rsidR="006B1CA2" w:rsidRPr="004A49EF" w14:paraId="208A6769" w14:textId="77777777" w:rsidTr="00AF52DA">
        <w:tc>
          <w:tcPr>
            <w:tcW w:w="4788" w:type="dxa"/>
            <w:shd w:val="clear" w:color="auto" w:fill="auto"/>
          </w:tcPr>
          <w:p w14:paraId="4B546DB1" w14:textId="77777777" w:rsidR="006B1CA2" w:rsidRPr="004A49EF" w:rsidRDefault="006B1CA2" w:rsidP="006B1CA2">
            <w:r w:rsidRPr="004A49EF">
              <w:t>amyotrophic lateral sclerosis (ALS) with at least 90 days of continuous active service.</w:t>
            </w:r>
          </w:p>
        </w:tc>
        <w:tc>
          <w:tcPr>
            <w:tcW w:w="4788" w:type="dxa"/>
            <w:shd w:val="clear" w:color="auto" w:fill="auto"/>
          </w:tcPr>
          <w:p w14:paraId="01010E33" w14:textId="77777777" w:rsidR="006B1CA2" w:rsidRPr="004A49EF" w:rsidRDefault="004A49EF" w:rsidP="00AF52DA">
            <w:pPr>
              <w:pStyle w:val="TableText"/>
            </w:pPr>
            <w:hyperlink r:id="rId61" w:history="1">
              <w:r w:rsidR="006B1CA2" w:rsidRPr="004A49EF">
                <w:rPr>
                  <w:rStyle w:val="Hyperlink"/>
                </w:rPr>
                <w:t>38 CFR 3.318</w:t>
              </w:r>
            </w:hyperlink>
          </w:p>
        </w:tc>
      </w:tr>
    </w:tbl>
    <w:p w14:paraId="78ADF96A" w14:textId="77777777" w:rsidR="00AF52DA" w:rsidRPr="004A49EF" w:rsidRDefault="00AF52DA" w:rsidP="00ED0B01"/>
    <w:tbl>
      <w:tblPr>
        <w:tblW w:w="7732" w:type="dxa"/>
        <w:tblInd w:w="1728" w:type="dxa"/>
        <w:tblLayout w:type="fixed"/>
        <w:tblLook w:val="0000" w:firstRow="0" w:lastRow="0" w:firstColumn="0" w:lastColumn="0" w:noHBand="0" w:noVBand="0"/>
      </w:tblPr>
      <w:tblGrid>
        <w:gridCol w:w="7732"/>
      </w:tblGrid>
      <w:tr w:rsidR="00ED0B01" w:rsidRPr="004A49EF" w14:paraId="2DE683CB" w14:textId="77777777" w:rsidTr="00ED0B01">
        <w:tc>
          <w:tcPr>
            <w:tcW w:w="5000" w:type="pct"/>
            <w:shd w:val="clear" w:color="auto" w:fill="auto"/>
          </w:tcPr>
          <w:p w14:paraId="01ECA4D5" w14:textId="74CC10DB" w:rsidR="00F51D87" w:rsidRPr="004A49EF" w:rsidRDefault="00ED0B01" w:rsidP="00F51D87">
            <w:pPr>
              <w:rPr>
                <w:color w:val="auto"/>
              </w:rPr>
            </w:pPr>
            <w:r w:rsidRPr="004A49EF">
              <w:rPr>
                <w:b/>
                <w:i/>
              </w:rPr>
              <w:t>References</w:t>
            </w:r>
            <w:r w:rsidRPr="004A49EF">
              <w:t>:</w:t>
            </w:r>
            <w:r w:rsidRPr="004A49EF">
              <w:rPr>
                <w:b/>
                <w:i/>
              </w:rPr>
              <w:t xml:space="preserve">  </w:t>
            </w:r>
            <w:r w:rsidRPr="004A49EF">
              <w:rPr>
                <w:color w:val="auto"/>
              </w:rPr>
              <w:t>For more information on</w:t>
            </w:r>
            <w:r w:rsidRPr="004A49EF">
              <w:rPr>
                <w:b/>
                <w:i/>
                <w:color w:val="auto"/>
              </w:rPr>
              <w:t xml:space="preserve"> </w:t>
            </w:r>
          </w:p>
          <w:p w14:paraId="30EDA7FA" w14:textId="306BA892" w:rsidR="00F51D87" w:rsidRPr="004A49EF" w:rsidRDefault="00F51D87" w:rsidP="00523094">
            <w:pPr>
              <w:pStyle w:val="ListParagraph"/>
              <w:numPr>
                <w:ilvl w:val="0"/>
                <w:numId w:val="11"/>
              </w:numPr>
              <w:ind w:left="158" w:hanging="187"/>
            </w:pPr>
            <w:r w:rsidRPr="004A49EF">
              <w:rPr>
                <w:color w:val="auto"/>
              </w:rPr>
              <w:t xml:space="preserve">principles related to presumptive SC, see </w:t>
            </w:r>
            <w:hyperlink r:id="rId62" w:history="1">
              <w:r w:rsidRPr="004A49EF">
                <w:rPr>
                  <w:rStyle w:val="Hyperlink"/>
                </w:rPr>
                <w:t>38 CFR 3.307</w:t>
              </w:r>
            </w:hyperlink>
          </w:p>
          <w:p w14:paraId="14278A54" w14:textId="2851F0B9" w:rsidR="00ED0B01" w:rsidRPr="004A49EF" w:rsidRDefault="00ED0B01" w:rsidP="00523094">
            <w:pPr>
              <w:pStyle w:val="ListParagraph"/>
              <w:numPr>
                <w:ilvl w:val="0"/>
                <w:numId w:val="11"/>
              </w:numPr>
              <w:ind w:left="158" w:hanging="187"/>
            </w:pPr>
            <w:r w:rsidRPr="004A49EF">
              <w:t xml:space="preserve">diseases subject to presumptive SC, see </w:t>
            </w:r>
            <w:hyperlink r:id="rId63" w:history="1">
              <w:r w:rsidRPr="004A49EF">
                <w:rPr>
                  <w:rStyle w:val="Hyperlink"/>
                </w:rPr>
                <w:t>38 CFR 3.309</w:t>
              </w:r>
            </w:hyperlink>
            <w:r w:rsidRPr="004A49EF">
              <w:t>, and</w:t>
            </w:r>
          </w:p>
          <w:p w14:paraId="4BF26A58" w14:textId="77777777" w:rsidR="00ED0B01" w:rsidRPr="004A49EF" w:rsidRDefault="00ED0B01" w:rsidP="005C0EF0">
            <w:pPr>
              <w:pStyle w:val="BulletText1"/>
              <w:tabs>
                <w:tab w:val="clear" w:pos="443"/>
                <w:tab w:val="num" w:pos="162"/>
              </w:tabs>
              <w:ind w:left="162"/>
            </w:pPr>
            <w:r w:rsidRPr="004A49EF">
              <w:t xml:space="preserve">SC for qualifying disabilities associated with service in Southwest Asia, </w:t>
            </w:r>
            <w:proofErr w:type="gramStart"/>
            <w:r w:rsidRPr="004A49EF">
              <w:t>see</w:t>
            </w:r>
            <w:proofErr w:type="gramEnd"/>
            <w:r w:rsidRPr="004A49EF">
              <w:t xml:space="preserve"> </w:t>
            </w:r>
            <w:r w:rsidRPr="004A49EF">
              <w:lastRenderedPageBreak/>
              <w:t xml:space="preserve">M21-1, Part IV, Subpart ii, </w:t>
            </w:r>
            <w:proofErr w:type="spellStart"/>
            <w:r w:rsidRPr="004A49EF">
              <w:t>2.D</w:t>
            </w:r>
            <w:proofErr w:type="spellEnd"/>
            <w:r w:rsidRPr="004A49EF">
              <w:t xml:space="preserve">.  </w:t>
            </w:r>
          </w:p>
        </w:tc>
      </w:tr>
    </w:tbl>
    <w:p w14:paraId="7F5AC3B5" w14:textId="77777777" w:rsidR="009576AB" w:rsidRPr="004A49EF" w:rsidRDefault="009576A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31CF" w:rsidRPr="004A49EF" w14:paraId="6931377A" w14:textId="77777777" w:rsidTr="00004725">
        <w:tc>
          <w:tcPr>
            <w:tcW w:w="1728" w:type="dxa"/>
            <w:shd w:val="clear" w:color="auto" w:fill="auto"/>
          </w:tcPr>
          <w:p w14:paraId="5812E319" w14:textId="77777777" w:rsidR="00A331CF" w:rsidRPr="004A49EF" w:rsidRDefault="00A331CF" w:rsidP="00A331CF">
            <w:pPr>
              <w:rPr>
                <w:b/>
                <w:sz w:val="22"/>
              </w:rPr>
            </w:pPr>
            <w:r w:rsidRPr="004A49EF">
              <w:rPr>
                <w:b/>
                <w:sz w:val="22"/>
              </w:rPr>
              <w:t>b.  Definition</w:t>
            </w:r>
            <w:r w:rsidR="00EB07BE" w:rsidRPr="004A49EF">
              <w:rPr>
                <w:b/>
                <w:sz w:val="22"/>
              </w:rPr>
              <w:t xml:space="preserve">: </w:t>
            </w:r>
            <w:r w:rsidRPr="004A49EF">
              <w:rPr>
                <w:b/>
                <w:sz w:val="22"/>
              </w:rPr>
              <w:t xml:space="preserve"> </w:t>
            </w:r>
            <w:r w:rsidR="00186D2A" w:rsidRPr="004A49EF">
              <w:rPr>
                <w:b/>
                <w:sz w:val="22"/>
              </w:rPr>
              <w:t xml:space="preserve">Other </w:t>
            </w:r>
            <w:r w:rsidRPr="004A49EF">
              <w:rPr>
                <w:b/>
                <w:sz w:val="22"/>
              </w:rPr>
              <w:t>Organic Diseases of the Nervous System</w:t>
            </w:r>
          </w:p>
        </w:tc>
        <w:tc>
          <w:tcPr>
            <w:tcW w:w="7740" w:type="dxa"/>
            <w:shd w:val="clear" w:color="auto" w:fill="auto"/>
          </w:tcPr>
          <w:p w14:paraId="679F28F2" w14:textId="77777777" w:rsidR="0083547F" w:rsidRPr="004A49EF" w:rsidRDefault="00186D2A" w:rsidP="0083547F">
            <w:r w:rsidRPr="004A49EF">
              <w:rPr>
                <w:b/>
                <w:i/>
              </w:rPr>
              <w:t>O</w:t>
            </w:r>
            <w:r w:rsidR="0083547F" w:rsidRPr="004A49EF">
              <w:rPr>
                <w:b/>
                <w:i/>
              </w:rPr>
              <w:t>ther organic diseases of the nervous system</w:t>
            </w:r>
            <w:r w:rsidR="0083547F" w:rsidRPr="004A49EF">
              <w:t xml:space="preserve"> under </w:t>
            </w:r>
            <w:hyperlink r:id="rId64" w:history="1">
              <w:r w:rsidR="0083547F" w:rsidRPr="004A49EF">
                <w:rPr>
                  <w:rStyle w:val="Hyperlink"/>
                </w:rPr>
                <w:t xml:space="preserve">38 CFR 3.309(a) </w:t>
              </w:r>
            </w:hyperlink>
            <w:r w:rsidR="0083547F" w:rsidRPr="004A49EF">
              <w:t xml:space="preserve"> include any commonly recognized neurological disease (such as may be found in a valid, contemporary medical treatise), which is not otherwise specifically </w:t>
            </w:r>
            <w:r w:rsidR="00D559D9" w:rsidRPr="004A49EF">
              <w:t>listed</w:t>
            </w:r>
            <w:r w:rsidR="0083547F" w:rsidRPr="004A49EF">
              <w:t xml:space="preserve"> under </w:t>
            </w:r>
            <w:hyperlink r:id="rId65" w:history="1">
              <w:r w:rsidR="0083547F" w:rsidRPr="004A49EF">
                <w:rPr>
                  <w:rStyle w:val="Hyperlink"/>
                </w:rPr>
                <w:t>38 CFR 3.309(a</w:t>
              </w:r>
            </w:hyperlink>
            <w:r w:rsidR="0083547F" w:rsidRPr="004A49EF">
              <w:t>)</w:t>
            </w:r>
            <w:r w:rsidR="00B944BA" w:rsidRPr="004A49EF">
              <w:t xml:space="preserve"> subject to the rebuttable presumption provisions under </w:t>
            </w:r>
            <w:hyperlink r:id="rId66" w:history="1">
              <w:r w:rsidR="00B944BA" w:rsidRPr="004A49EF">
                <w:rPr>
                  <w:rStyle w:val="Hyperlink"/>
                </w:rPr>
                <w:t>38 CFR 3.307</w:t>
              </w:r>
            </w:hyperlink>
            <w:r w:rsidR="0083547F" w:rsidRPr="004A49EF">
              <w:t xml:space="preserve">.  This would include any disease of the central nervous system, as well as cranial and peripheral nerve conditions.  </w:t>
            </w:r>
          </w:p>
          <w:p w14:paraId="5FF2B736" w14:textId="77777777" w:rsidR="0083547F" w:rsidRPr="004A49EF" w:rsidRDefault="0083547F" w:rsidP="0083547F"/>
          <w:p w14:paraId="7D6B70A6" w14:textId="2C6C036B" w:rsidR="0083547F" w:rsidRPr="004A49EF" w:rsidRDefault="0083547F" w:rsidP="0083547F">
            <w:r w:rsidRPr="004A49EF">
              <w:t>Compensation Service h</w:t>
            </w:r>
            <w:r w:rsidR="00E13B69" w:rsidRPr="004A49EF">
              <w:t xml:space="preserve">as determined that </w:t>
            </w:r>
            <w:r w:rsidR="000E7480" w:rsidRPr="004A49EF">
              <w:t>certain</w:t>
            </w:r>
            <w:r w:rsidR="00E13B69" w:rsidRPr="004A49EF">
              <w:t xml:space="preserve"> diseases </w:t>
            </w:r>
            <w:r w:rsidR="00476289" w:rsidRPr="004A49EF">
              <w:t>constitute an organic disease of the nervous system (however, th</w:t>
            </w:r>
            <w:r w:rsidR="003465DC" w:rsidRPr="004A49EF">
              <w:t>is</w:t>
            </w:r>
            <w:r w:rsidR="00476289" w:rsidRPr="004A49EF">
              <w:t xml:space="preserve"> </w:t>
            </w:r>
            <w:r w:rsidR="00E13B69" w:rsidRPr="004A49EF">
              <w:t>do</w:t>
            </w:r>
            <w:r w:rsidR="003465DC" w:rsidRPr="004A49EF">
              <w:t>es</w:t>
            </w:r>
            <w:r w:rsidR="00E13B69" w:rsidRPr="004A49EF">
              <w:t xml:space="preserve"> not represent an exclusive list</w:t>
            </w:r>
            <w:r w:rsidR="00476289" w:rsidRPr="004A49EF">
              <w:t>)</w:t>
            </w:r>
            <w:r w:rsidR="00D559D9" w:rsidRPr="004A49EF">
              <w:t>.  They include</w:t>
            </w:r>
          </w:p>
          <w:p w14:paraId="1DCD8EF0" w14:textId="77777777" w:rsidR="0086778F" w:rsidRPr="004A49EF" w:rsidRDefault="0086778F" w:rsidP="0083547F"/>
          <w:p w14:paraId="71F13F9D" w14:textId="77777777" w:rsidR="002B71DD" w:rsidRPr="004A49EF" w:rsidRDefault="002B71DD" w:rsidP="00523094">
            <w:pPr>
              <w:pStyle w:val="ListParagraph"/>
              <w:numPr>
                <w:ilvl w:val="0"/>
                <w:numId w:val="15"/>
              </w:numPr>
              <w:ind w:left="158" w:hanging="187"/>
            </w:pPr>
            <w:r w:rsidRPr="004A49EF">
              <w:t>carpal tunnel syndrome</w:t>
            </w:r>
          </w:p>
          <w:p w14:paraId="4F224D3D" w14:textId="77777777" w:rsidR="002B71DD" w:rsidRPr="004A49EF" w:rsidRDefault="002B71DD" w:rsidP="00523094">
            <w:pPr>
              <w:pStyle w:val="ListParagraph"/>
              <w:numPr>
                <w:ilvl w:val="0"/>
                <w:numId w:val="15"/>
              </w:numPr>
              <w:ind w:left="158" w:hanging="187"/>
            </w:pPr>
            <w:r w:rsidRPr="004A49EF">
              <w:t>peripheral neuropathy</w:t>
            </w:r>
          </w:p>
          <w:p w14:paraId="71FA09E1" w14:textId="77777777" w:rsidR="002B71DD" w:rsidRPr="004A49EF" w:rsidRDefault="002B71DD" w:rsidP="00523094">
            <w:pPr>
              <w:pStyle w:val="ListParagraph"/>
              <w:numPr>
                <w:ilvl w:val="0"/>
                <w:numId w:val="15"/>
              </w:numPr>
              <w:ind w:left="158" w:hanging="187"/>
            </w:pPr>
            <w:r w:rsidRPr="004A49EF">
              <w:t>migraine headaches</w:t>
            </w:r>
          </w:p>
          <w:p w14:paraId="2059EC15" w14:textId="77777777" w:rsidR="002B71DD" w:rsidRPr="004A49EF" w:rsidRDefault="002B71DD" w:rsidP="00523094">
            <w:pPr>
              <w:pStyle w:val="ListParagraph"/>
              <w:numPr>
                <w:ilvl w:val="0"/>
                <w:numId w:val="15"/>
              </w:numPr>
              <w:ind w:left="158" w:hanging="187"/>
            </w:pPr>
            <w:r w:rsidRPr="004A49EF">
              <w:t>sensorineural hearing loss, and</w:t>
            </w:r>
          </w:p>
          <w:p w14:paraId="34C2B852" w14:textId="77777777" w:rsidR="002B71DD" w:rsidRPr="004A49EF" w:rsidRDefault="00F5269F" w:rsidP="00523094">
            <w:pPr>
              <w:pStyle w:val="ListParagraph"/>
              <w:numPr>
                <w:ilvl w:val="0"/>
                <w:numId w:val="15"/>
              </w:numPr>
              <w:ind w:left="158" w:hanging="187"/>
            </w:pPr>
            <w:r w:rsidRPr="004A49EF">
              <w:t>glaucoma</w:t>
            </w:r>
            <w:r w:rsidR="002B71DD" w:rsidRPr="004A49EF">
              <w:t xml:space="preserve">. </w:t>
            </w:r>
          </w:p>
          <w:p w14:paraId="2D2601B3" w14:textId="77777777" w:rsidR="002B71DD" w:rsidRPr="004A49EF" w:rsidRDefault="002B71DD" w:rsidP="0083547F"/>
          <w:p w14:paraId="261BF6B0" w14:textId="19BF654D" w:rsidR="0086778F" w:rsidRPr="004A49EF" w:rsidRDefault="00444051" w:rsidP="0083547F">
            <w:r w:rsidRPr="004A49EF">
              <w:rPr>
                <w:b/>
                <w:i/>
              </w:rPr>
              <w:t>Important</w:t>
            </w:r>
            <w:r w:rsidRPr="004A49EF">
              <w:t xml:space="preserve">:  </w:t>
            </w:r>
            <w:r w:rsidR="0086778F" w:rsidRPr="004A49EF">
              <w:t>The Court of Appeals for Veterans Claims</w:t>
            </w:r>
            <w:r w:rsidRPr="004A49EF">
              <w:t xml:space="preserve"> (CAVC)</w:t>
            </w:r>
            <w:r w:rsidR="0086778F" w:rsidRPr="004A49EF">
              <w:t xml:space="preserve"> held in </w:t>
            </w:r>
            <w:hyperlink r:id="rId67" w:history="1">
              <w:r w:rsidR="0086778F" w:rsidRPr="004A49EF">
                <w:rPr>
                  <w:rStyle w:val="Hyperlink"/>
                  <w:i/>
                </w:rPr>
                <w:t>Fountain v.</w:t>
              </w:r>
              <w:r w:rsidR="0086778F" w:rsidRPr="004A49EF">
                <w:rPr>
                  <w:rStyle w:val="Hyperlink"/>
                </w:rPr>
                <w:t xml:space="preserve"> </w:t>
              </w:r>
              <w:r w:rsidR="0086778F" w:rsidRPr="004A49EF">
                <w:rPr>
                  <w:rStyle w:val="Hyperlink"/>
                  <w:i/>
                </w:rPr>
                <w:t>McDonald</w:t>
              </w:r>
            </w:hyperlink>
            <w:r w:rsidR="0086778F" w:rsidRPr="004A49EF">
              <w:rPr>
                <w:i/>
              </w:rPr>
              <w:t>,</w:t>
            </w:r>
            <w:r w:rsidR="009A3FBA" w:rsidRPr="004A49EF" w:rsidDel="009A3FBA">
              <w:t xml:space="preserve"> </w:t>
            </w:r>
            <w:r w:rsidR="009A3FBA" w:rsidRPr="004A49EF">
              <w:t xml:space="preserve">27 </w:t>
            </w:r>
            <w:proofErr w:type="spellStart"/>
            <w:r w:rsidR="0086778F" w:rsidRPr="004A49EF">
              <w:t>Vet.App</w:t>
            </w:r>
            <w:proofErr w:type="spellEnd"/>
            <w:proofErr w:type="gramStart"/>
            <w:r w:rsidR="009A3FBA" w:rsidRPr="004A49EF">
              <w:t>. 258</w:t>
            </w:r>
            <w:r w:rsidR="009A3FBA" w:rsidRPr="004A49EF" w:rsidDel="009A3FBA">
              <w:t xml:space="preserve"> </w:t>
            </w:r>
            <w:r w:rsidR="00476289" w:rsidRPr="004A49EF">
              <w:t xml:space="preserve"> (</w:t>
            </w:r>
            <w:proofErr w:type="gramEnd"/>
            <w:r w:rsidR="00476289" w:rsidRPr="004A49EF">
              <w:t>2015), that organic diseases of the nervous system includes tinnitus, if there is evidence of acoustic trauma</w:t>
            </w:r>
            <w:r w:rsidRPr="004A49EF">
              <w:t>.</w:t>
            </w:r>
          </w:p>
          <w:p w14:paraId="19D37C6E" w14:textId="77777777" w:rsidR="0086778F" w:rsidRPr="004A49EF" w:rsidRDefault="0086778F" w:rsidP="0083547F"/>
          <w:p w14:paraId="61594E2B" w14:textId="7B05C3DD" w:rsidR="002B71DD" w:rsidRPr="004A49EF" w:rsidRDefault="00DE4CDE" w:rsidP="0083547F">
            <w:r w:rsidRPr="004A49EF">
              <w:rPr>
                <w:b/>
                <w:i/>
              </w:rPr>
              <w:t>Note</w:t>
            </w:r>
            <w:r w:rsidR="002B71DD" w:rsidRPr="004A49EF">
              <w:t xml:space="preserve">:  In the event there is uncertainty as to whether or not a disability for which a Veteran seeks compensation constitutes an organic disease of the nervous system, the case </w:t>
            </w:r>
            <w:proofErr w:type="gramStart"/>
            <w:r w:rsidR="002B71DD" w:rsidRPr="004A49EF">
              <w:t>should be sent</w:t>
            </w:r>
            <w:proofErr w:type="gramEnd"/>
            <w:r w:rsidR="002B71DD" w:rsidRPr="004A49EF">
              <w:t xml:space="preserve"> to Compensation Service’s Advisory Review Staff (</w:t>
            </w:r>
            <w:proofErr w:type="spellStart"/>
            <w:r w:rsidR="002B71DD" w:rsidRPr="004A49EF">
              <w:t>211B</w:t>
            </w:r>
            <w:proofErr w:type="spellEnd"/>
            <w:r w:rsidR="002B71DD" w:rsidRPr="004A49EF">
              <w:t xml:space="preserve">) for guidance.  </w:t>
            </w:r>
          </w:p>
          <w:p w14:paraId="3A18A907" w14:textId="77777777" w:rsidR="00E13B69" w:rsidRPr="004A49EF" w:rsidRDefault="00E13B69" w:rsidP="0083547F"/>
          <w:p w14:paraId="5F19507A" w14:textId="77777777" w:rsidR="00A331CF" w:rsidRPr="004A49EF" w:rsidRDefault="00E13B69" w:rsidP="00444051">
            <w:r w:rsidRPr="004A49EF">
              <w:rPr>
                <w:b/>
                <w:i/>
              </w:rPr>
              <w:t>Reference</w:t>
            </w:r>
            <w:r w:rsidRPr="004A49EF">
              <w:t>:  For more information on</w:t>
            </w:r>
            <w:r w:rsidR="00476289" w:rsidRPr="004A49EF">
              <w:t xml:space="preserve"> </w:t>
            </w:r>
            <w:r w:rsidRPr="004A49EF">
              <w:t xml:space="preserve">requesting CS guidance, see M21-1, Part III, Subpart vi, </w:t>
            </w:r>
            <w:proofErr w:type="spellStart"/>
            <w:r w:rsidRPr="004A49EF">
              <w:t>1.A</w:t>
            </w:r>
            <w:proofErr w:type="spellEnd"/>
            <w:r w:rsidRPr="004A49EF">
              <w:t xml:space="preserve">. </w:t>
            </w:r>
          </w:p>
        </w:tc>
      </w:tr>
    </w:tbl>
    <w:p w14:paraId="202A3763" w14:textId="77777777" w:rsidR="00A331CF" w:rsidRPr="004A49EF" w:rsidRDefault="00E13B69" w:rsidP="00E13B69">
      <w:pPr>
        <w:tabs>
          <w:tab w:val="left" w:pos="9360"/>
        </w:tabs>
        <w:ind w:left="1714"/>
      </w:pPr>
      <w:r w:rsidRPr="004A49EF">
        <w:rPr>
          <w:u w:val="single"/>
        </w:rPr>
        <w:tab/>
      </w:r>
    </w:p>
    <w:p w14:paraId="0E9B924E" w14:textId="77777777" w:rsidR="00E13B69" w:rsidRPr="004A49EF" w:rsidRDefault="00E13B69" w:rsidP="00E13B69"/>
    <w:tbl>
      <w:tblPr>
        <w:tblW w:w="0" w:type="auto"/>
        <w:tblLayout w:type="fixed"/>
        <w:tblLook w:val="0000" w:firstRow="0" w:lastRow="0" w:firstColumn="0" w:lastColumn="0" w:noHBand="0" w:noVBand="0"/>
      </w:tblPr>
      <w:tblGrid>
        <w:gridCol w:w="1728"/>
        <w:gridCol w:w="7740"/>
      </w:tblGrid>
      <w:tr w:rsidR="009576AB" w:rsidRPr="004A49EF" w14:paraId="75F80F51" w14:textId="77777777">
        <w:trPr>
          <w:cantSplit/>
        </w:trPr>
        <w:tc>
          <w:tcPr>
            <w:tcW w:w="1728" w:type="dxa"/>
          </w:tcPr>
          <w:p w14:paraId="01487CCD" w14:textId="77777777" w:rsidR="009576AB" w:rsidRPr="004A49EF" w:rsidRDefault="00A331CF" w:rsidP="00AB1BDD">
            <w:pPr>
              <w:pStyle w:val="Heading5"/>
            </w:pPr>
            <w:r w:rsidRPr="004A49EF">
              <w:t>c</w:t>
            </w:r>
            <w:r w:rsidR="009576AB" w:rsidRPr="004A49EF">
              <w:t xml:space="preserve">.  </w:t>
            </w:r>
            <w:r w:rsidR="00A95B6C" w:rsidRPr="004A49EF">
              <w:t xml:space="preserve">Establishing Presumptive SC for </w:t>
            </w:r>
            <w:r w:rsidR="009576AB" w:rsidRPr="004A49EF">
              <w:t xml:space="preserve">Chronic and Tropical Diseases </w:t>
            </w:r>
          </w:p>
        </w:tc>
        <w:tc>
          <w:tcPr>
            <w:tcW w:w="7740" w:type="dxa"/>
          </w:tcPr>
          <w:p w14:paraId="54E87C5E" w14:textId="77777777" w:rsidR="009576AB" w:rsidRPr="004A49EF" w:rsidRDefault="00843129" w:rsidP="00BC79BE">
            <w:pPr>
              <w:pStyle w:val="BlockText"/>
            </w:pPr>
            <w:r w:rsidRPr="004A49EF">
              <w:t>Use t</w:t>
            </w:r>
            <w:r w:rsidR="009576AB" w:rsidRPr="004A49EF">
              <w:t xml:space="preserve">he table below </w:t>
            </w:r>
            <w:r w:rsidRPr="004A49EF">
              <w:t>to determine</w:t>
            </w:r>
            <w:r w:rsidR="009576AB" w:rsidRPr="004A49EF">
              <w:t xml:space="preserve"> the service requirements the Veteran must meet before VA may establish presumptive </w:t>
            </w:r>
            <w:r w:rsidR="00BC79BE" w:rsidRPr="004A49EF">
              <w:t>SC</w:t>
            </w:r>
            <w:r w:rsidR="009576AB" w:rsidRPr="004A49EF">
              <w:t xml:space="preserve"> for chronic and tropical diseases.</w:t>
            </w:r>
          </w:p>
        </w:tc>
      </w:tr>
    </w:tbl>
    <w:p w14:paraId="487094AE" w14:textId="77777777" w:rsidR="009576AB" w:rsidRPr="004A49EF" w:rsidRDefault="009576AB"/>
    <w:tbl>
      <w:tblPr>
        <w:tblW w:w="0" w:type="auto"/>
        <w:tblInd w:w="1800" w:type="dxa"/>
        <w:tblLayout w:type="fixed"/>
        <w:tblCellMar>
          <w:left w:w="80" w:type="dxa"/>
          <w:right w:w="80" w:type="dxa"/>
        </w:tblCellMar>
        <w:tblLook w:val="0000" w:firstRow="0" w:lastRow="0" w:firstColumn="0" w:lastColumn="0" w:noHBand="0" w:noVBand="0"/>
      </w:tblPr>
      <w:tblGrid>
        <w:gridCol w:w="2578"/>
        <w:gridCol w:w="2491"/>
        <w:gridCol w:w="2491"/>
      </w:tblGrid>
      <w:tr w:rsidR="009576AB" w:rsidRPr="004A49EF" w14:paraId="24707FC0" w14:textId="77777777">
        <w:trPr>
          <w:cantSplit/>
        </w:trPr>
        <w:tc>
          <w:tcPr>
            <w:tcW w:w="2578" w:type="dxa"/>
            <w:tcBorders>
              <w:top w:val="single" w:sz="6" w:space="0" w:color="auto"/>
              <w:left w:val="single" w:sz="6" w:space="0" w:color="auto"/>
              <w:bottom w:val="single" w:sz="6" w:space="0" w:color="auto"/>
              <w:right w:val="single" w:sz="6" w:space="0" w:color="auto"/>
            </w:tcBorders>
          </w:tcPr>
          <w:p w14:paraId="2204B39A" w14:textId="77777777" w:rsidR="009576AB" w:rsidRPr="004A49EF" w:rsidRDefault="009576AB">
            <w:pPr>
              <w:pStyle w:val="TableHeaderText"/>
              <w:jc w:val="left"/>
            </w:pPr>
            <w:r w:rsidRPr="004A49EF">
              <w:t>If the Veteran served during …</w:t>
            </w:r>
          </w:p>
        </w:tc>
        <w:tc>
          <w:tcPr>
            <w:tcW w:w="2491" w:type="dxa"/>
            <w:tcBorders>
              <w:top w:val="single" w:sz="6" w:space="0" w:color="auto"/>
              <w:left w:val="single" w:sz="6" w:space="0" w:color="auto"/>
              <w:bottom w:val="single" w:sz="6" w:space="0" w:color="auto"/>
              <w:right w:val="single" w:sz="6" w:space="0" w:color="auto"/>
            </w:tcBorders>
          </w:tcPr>
          <w:p w14:paraId="296ACD00" w14:textId="77777777" w:rsidR="009576AB" w:rsidRPr="004A49EF" w:rsidRDefault="009576AB">
            <w:pPr>
              <w:pStyle w:val="TableHeaderText"/>
              <w:jc w:val="left"/>
            </w:pPr>
            <w:r w:rsidRPr="004A49EF">
              <w:t>And the disease is a …</w:t>
            </w:r>
          </w:p>
        </w:tc>
        <w:tc>
          <w:tcPr>
            <w:tcW w:w="2491" w:type="dxa"/>
            <w:tcBorders>
              <w:top w:val="single" w:sz="6" w:space="0" w:color="auto"/>
              <w:left w:val="single" w:sz="6" w:space="0" w:color="auto"/>
              <w:bottom w:val="single" w:sz="6" w:space="0" w:color="auto"/>
              <w:right w:val="single" w:sz="6" w:space="0" w:color="auto"/>
            </w:tcBorders>
          </w:tcPr>
          <w:p w14:paraId="0147395E" w14:textId="77777777" w:rsidR="009576AB" w:rsidRPr="004A49EF" w:rsidRDefault="009576AB">
            <w:pPr>
              <w:pStyle w:val="TableHeaderText"/>
              <w:jc w:val="left"/>
            </w:pPr>
            <w:r w:rsidRPr="004A49EF">
              <w:t>Then …</w:t>
            </w:r>
          </w:p>
        </w:tc>
      </w:tr>
      <w:tr w:rsidR="00AB1BDD" w:rsidRPr="004A49EF" w14:paraId="49C32C13" w14:textId="77777777">
        <w:trPr>
          <w:cantSplit/>
        </w:trPr>
        <w:tc>
          <w:tcPr>
            <w:tcW w:w="2578" w:type="dxa"/>
            <w:vMerge w:val="restart"/>
            <w:tcBorders>
              <w:top w:val="single" w:sz="6" w:space="0" w:color="auto"/>
              <w:left w:val="single" w:sz="6" w:space="0" w:color="auto"/>
              <w:right w:val="single" w:sz="6" w:space="0" w:color="auto"/>
            </w:tcBorders>
          </w:tcPr>
          <w:p w14:paraId="0AE1AFDD" w14:textId="77777777" w:rsidR="00AB1BDD" w:rsidRPr="004A49EF" w:rsidRDefault="00AB1BDD" w:rsidP="00843129">
            <w:pPr>
              <w:rPr>
                <w:b/>
              </w:rPr>
            </w:pPr>
            <w:r w:rsidRPr="004A49EF">
              <w:t>peacetime before January 1, 1947</w:t>
            </w:r>
          </w:p>
        </w:tc>
        <w:tc>
          <w:tcPr>
            <w:tcW w:w="2491" w:type="dxa"/>
            <w:tcBorders>
              <w:top w:val="single" w:sz="6" w:space="0" w:color="auto"/>
              <w:left w:val="single" w:sz="6" w:space="0" w:color="auto"/>
              <w:bottom w:val="single" w:sz="6" w:space="0" w:color="auto"/>
              <w:right w:val="single" w:sz="6" w:space="0" w:color="auto"/>
            </w:tcBorders>
          </w:tcPr>
          <w:p w14:paraId="0F24585D" w14:textId="77777777" w:rsidR="00AB1BDD" w:rsidRPr="004A49EF" w:rsidRDefault="00AB1BDD">
            <w:pPr>
              <w:pStyle w:val="TableText"/>
            </w:pPr>
            <w:r w:rsidRPr="004A49EF">
              <w:t xml:space="preserve">chronic disease listed in </w:t>
            </w:r>
            <w:hyperlink r:id="rId68" w:history="1">
              <w:r w:rsidRPr="004A49EF">
                <w:rPr>
                  <w:rStyle w:val="Hyperlink"/>
                </w:rPr>
                <w:t>38 CFR 3.309(a)</w:t>
              </w:r>
            </w:hyperlink>
          </w:p>
        </w:tc>
        <w:tc>
          <w:tcPr>
            <w:tcW w:w="2491" w:type="dxa"/>
            <w:tcBorders>
              <w:top w:val="single" w:sz="6" w:space="0" w:color="auto"/>
              <w:left w:val="single" w:sz="6" w:space="0" w:color="auto"/>
              <w:bottom w:val="single" w:sz="6" w:space="0" w:color="auto"/>
              <w:right w:val="single" w:sz="6" w:space="0" w:color="auto"/>
            </w:tcBorders>
          </w:tcPr>
          <w:p w14:paraId="005EA3EB" w14:textId="5D43EEE7" w:rsidR="00AB1BDD" w:rsidRPr="004A49EF" w:rsidRDefault="00AB1BDD" w:rsidP="004D1295">
            <w:pPr>
              <w:pStyle w:val="TableText"/>
            </w:pPr>
            <w:r w:rsidRPr="004A49EF">
              <w:t xml:space="preserve">there is no provision for presumptive </w:t>
            </w:r>
            <w:r w:rsidR="004D1295" w:rsidRPr="004A49EF">
              <w:t xml:space="preserve">SC </w:t>
            </w:r>
            <w:r w:rsidRPr="004A49EF">
              <w:t xml:space="preserve">under </w:t>
            </w:r>
            <w:hyperlink r:id="rId69" w:history="1">
              <w:r w:rsidRPr="004A49EF">
                <w:rPr>
                  <w:rStyle w:val="Hyperlink"/>
                </w:rPr>
                <w:t>38 CFR 3.308(a).</w:t>
              </w:r>
            </w:hyperlink>
          </w:p>
        </w:tc>
      </w:tr>
      <w:tr w:rsidR="00AB1BDD" w:rsidRPr="004A49EF" w14:paraId="61504BC9" w14:textId="77777777">
        <w:trPr>
          <w:cantSplit/>
        </w:trPr>
        <w:tc>
          <w:tcPr>
            <w:tcW w:w="2578" w:type="dxa"/>
            <w:vMerge/>
            <w:tcBorders>
              <w:left w:val="single" w:sz="6" w:space="0" w:color="auto"/>
              <w:right w:val="single" w:sz="6" w:space="0" w:color="auto"/>
            </w:tcBorders>
          </w:tcPr>
          <w:p w14:paraId="5F7EB1DA" w14:textId="77777777" w:rsidR="00AB1BDD" w:rsidRPr="004A49EF" w:rsidRDefault="00AB1BDD" w:rsidP="00843129"/>
        </w:tc>
        <w:tc>
          <w:tcPr>
            <w:tcW w:w="2491" w:type="dxa"/>
            <w:tcBorders>
              <w:top w:val="single" w:sz="6" w:space="0" w:color="auto"/>
              <w:left w:val="single" w:sz="6" w:space="0" w:color="auto"/>
              <w:bottom w:val="single" w:sz="6" w:space="0" w:color="auto"/>
              <w:right w:val="single" w:sz="6" w:space="0" w:color="auto"/>
            </w:tcBorders>
          </w:tcPr>
          <w:p w14:paraId="1A79D9AE" w14:textId="77777777" w:rsidR="00AB1BDD" w:rsidRPr="004A49EF" w:rsidRDefault="00AB1BDD">
            <w:pPr>
              <w:pStyle w:val="TableText"/>
            </w:pPr>
            <w:r w:rsidRPr="004A49EF">
              <w:t xml:space="preserve">tropical disease listed in </w:t>
            </w:r>
            <w:hyperlink r:id="rId70" w:history="1">
              <w:r w:rsidRPr="004A49EF">
                <w:rPr>
                  <w:rStyle w:val="Hyperlink"/>
                </w:rPr>
                <w:t>38 CFR 3.309(b)</w:t>
              </w:r>
            </w:hyperlink>
          </w:p>
        </w:tc>
        <w:tc>
          <w:tcPr>
            <w:tcW w:w="2491" w:type="dxa"/>
            <w:tcBorders>
              <w:top w:val="single" w:sz="6" w:space="0" w:color="auto"/>
              <w:left w:val="single" w:sz="6" w:space="0" w:color="auto"/>
              <w:bottom w:val="single" w:sz="6" w:space="0" w:color="auto"/>
              <w:right w:val="single" w:sz="6" w:space="0" w:color="auto"/>
            </w:tcBorders>
          </w:tcPr>
          <w:p w14:paraId="4FA0A7C0" w14:textId="77777777" w:rsidR="00AB1BDD" w:rsidRPr="004A49EF" w:rsidRDefault="00AB1BDD">
            <w:pPr>
              <w:pStyle w:val="TableText"/>
            </w:pPr>
            <w:r w:rsidRPr="004A49EF">
              <w:t xml:space="preserve">the Veteran must have had active continuous service for six months or more under </w:t>
            </w:r>
            <w:hyperlink r:id="rId71" w:history="1">
              <w:r w:rsidRPr="004A49EF">
                <w:rPr>
                  <w:rStyle w:val="Hyperlink"/>
                </w:rPr>
                <w:t>38 CFR 3.308(b).</w:t>
              </w:r>
            </w:hyperlink>
          </w:p>
        </w:tc>
      </w:tr>
      <w:tr w:rsidR="009576AB" w:rsidRPr="004A49EF" w14:paraId="32767BC3" w14:textId="77777777">
        <w:trPr>
          <w:cantSplit/>
        </w:trPr>
        <w:tc>
          <w:tcPr>
            <w:tcW w:w="2578" w:type="dxa"/>
            <w:tcBorders>
              <w:top w:val="single" w:sz="6" w:space="0" w:color="auto"/>
              <w:left w:val="single" w:sz="6" w:space="0" w:color="auto"/>
              <w:bottom w:val="single" w:sz="6" w:space="0" w:color="auto"/>
              <w:right w:val="single" w:sz="6" w:space="0" w:color="auto"/>
            </w:tcBorders>
          </w:tcPr>
          <w:p w14:paraId="60785275" w14:textId="77777777" w:rsidR="009576AB" w:rsidRPr="004A49EF" w:rsidRDefault="009576AB" w:rsidP="005C0EF0">
            <w:pPr>
              <w:pStyle w:val="BulletText1"/>
              <w:tabs>
                <w:tab w:val="clear" w:pos="443"/>
                <w:tab w:val="num" w:pos="180"/>
              </w:tabs>
              <w:ind w:left="180"/>
            </w:pPr>
            <w:r w:rsidRPr="004A49EF">
              <w:t>peacetime on or after January 1, 1947, or</w:t>
            </w:r>
          </w:p>
          <w:p w14:paraId="030036B0" w14:textId="77777777" w:rsidR="009576AB" w:rsidRPr="004A49EF" w:rsidRDefault="009576AB" w:rsidP="005C0EF0">
            <w:pPr>
              <w:pStyle w:val="BulletText1"/>
              <w:tabs>
                <w:tab w:val="clear" w:pos="443"/>
                <w:tab w:val="num" w:pos="180"/>
              </w:tabs>
              <w:ind w:left="180"/>
            </w:pPr>
            <w:r w:rsidRPr="004A49EF">
              <w:t>wartime</w:t>
            </w:r>
          </w:p>
        </w:tc>
        <w:tc>
          <w:tcPr>
            <w:tcW w:w="2491" w:type="dxa"/>
            <w:tcBorders>
              <w:top w:val="single" w:sz="6" w:space="0" w:color="auto"/>
              <w:left w:val="single" w:sz="6" w:space="0" w:color="auto"/>
              <w:bottom w:val="single" w:sz="6" w:space="0" w:color="auto"/>
              <w:right w:val="single" w:sz="6" w:space="0" w:color="auto"/>
            </w:tcBorders>
          </w:tcPr>
          <w:p w14:paraId="3A3EABCB" w14:textId="77777777" w:rsidR="009576AB" w:rsidRPr="004A49EF" w:rsidRDefault="009576AB" w:rsidP="005C0EF0">
            <w:pPr>
              <w:pStyle w:val="BulletText1"/>
              <w:tabs>
                <w:tab w:val="clear" w:pos="443"/>
                <w:tab w:val="num" w:pos="212"/>
              </w:tabs>
              <w:ind w:left="212"/>
            </w:pPr>
            <w:r w:rsidRPr="004A49EF">
              <w:t xml:space="preserve">chronic disease listed in </w:t>
            </w:r>
            <w:hyperlink r:id="rId72" w:history="1">
              <w:r w:rsidRPr="004A49EF">
                <w:rPr>
                  <w:rStyle w:val="Hyperlink"/>
                </w:rPr>
                <w:t>38 CFR 3.309(a),</w:t>
              </w:r>
            </w:hyperlink>
            <w:r w:rsidRPr="004A49EF">
              <w:t xml:space="preserve"> or</w:t>
            </w:r>
          </w:p>
          <w:p w14:paraId="11516AE2" w14:textId="77777777" w:rsidR="009576AB" w:rsidRPr="004A49EF" w:rsidRDefault="009576AB" w:rsidP="005C0EF0">
            <w:pPr>
              <w:pStyle w:val="BulletText1"/>
              <w:tabs>
                <w:tab w:val="clear" w:pos="443"/>
                <w:tab w:val="num" w:pos="212"/>
              </w:tabs>
              <w:ind w:left="212"/>
            </w:pPr>
            <w:r w:rsidRPr="004A49EF">
              <w:t xml:space="preserve">tropical disease listed in </w:t>
            </w:r>
            <w:hyperlink r:id="rId73" w:history="1">
              <w:r w:rsidRPr="004A49EF">
                <w:rPr>
                  <w:rStyle w:val="Hyperlink"/>
                </w:rPr>
                <w:t>38 CFR 3.309(b)</w:t>
              </w:r>
            </w:hyperlink>
          </w:p>
        </w:tc>
        <w:tc>
          <w:tcPr>
            <w:tcW w:w="2491" w:type="dxa"/>
            <w:tcBorders>
              <w:top w:val="single" w:sz="6" w:space="0" w:color="auto"/>
              <w:left w:val="single" w:sz="6" w:space="0" w:color="auto"/>
              <w:bottom w:val="single" w:sz="6" w:space="0" w:color="auto"/>
              <w:right w:val="single" w:sz="6" w:space="0" w:color="auto"/>
            </w:tcBorders>
          </w:tcPr>
          <w:p w14:paraId="7B7E2C4D" w14:textId="77777777" w:rsidR="009576AB" w:rsidRPr="004A49EF" w:rsidRDefault="009576AB">
            <w:pPr>
              <w:pStyle w:val="TableText"/>
            </w:pPr>
            <w:r w:rsidRPr="004A49EF">
              <w:t xml:space="preserve">the Veteran must have had active, continuous service of 90 days or more under </w:t>
            </w:r>
            <w:hyperlink r:id="rId74" w:history="1">
              <w:r w:rsidRPr="004A49EF">
                <w:rPr>
                  <w:rStyle w:val="Hyperlink"/>
                </w:rPr>
                <w:t>38 CFR 3.307.</w:t>
              </w:r>
            </w:hyperlink>
          </w:p>
        </w:tc>
      </w:tr>
    </w:tbl>
    <w:p w14:paraId="0676B000" w14:textId="77777777" w:rsidR="009576AB" w:rsidRPr="004A49EF" w:rsidRDefault="009576AB"/>
    <w:tbl>
      <w:tblPr>
        <w:tblW w:w="0" w:type="auto"/>
        <w:tblInd w:w="1728" w:type="dxa"/>
        <w:tblLayout w:type="fixed"/>
        <w:tblLook w:val="0000" w:firstRow="0" w:lastRow="0" w:firstColumn="0" w:lastColumn="0" w:noHBand="0" w:noVBand="0"/>
      </w:tblPr>
      <w:tblGrid>
        <w:gridCol w:w="7740"/>
      </w:tblGrid>
      <w:tr w:rsidR="009576AB" w:rsidRPr="004A49EF" w14:paraId="53F8764B" w14:textId="77777777">
        <w:trPr>
          <w:cantSplit/>
        </w:trPr>
        <w:tc>
          <w:tcPr>
            <w:tcW w:w="7740" w:type="dxa"/>
          </w:tcPr>
          <w:p w14:paraId="124AA068" w14:textId="5E8AEFD6" w:rsidR="009576AB" w:rsidRPr="004A49EF" w:rsidRDefault="009576AB" w:rsidP="00F75AFF">
            <w:pPr>
              <w:pStyle w:val="NoteText"/>
            </w:pPr>
            <w:r w:rsidRPr="004A49EF">
              <w:rPr>
                <w:b/>
                <w:i/>
              </w:rPr>
              <w:t>Not</w:t>
            </w:r>
            <w:r w:rsidR="00E903E7" w:rsidRPr="004A49EF">
              <w:rPr>
                <w:b/>
                <w:i/>
              </w:rPr>
              <w:t>e</w:t>
            </w:r>
            <w:r w:rsidRPr="004A49EF">
              <w:t xml:space="preserve">:  </w:t>
            </w:r>
            <w:r w:rsidR="0075754F" w:rsidRPr="004A49EF">
              <w:t>In</w:t>
            </w:r>
            <w:r w:rsidR="00F67F4C" w:rsidRPr="004A49EF">
              <w:t xml:space="preserve"> claims based o</w:t>
            </w:r>
            <w:r w:rsidR="0075754F" w:rsidRPr="004A49EF">
              <w:t>n a period of active duty for training, t</w:t>
            </w:r>
            <w:r w:rsidR="003E4B48" w:rsidRPr="004A49EF">
              <w:t xml:space="preserve">here is no </w:t>
            </w:r>
            <w:r w:rsidR="00E903E7" w:rsidRPr="004A49EF">
              <w:t xml:space="preserve">presumption of </w:t>
            </w:r>
            <w:r w:rsidR="00DA3DFF" w:rsidRPr="004A49EF">
              <w:t>SC</w:t>
            </w:r>
            <w:r w:rsidR="00E903E7" w:rsidRPr="004A49EF">
              <w:t xml:space="preserve"> for chronic diseases under </w:t>
            </w:r>
            <w:hyperlink r:id="rId75" w:history="1">
              <w:r w:rsidR="00D46FC4" w:rsidRPr="004A49EF">
                <w:rPr>
                  <w:rStyle w:val="Hyperlink"/>
                </w:rPr>
                <w:t>38 CFR 3.309(a)</w:t>
              </w:r>
            </w:hyperlink>
            <w:r w:rsidR="00D46FC4" w:rsidRPr="004A49EF">
              <w:t xml:space="preserve"> </w:t>
            </w:r>
            <w:r w:rsidR="003E4B48" w:rsidRPr="004A49EF">
              <w:t>or</w:t>
            </w:r>
            <w:r w:rsidR="00D46FC4" w:rsidRPr="004A49EF">
              <w:t xml:space="preserve"> tropical diseases under </w:t>
            </w:r>
            <w:hyperlink r:id="rId76" w:history="1">
              <w:r w:rsidR="00D46FC4" w:rsidRPr="004A49EF">
                <w:rPr>
                  <w:rStyle w:val="Hyperlink"/>
                </w:rPr>
                <w:t>38 CFR 3.309(b)</w:t>
              </w:r>
            </w:hyperlink>
            <w:r w:rsidR="00727405" w:rsidRPr="004A49EF">
              <w:t xml:space="preserve"> (</w:t>
            </w:r>
            <w:r w:rsidR="00E825F4" w:rsidRPr="004A49EF">
              <w:t>s</w:t>
            </w:r>
            <w:r w:rsidR="00523EF5" w:rsidRPr="004A49EF">
              <w:t xml:space="preserve">ee </w:t>
            </w:r>
            <w:hyperlink r:id="rId77" w:anchor="bms" w:history="1">
              <w:r w:rsidR="00DE1554" w:rsidRPr="004A49EF">
                <w:rPr>
                  <w:rStyle w:val="Hyperlink"/>
                  <w:i/>
                </w:rPr>
                <w:t>Smith (Valerie Y.) v. Shinseki</w:t>
              </w:r>
            </w:hyperlink>
            <w:r w:rsidR="00523EF5" w:rsidRPr="004A49EF">
              <w:rPr>
                <w:i/>
              </w:rPr>
              <w:t>,</w:t>
            </w:r>
            <w:r w:rsidR="005C0F54" w:rsidRPr="004A49EF">
              <w:t xml:space="preserve"> 24 </w:t>
            </w:r>
            <w:proofErr w:type="spellStart"/>
            <w:r w:rsidR="005C0F54" w:rsidRPr="004A49EF">
              <w:t>Vet.App</w:t>
            </w:r>
            <w:proofErr w:type="spellEnd"/>
            <w:r w:rsidR="005C0F54" w:rsidRPr="004A49EF">
              <w:t>. 40, 44 (2010)</w:t>
            </w:r>
            <w:r w:rsidR="00E825F4" w:rsidRPr="004A49EF">
              <w:t>)</w:t>
            </w:r>
            <w:r w:rsidRPr="004A49EF">
              <w:t>.</w:t>
            </w:r>
          </w:p>
        </w:tc>
      </w:tr>
    </w:tbl>
    <w:p w14:paraId="7DDF0424" w14:textId="6621B599" w:rsidR="009576AB" w:rsidRPr="004A49EF" w:rsidRDefault="009576AB" w:rsidP="00D46FC4">
      <w:pPr>
        <w:pStyle w:val="BlockLine"/>
      </w:pPr>
    </w:p>
    <w:tbl>
      <w:tblPr>
        <w:tblW w:w="0" w:type="auto"/>
        <w:tblLayout w:type="fixed"/>
        <w:tblLook w:val="0000" w:firstRow="0" w:lastRow="0" w:firstColumn="0" w:lastColumn="0" w:noHBand="0" w:noVBand="0"/>
      </w:tblPr>
      <w:tblGrid>
        <w:gridCol w:w="1728"/>
        <w:gridCol w:w="7740"/>
      </w:tblGrid>
      <w:tr w:rsidR="009576AB" w:rsidRPr="004A49EF" w14:paraId="34F75942" w14:textId="77777777">
        <w:trPr>
          <w:cantSplit/>
        </w:trPr>
        <w:tc>
          <w:tcPr>
            <w:tcW w:w="1728" w:type="dxa"/>
          </w:tcPr>
          <w:p w14:paraId="6FAEE4AB" w14:textId="134EBA07" w:rsidR="009576AB" w:rsidRPr="004A49EF" w:rsidRDefault="0083547F" w:rsidP="004D1295">
            <w:pPr>
              <w:pStyle w:val="Heading5"/>
            </w:pPr>
            <w:r w:rsidRPr="004A49EF">
              <w:t>d</w:t>
            </w:r>
            <w:r w:rsidR="009576AB" w:rsidRPr="004A49EF">
              <w:t xml:space="preserve">.  </w:t>
            </w:r>
            <w:r w:rsidR="00A95B6C" w:rsidRPr="004A49EF">
              <w:t xml:space="preserve">Establishing Presumptive SC for </w:t>
            </w:r>
            <w:r w:rsidR="009576AB" w:rsidRPr="004A49EF">
              <w:t>Radiogenic Diseases</w:t>
            </w:r>
            <w:r w:rsidR="00D95B6C" w:rsidRPr="004A49EF">
              <w:t xml:space="preserve"> Under 38 CFR 3.309(d)</w:t>
            </w:r>
          </w:p>
        </w:tc>
        <w:tc>
          <w:tcPr>
            <w:tcW w:w="7740" w:type="dxa"/>
          </w:tcPr>
          <w:p w14:paraId="23875D3F" w14:textId="49C5CC6F" w:rsidR="009576AB" w:rsidRPr="004A49EF" w:rsidRDefault="009576AB" w:rsidP="0013092C">
            <w:pPr>
              <w:pStyle w:val="BlockText"/>
            </w:pPr>
            <w:r w:rsidRPr="004A49EF">
              <w:t xml:space="preserve">In order to be eligible for presumptive </w:t>
            </w:r>
            <w:r w:rsidR="00445722" w:rsidRPr="004A49EF">
              <w:t>SC</w:t>
            </w:r>
            <w:r w:rsidRPr="004A49EF">
              <w:t xml:space="preserve"> for radiogenic diseases under </w:t>
            </w:r>
            <w:hyperlink r:id="rId78" w:history="1">
              <w:r w:rsidR="00F51D87" w:rsidRPr="004A49EF">
                <w:rPr>
                  <w:rStyle w:val="Hyperlink"/>
                </w:rPr>
                <w:t>38 CFR 3.309(d)(3)(i)</w:t>
              </w:r>
            </w:hyperlink>
            <w:r w:rsidR="00F51D87" w:rsidRPr="004A49EF">
              <w:t xml:space="preserve">, </w:t>
            </w:r>
            <w:r w:rsidRPr="004A49EF">
              <w:t>a Veteran must have participated in radiation-risk activities during a period of</w:t>
            </w:r>
            <w:r w:rsidR="00473193" w:rsidRPr="004A49EF">
              <w:t xml:space="preserve"> </w:t>
            </w:r>
          </w:p>
          <w:p w14:paraId="1B110DBC" w14:textId="77777777" w:rsidR="009576AB" w:rsidRPr="004A49EF" w:rsidRDefault="009576AB" w:rsidP="0013092C">
            <w:pPr>
              <w:pStyle w:val="BlockText"/>
            </w:pPr>
          </w:p>
          <w:p w14:paraId="7848A296" w14:textId="77777777" w:rsidR="009576AB" w:rsidRPr="004A49EF" w:rsidRDefault="009576AB" w:rsidP="005C0EF0">
            <w:pPr>
              <w:pStyle w:val="BulletText1"/>
              <w:tabs>
                <w:tab w:val="clear" w:pos="443"/>
                <w:tab w:val="num" w:pos="72"/>
              </w:tabs>
              <w:ind w:left="162"/>
            </w:pPr>
            <w:r w:rsidRPr="004A49EF">
              <w:t>active duty</w:t>
            </w:r>
          </w:p>
          <w:p w14:paraId="159244AA" w14:textId="77777777" w:rsidR="009576AB" w:rsidRPr="004A49EF" w:rsidRDefault="009576AB" w:rsidP="005C0EF0">
            <w:pPr>
              <w:pStyle w:val="BulletText1"/>
              <w:tabs>
                <w:tab w:val="clear" w:pos="443"/>
                <w:tab w:val="num" w:pos="72"/>
              </w:tabs>
              <w:ind w:left="162"/>
            </w:pPr>
            <w:r w:rsidRPr="004A49EF">
              <w:t>active duty for training, or</w:t>
            </w:r>
          </w:p>
          <w:p w14:paraId="2760DE17" w14:textId="77777777" w:rsidR="009576AB" w:rsidRPr="004A49EF" w:rsidRDefault="009576AB" w:rsidP="005C0EF0">
            <w:pPr>
              <w:pStyle w:val="BulletText1"/>
              <w:tabs>
                <w:tab w:val="clear" w:pos="443"/>
                <w:tab w:val="num" w:pos="72"/>
              </w:tabs>
              <w:ind w:left="162"/>
            </w:pPr>
            <w:r w:rsidRPr="004A49EF">
              <w:t>inactive duty training.</w:t>
            </w:r>
          </w:p>
          <w:p w14:paraId="4A34D1E6" w14:textId="77777777" w:rsidR="009576AB" w:rsidRPr="004A49EF" w:rsidRDefault="009576AB">
            <w:pPr>
              <w:pStyle w:val="BlockText"/>
            </w:pPr>
          </w:p>
          <w:p w14:paraId="67655193" w14:textId="5E9DEE12" w:rsidR="009576AB" w:rsidRPr="004A49EF" w:rsidRDefault="00445722" w:rsidP="00A20AE5">
            <w:pPr>
              <w:pStyle w:val="BlockText"/>
            </w:pPr>
            <w:r w:rsidRPr="004A49EF">
              <w:rPr>
                <w:b/>
                <w:i/>
              </w:rPr>
              <w:t>Note</w:t>
            </w:r>
            <w:r w:rsidRPr="004A49EF">
              <w:t xml:space="preserve">:  </w:t>
            </w:r>
            <w:r w:rsidR="00CB0BF8" w:rsidRPr="004A49EF">
              <w:t>S</w:t>
            </w:r>
            <w:r w:rsidR="004D1295" w:rsidRPr="004A49EF">
              <w:t xml:space="preserve">C </w:t>
            </w:r>
            <w:r w:rsidR="00CB0BF8" w:rsidRPr="004A49EF">
              <w:t xml:space="preserve">may not be awarded under the provisions of </w:t>
            </w:r>
            <w:hyperlink r:id="rId79" w:history="1">
              <w:r w:rsidR="00CB0BF8" w:rsidRPr="004A49EF">
                <w:rPr>
                  <w:rStyle w:val="Hyperlink"/>
                </w:rPr>
                <w:t>38 CFR 3.309(d)</w:t>
              </w:r>
            </w:hyperlink>
            <w:r w:rsidR="00CB0BF8" w:rsidRPr="004A49EF">
              <w:t xml:space="preserve"> or </w:t>
            </w:r>
            <w:hyperlink r:id="rId80" w:history="1">
              <w:r w:rsidR="00CB0BF8" w:rsidRPr="004A49EF">
                <w:rPr>
                  <w:rStyle w:val="Hyperlink"/>
                </w:rPr>
                <w:t>38 CFR 3.311</w:t>
              </w:r>
            </w:hyperlink>
            <w:r w:rsidR="00CB0BF8" w:rsidRPr="004A49EF">
              <w:t xml:space="preserve"> for a listed cancer if it is a metastasis of a primary cancer that has not been </w:t>
            </w:r>
            <w:r w:rsidR="00A20AE5" w:rsidRPr="004A49EF">
              <w:t>SC</w:t>
            </w:r>
            <w:r w:rsidR="00CB0BF8" w:rsidRPr="004A49EF">
              <w:t xml:space="preserve"> on the basis of exposure to ionizing radiation under either of those regulations.  </w:t>
            </w:r>
          </w:p>
        </w:tc>
      </w:tr>
    </w:tbl>
    <w:p w14:paraId="1027FF30" w14:textId="59F5A23F" w:rsidR="00F204FA" w:rsidRPr="004A49EF" w:rsidRDefault="00F204FA" w:rsidP="00F204FA">
      <w:pPr>
        <w:pStyle w:val="BlockLine"/>
      </w:pPr>
    </w:p>
    <w:p w14:paraId="69758F7B" w14:textId="35531869" w:rsidR="009576AB" w:rsidRPr="004A49EF" w:rsidRDefault="009576AB">
      <w:pPr>
        <w:pStyle w:val="Heading4"/>
      </w:pPr>
      <w:r w:rsidRPr="004A49EF">
        <w:br w:type="page"/>
      </w:r>
      <w:r w:rsidR="00F53EA0" w:rsidRPr="004A49EF">
        <w:lastRenderedPageBreak/>
        <w:t>3</w:t>
      </w:r>
      <w:r w:rsidRPr="004A49EF">
        <w:t>.  Determining Service Incurrence of an Injury</w:t>
      </w:r>
    </w:p>
    <w:p w14:paraId="5E0E409E" w14:textId="3D5F4CAF"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27E72F38" w14:textId="77777777">
        <w:trPr>
          <w:cantSplit/>
        </w:trPr>
        <w:tc>
          <w:tcPr>
            <w:tcW w:w="1728" w:type="dxa"/>
          </w:tcPr>
          <w:p w14:paraId="63D1CC8E" w14:textId="77777777" w:rsidR="009576AB" w:rsidRPr="004A49EF" w:rsidRDefault="009576AB">
            <w:pPr>
              <w:pStyle w:val="Heading5"/>
            </w:pPr>
            <w:r w:rsidRPr="004A49EF">
              <w:t>Introduction</w:t>
            </w:r>
          </w:p>
        </w:tc>
        <w:tc>
          <w:tcPr>
            <w:tcW w:w="7740" w:type="dxa"/>
          </w:tcPr>
          <w:p w14:paraId="02A157A7" w14:textId="77777777" w:rsidR="009576AB" w:rsidRPr="004A49EF" w:rsidRDefault="009576AB">
            <w:pPr>
              <w:pStyle w:val="BlockText"/>
            </w:pPr>
            <w:r w:rsidRPr="004A49EF">
              <w:t>This topic contains information on determining service incurrence of an injury, including</w:t>
            </w:r>
          </w:p>
          <w:p w14:paraId="02AC6302" w14:textId="77777777" w:rsidR="009576AB" w:rsidRPr="004A49EF" w:rsidRDefault="009576AB">
            <w:pPr>
              <w:pStyle w:val="BlockText"/>
            </w:pPr>
          </w:p>
          <w:p w14:paraId="2A5F0631" w14:textId="77777777" w:rsidR="009576AB" w:rsidRPr="004A49EF" w:rsidRDefault="009576AB" w:rsidP="005C0EF0">
            <w:pPr>
              <w:pStyle w:val="BulletText1"/>
              <w:tabs>
                <w:tab w:val="clear" w:pos="443"/>
                <w:tab w:val="num" w:pos="162"/>
              </w:tabs>
              <w:ind w:left="162"/>
            </w:pPr>
            <w:r w:rsidRPr="004A49EF">
              <w:t>substantiating the circumstances of injuries</w:t>
            </w:r>
          </w:p>
          <w:p w14:paraId="1A7D54B3" w14:textId="77777777" w:rsidR="009576AB" w:rsidRPr="004A49EF" w:rsidRDefault="009576AB" w:rsidP="005C0EF0">
            <w:pPr>
              <w:pStyle w:val="BulletText1"/>
              <w:tabs>
                <w:tab w:val="clear" w:pos="443"/>
                <w:tab w:val="num" w:pos="162"/>
              </w:tabs>
              <w:ind w:left="162"/>
            </w:pPr>
            <w:r w:rsidRPr="004A49EF">
              <w:t>evaluating evidence of scars</w:t>
            </w:r>
          </w:p>
          <w:p w14:paraId="55270D20" w14:textId="4FDC4092" w:rsidR="009576AB" w:rsidRPr="004A49EF" w:rsidRDefault="00A36610" w:rsidP="005C0EF0">
            <w:pPr>
              <w:pStyle w:val="BulletText1"/>
              <w:tabs>
                <w:tab w:val="clear" w:pos="443"/>
                <w:tab w:val="num" w:pos="162"/>
              </w:tabs>
              <w:ind w:left="162"/>
            </w:pPr>
            <w:r w:rsidRPr="004A49EF">
              <w:t xml:space="preserve">processing </w:t>
            </w:r>
            <w:r w:rsidR="009576AB" w:rsidRPr="004A49EF">
              <w:t xml:space="preserve">examination reports of scars </w:t>
            </w:r>
          </w:p>
          <w:p w14:paraId="562F6402" w14:textId="77777777" w:rsidR="009576AB" w:rsidRPr="004A49EF" w:rsidRDefault="009576AB" w:rsidP="005C0EF0">
            <w:pPr>
              <w:pStyle w:val="BulletText1"/>
              <w:tabs>
                <w:tab w:val="clear" w:pos="443"/>
                <w:tab w:val="num" w:pos="162"/>
              </w:tabs>
              <w:ind w:left="162"/>
            </w:pPr>
            <w:r w:rsidRPr="004A49EF">
              <w:t>considering evidence for combat-related disabilities, and</w:t>
            </w:r>
          </w:p>
          <w:p w14:paraId="731C8354" w14:textId="6BC32418" w:rsidR="009576AB" w:rsidRPr="004A49EF" w:rsidRDefault="009576AB" w:rsidP="005C0EF0">
            <w:pPr>
              <w:pStyle w:val="BulletText1"/>
              <w:tabs>
                <w:tab w:val="clear" w:pos="443"/>
                <w:tab w:val="num" w:pos="162"/>
              </w:tabs>
              <w:ind w:left="162"/>
            </w:pPr>
            <w:proofErr w:type="gramStart"/>
            <w:r w:rsidRPr="004A49EF">
              <w:t>definition</w:t>
            </w:r>
            <w:proofErr w:type="gramEnd"/>
            <w:r w:rsidRPr="004A49EF">
              <w:t xml:space="preserve"> of satisfactory evidence.</w:t>
            </w:r>
          </w:p>
        </w:tc>
      </w:tr>
    </w:tbl>
    <w:p w14:paraId="6B0B3B00" w14:textId="77777777"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1252CD81" w14:textId="77777777">
        <w:trPr>
          <w:cantSplit/>
        </w:trPr>
        <w:tc>
          <w:tcPr>
            <w:tcW w:w="1728" w:type="dxa"/>
          </w:tcPr>
          <w:p w14:paraId="28E37007" w14:textId="77777777" w:rsidR="009576AB" w:rsidRPr="004A49EF" w:rsidRDefault="009576AB">
            <w:pPr>
              <w:pStyle w:val="Heading5"/>
            </w:pPr>
            <w:r w:rsidRPr="004A49EF">
              <w:t>Change Date</w:t>
            </w:r>
          </w:p>
        </w:tc>
        <w:tc>
          <w:tcPr>
            <w:tcW w:w="7740" w:type="dxa"/>
          </w:tcPr>
          <w:p w14:paraId="384D8E24" w14:textId="384C9AB7" w:rsidR="009576AB" w:rsidRPr="004A49EF" w:rsidRDefault="00F4369A">
            <w:pPr>
              <w:pStyle w:val="BlockText"/>
            </w:pPr>
            <w:r w:rsidRPr="004A49EF">
              <w:t>January 20, 2016</w:t>
            </w:r>
          </w:p>
        </w:tc>
      </w:tr>
    </w:tbl>
    <w:p w14:paraId="0DA279D9" w14:textId="0C0DB603"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4707FBDB" w14:textId="77777777">
        <w:trPr>
          <w:cantSplit/>
        </w:trPr>
        <w:tc>
          <w:tcPr>
            <w:tcW w:w="1728" w:type="dxa"/>
          </w:tcPr>
          <w:p w14:paraId="2D294536" w14:textId="77777777" w:rsidR="009576AB" w:rsidRPr="004A49EF" w:rsidRDefault="009576AB">
            <w:pPr>
              <w:pStyle w:val="Heading5"/>
            </w:pPr>
            <w:r w:rsidRPr="004A49EF">
              <w:t>a.  Substantiating the Circumstances of Injuries</w:t>
            </w:r>
          </w:p>
        </w:tc>
        <w:tc>
          <w:tcPr>
            <w:tcW w:w="7740" w:type="dxa"/>
          </w:tcPr>
          <w:p w14:paraId="2350F81E" w14:textId="4FA61301" w:rsidR="009576AB" w:rsidRPr="004A49EF" w:rsidRDefault="00A3296C">
            <w:pPr>
              <w:pStyle w:val="BlockText"/>
            </w:pPr>
            <w:r w:rsidRPr="004A49EF">
              <w:t>The development activity and/or rating activity</w:t>
            </w:r>
            <w:r w:rsidR="009576AB" w:rsidRPr="004A49EF">
              <w:t xml:space="preserve"> must review the evidence of record, to include personnel </w:t>
            </w:r>
            <w:r w:rsidR="00A36610" w:rsidRPr="004A49EF">
              <w:t xml:space="preserve">records </w:t>
            </w:r>
            <w:r w:rsidR="009576AB" w:rsidRPr="004A49EF">
              <w:t>and service treatment records</w:t>
            </w:r>
            <w:r w:rsidR="00DA18A2" w:rsidRPr="004A49EF">
              <w:t xml:space="preserve"> (STRs)</w:t>
            </w:r>
            <w:r w:rsidR="009576AB" w:rsidRPr="004A49EF">
              <w:t>, to ensure the injury occurred during service and in the line</w:t>
            </w:r>
            <w:r w:rsidRPr="004A49EF">
              <w:t xml:space="preserve"> </w:t>
            </w:r>
            <w:r w:rsidR="009576AB" w:rsidRPr="004A49EF">
              <w:t>of</w:t>
            </w:r>
            <w:r w:rsidRPr="004A49EF">
              <w:t xml:space="preserve"> </w:t>
            </w:r>
            <w:r w:rsidR="009576AB" w:rsidRPr="004A49EF">
              <w:t>duty</w:t>
            </w:r>
            <w:r w:rsidR="00DA18A2" w:rsidRPr="004A49EF">
              <w:t xml:space="preserve"> (LOD)</w:t>
            </w:r>
            <w:r w:rsidR="009576AB" w:rsidRPr="004A49EF">
              <w:t>.</w:t>
            </w:r>
          </w:p>
          <w:p w14:paraId="744B6605" w14:textId="77777777" w:rsidR="009576AB" w:rsidRPr="004A49EF" w:rsidRDefault="009576AB">
            <w:pPr>
              <w:pStyle w:val="BlockText"/>
            </w:pPr>
          </w:p>
          <w:p w14:paraId="33BFB713" w14:textId="401192CC" w:rsidR="00961D81" w:rsidRPr="004A49EF" w:rsidRDefault="009576AB" w:rsidP="00602B95">
            <w:pPr>
              <w:pStyle w:val="BlockText"/>
            </w:pPr>
            <w:r w:rsidRPr="004A49EF">
              <w:rPr>
                <w:b/>
                <w:i/>
              </w:rPr>
              <w:t>Rationale</w:t>
            </w:r>
            <w:r w:rsidRPr="004A49EF">
              <w:t>:  The results of injuries, including gunshot wounds acquired before or after service, are frequently encountered</w:t>
            </w:r>
            <w:r w:rsidR="00796CBE" w:rsidRPr="004A49EF">
              <w:t xml:space="preserve"> and would not be granted </w:t>
            </w:r>
            <w:r w:rsidR="00A3296C" w:rsidRPr="004A49EF">
              <w:t>SC</w:t>
            </w:r>
            <w:r w:rsidR="00796CBE" w:rsidRPr="004A49EF">
              <w:t xml:space="preserve"> as they are not injuries that occurred during service or in the LOD</w:t>
            </w:r>
            <w:r w:rsidRPr="004A49EF">
              <w:t>.</w:t>
            </w:r>
            <w:r w:rsidR="00602B95" w:rsidRPr="004A49EF">
              <w:t xml:space="preserve"> </w:t>
            </w:r>
            <w:r w:rsidR="00961D81" w:rsidRPr="004A49EF">
              <w:t xml:space="preserve"> </w:t>
            </w:r>
          </w:p>
          <w:p w14:paraId="3658A286" w14:textId="28AF1260" w:rsidR="00961D81" w:rsidRPr="004A49EF" w:rsidRDefault="00961D81">
            <w:pPr>
              <w:pStyle w:val="BlockText"/>
            </w:pPr>
            <w:r w:rsidRPr="004A49EF">
              <w:t xml:space="preserve">  </w:t>
            </w:r>
          </w:p>
          <w:p w14:paraId="7BE32A2A" w14:textId="77777777" w:rsidR="00EB27F1" w:rsidRPr="004A49EF" w:rsidRDefault="00EB27F1">
            <w:pPr>
              <w:pStyle w:val="BlockText"/>
            </w:pPr>
            <w:r w:rsidRPr="004A49EF">
              <w:rPr>
                <w:b/>
                <w:i/>
              </w:rPr>
              <w:t>References</w:t>
            </w:r>
            <w:r w:rsidRPr="004A49EF">
              <w:t>:  For</w:t>
            </w:r>
            <w:r w:rsidR="00357A69" w:rsidRPr="004A49EF">
              <w:t xml:space="preserve"> more</w:t>
            </w:r>
            <w:r w:rsidRPr="004A49EF">
              <w:t xml:space="preserve"> information on </w:t>
            </w:r>
          </w:p>
          <w:p w14:paraId="032A7258" w14:textId="195191B9" w:rsidR="00961D81" w:rsidRPr="004A49EF" w:rsidRDefault="00961D81" w:rsidP="00523094">
            <w:pPr>
              <w:pStyle w:val="ListParagraph"/>
              <w:numPr>
                <w:ilvl w:val="0"/>
                <w:numId w:val="12"/>
              </w:numPr>
              <w:ind w:left="158" w:hanging="187"/>
            </w:pPr>
            <w:r w:rsidRPr="004A49EF">
              <w:t xml:space="preserve">establishing </w:t>
            </w:r>
            <w:r w:rsidR="00867DEB" w:rsidRPr="004A49EF">
              <w:t>SC</w:t>
            </w:r>
            <w:r w:rsidRPr="004A49EF">
              <w:t xml:space="preserve"> under </w:t>
            </w:r>
            <w:hyperlink r:id="rId81" w:history="1">
              <w:r w:rsidRPr="004A49EF">
                <w:rPr>
                  <w:rStyle w:val="Hyperlink"/>
                </w:rPr>
                <w:t>38 CFR 3.303(a)</w:t>
              </w:r>
            </w:hyperlink>
            <w:r w:rsidRPr="004A49EF">
              <w:t>, see M21-1, Part IV, Subpart ii, 2.B.1.d</w:t>
            </w:r>
          </w:p>
          <w:p w14:paraId="13456B31" w14:textId="44A4F5D4" w:rsidR="00961D81" w:rsidRPr="004A49EF" w:rsidRDefault="00961D81" w:rsidP="00523094">
            <w:pPr>
              <w:pStyle w:val="ListParagraph"/>
              <w:numPr>
                <w:ilvl w:val="0"/>
                <w:numId w:val="12"/>
              </w:numPr>
              <w:ind w:left="158" w:hanging="187"/>
            </w:pPr>
            <w:r w:rsidRPr="004A49EF">
              <w:t xml:space="preserve">establishing </w:t>
            </w:r>
            <w:r w:rsidR="00867DEB" w:rsidRPr="004A49EF">
              <w:t>SC</w:t>
            </w:r>
            <w:r w:rsidRPr="004A49EF">
              <w:t xml:space="preserve"> under </w:t>
            </w:r>
            <w:hyperlink r:id="rId82" w:history="1">
              <w:r w:rsidRPr="004A49EF">
                <w:rPr>
                  <w:rStyle w:val="Hyperlink"/>
                </w:rPr>
                <w:t>38 CFR 3.303(d)</w:t>
              </w:r>
            </w:hyperlink>
            <w:r w:rsidRPr="004A49EF">
              <w:t>, see M21-1, Part IV, Subpart ii, 2.B.1.e</w:t>
            </w:r>
          </w:p>
          <w:p w14:paraId="22E502CC" w14:textId="32283E7A" w:rsidR="00961D81" w:rsidRPr="004A49EF" w:rsidRDefault="00961D81" w:rsidP="00523094">
            <w:pPr>
              <w:pStyle w:val="ListParagraph"/>
              <w:numPr>
                <w:ilvl w:val="0"/>
                <w:numId w:val="12"/>
              </w:numPr>
              <w:ind w:left="158" w:hanging="187"/>
            </w:pPr>
            <w:r w:rsidRPr="004A49EF">
              <w:t>considering evidence of combat disabilities, see M21-1, Part IV, Subpart ii, 2.B.3.d</w:t>
            </w:r>
          </w:p>
          <w:p w14:paraId="7D39628A" w14:textId="783AC725" w:rsidR="00602B95" w:rsidRPr="004A49EF" w:rsidRDefault="00602B95" w:rsidP="00523094">
            <w:pPr>
              <w:pStyle w:val="ListParagraph"/>
              <w:numPr>
                <w:ilvl w:val="0"/>
                <w:numId w:val="12"/>
              </w:numPr>
              <w:ind w:left="158" w:hanging="187"/>
            </w:pPr>
            <w:r w:rsidRPr="004A49EF">
              <w:t>requesting evidence from the claimant, see M21-</w:t>
            </w:r>
            <w:r w:rsidR="00FC5B9B" w:rsidRPr="004A49EF">
              <w:t>1, Part III, Subpart iii, 1.B.1</w:t>
            </w:r>
          </w:p>
          <w:p w14:paraId="54D5801F" w14:textId="77777777" w:rsidR="00EB27F1" w:rsidRPr="004A49EF" w:rsidRDefault="00EB27F1" w:rsidP="00523094">
            <w:pPr>
              <w:pStyle w:val="ListParagraph"/>
              <w:numPr>
                <w:ilvl w:val="0"/>
                <w:numId w:val="12"/>
              </w:numPr>
              <w:ind w:left="158" w:hanging="187"/>
            </w:pPr>
            <w:r w:rsidRPr="004A49EF">
              <w:t>determining Veteran status and eligibility for benefits, see M21-1, Part III</w:t>
            </w:r>
            <w:r w:rsidR="005C4ED6" w:rsidRPr="004A49EF">
              <w:t>, Subpart ii,</w:t>
            </w:r>
            <w:r w:rsidRPr="004A49EF">
              <w:t xml:space="preserve"> 6</w:t>
            </w:r>
            <w:r w:rsidR="005C4ED6" w:rsidRPr="004A49EF">
              <w:t>, and</w:t>
            </w:r>
          </w:p>
          <w:p w14:paraId="1DA110A3" w14:textId="77777777" w:rsidR="005C4ED6" w:rsidRPr="004A49EF" w:rsidRDefault="005C4ED6" w:rsidP="00523094">
            <w:pPr>
              <w:pStyle w:val="ListParagraph"/>
              <w:numPr>
                <w:ilvl w:val="0"/>
                <w:numId w:val="12"/>
              </w:numPr>
              <w:ind w:left="158" w:hanging="187"/>
            </w:pPr>
            <w:r w:rsidRPr="004A49EF">
              <w:t xml:space="preserve">willful misconduct and LOD determinations, see M21-1, Part III, Subpart v, </w:t>
            </w:r>
            <w:proofErr w:type="spellStart"/>
            <w:r w:rsidRPr="004A49EF">
              <w:t>1.D</w:t>
            </w:r>
            <w:proofErr w:type="spellEnd"/>
            <w:r w:rsidRPr="004A49EF">
              <w:t>.</w:t>
            </w:r>
          </w:p>
        </w:tc>
      </w:tr>
    </w:tbl>
    <w:p w14:paraId="1855D4B5" w14:textId="46A90C06" w:rsidR="009576AB" w:rsidRPr="004A49EF" w:rsidRDefault="00EB0D2A">
      <w:pPr>
        <w:pStyle w:val="BlockLine"/>
      </w:pPr>
      <w:r w:rsidRPr="004A49EF">
        <w:t xml:space="preserve"> </w:t>
      </w:r>
    </w:p>
    <w:tbl>
      <w:tblPr>
        <w:tblW w:w="0" w:type="auto"/>
        <w:tblLayout w:type="fixed"/>
        <w:tblLook w:val="0000" w:firstRow="0" w:lastRow="0" w:firstColumn="0" w:lastColumn="0" w:noHBand="0" w:noVBand="0"/>
      </w:tblPr>
      <w:tblGrid>
        <w:gridCol w:w="1728"/>
        <w:gridCol w:w="7740"/>
      </w:tblGrid>
      <w:tr w:rsidR="009576AB" w:rsidRPr="004A49EF" w14:paraId="31086E6A" w14:textId="77777777" w:rsidTr="00A22F99">
        <w:tc>
          <w:tcPr>
            <w:tcW w:w="1728" w:type="dxa"/>
          </w:tcPr>
          <w:p w14:paraId="2FCDD68E" w14:textId="77777777" w:rsidR="009576AB" w:rsidRPr="004A49EF" w:rsidRDefault="009576AB">
            <w:pPr>
              <w:pStyle w:val="Heading5"/>
            </w:pPr>
            <w:r w:rsidRPr="004A49EF">
              <w:t>b.  Evaluating Evidence of Scars</w:t>
            </w:r>
          </w:p>
        </w:tc>
        <w:tc>
          <w:tcPr>
            <w:tcW w:w="7740" w:type="dxa"/>
          </w:tcPr>
          <w:p w14:paraId="06ACE546" w14:textId="3133F1C5" w:rsidR="009576AB" w:rsidRPr="004A49EF" w:rsidRDefault="009576AB">
            <w:pPr>
              <w:pStyle w:val="BlockText"/>
            </w:pPr>
            <w:r w:rsidRPr="004A49EF">
              <w:t xml:space="preserve">When </w:t>
            </w:r>
            <w:r w:rsidR="00D95B6C" w:rsidRPr="004A49EF">
              <w:t>evaluating</w:t>
            </w:r>
            <w:r w:rsidRPr="004A49EF">
              <w:t xml:space="preserve"> evidence of scars, keep in mind that a claimant may have </w:t>
            </w:r>
          </w:p>
          <w:p w14:paraId="31E4602F" w14:textId="77777777" w:rsidR="009576AB" w:rsidRPr="004A49EF" w:rsidRDefault="009576AB">
            <w:pPr>
              <w:pStyle w:val="BlockText"/>
            </w:pPr>
          </w:p>
          <w:p w14:paraId="214AB5EE" w14:textId="77777777" w:rsidR="009576AB" w:rsidRPr="004A49EF" w:rsidRDefault="009576AB" w:rsidP="005C0EF0">
            <w:pPr>
              <w:pStyle w:val="BulletText1"/>
              <w:tabs>
                <w:tab w:val="clear" w:pos="443"/>
                <w:tab w:val="num" w:pos="162"/>
              </w:tabs>
              <w:ind w:left="162"/>
            </w:pPr>
            <w:r w:rsidRPr="004A49EF">
              <w:t>been accepted into service with a notation of one or more scars existing at the time of entrance</w:t>
            </w:r>
          </w:p>
          <w:p w14:paraId="4A32308B" w14:textId="77777777" w:rsidR="009576AB" w:rsidRPr="004A49EF" w:rsidRDefault="009576AB" w:rsidP="005C0EF0">
            <w:pPr>
              <w:pStyle w:val="BulletText1"/>
              <w:tabs>
                <w:tab w:val="clear" w:pos="443"/>
                <w:tab w:val="num" w:pos="162"/>
              </w:tabs>
              <w:ind w:left="162"/>
            </w:pPr>
            <w:r w:rsidRPr="004A49EF">
              <w:t>sustained a wound, with a resulting scar, during service, or</w:t>
            </w:r>
          </w:p>
          <w:p w14:paraId="027D3079" w14:textId="09DACB4A" w:rsidR="009576AB" w:rsidRPr="004A49EF" w:rsidRDefault="009576AB" w:rsidP="005C0EF0">
            <w:pPr>
              <w:pStyle w:val="BulletText1"/>
              <w:tabs>
                <w:tab w:val="clear" w:pos="443"/>
                <w:tab w:val="num" w:pos="162"/>
              </w:tabs>
              <w:ind w:left="162"/>
            </w:pPr>
            <w:r w:rsidRPr="004A49EF">
              <w:t>received an injury following separation from service result</w:t>
            </w:r>
            <w:r w:rsidR="001D74D7" w:rsidRPr="004A49EF">
              <w:t>ing</w:t>
            </w:r>
            <w:r w:rsidRPr="004A49EF">
              <w:t xml:space="preserve"> in a scar that would be present at subsequent physical examinations. </w:t>
            </w:r>
          </w:p>
          <w:p w14:paraId="17B93B9F" w14:textId="77777777" w:rsidR="009576AB" w:rsidRPr="004A49EF" w:rsidRDefault="009576AB">
            <w:pPr>
              <w:pStyle w:val="BlockText"/>
            </w:pPr>
          </w:p>
          <w:p w14:paraId="3830F5F1" w14:textId="77777777" w:rsidR="009576AB" w:rsidRPr="004A49EF" w:rsidRDefault="009576AB">
            <w:pPr>
              <w:pStyle w:val="BlockText"/>
            </w:pPr>
            <w:r w:rsidRPr="004A49EF">
              <w:t xml:space="preserve">Because the Veteran could have incurred a scar before or after service, </w:t>
            </w:r>
            <w:r w:rsidRPr="004A49EF">
              <w:lastRenderedPageBreak/>
              <w:t xml:space="preserve">exercise caution in characterizing a scar as the residual of a wound or injury incurred in service.  </w:t>
            </w:r>
          </w:p>
          <w:p w14:paraId="4957EB5A" w14:textId="77777777" w:rsidR="009576AB" w:rsidRPr="004A49EF" w:rsidRDefault="009576AB">
            <w:pPr>
              <w:pStyle w:val="BlockText"/>
            </w:pPr>
          </w:p>
          <w:p w14:paraId="4CECBC81" w14:textId="41DE09F4" w:rsidR="009576AB" w:rsidRPr="004A49EF" w:rsidRDefault="009576AB" w:rsidP="001D74D7">
            <w:pPr>
              <w:pStyle w:val="BlockText"/>
            </w:pPr>
            <w:r w:rsidRPr="004A49EF">
              <w:t>If there is any doubt as to whether the scar is a residual of a wound or injury incurred in service, simply describe the scar, without ascribing it to a</w:t>
            </w:r>
            <w:r w:rsidR="001D74D7" w:rsidRPr="004A49EF">
              <w:t xml:space="preserve"> specific injury such as a</w:t>
            </w:r>
            <w:r w:rsidRPr="004A49EF">
              <w:t xml:space="preserve"> “gunshot wound”</w:t>
            </w:r>
            <w:r w:rsidR="001D74D7" w:rsidRPr="004A49EF">
              <w:t xml:space="preserve"> or</w:t>
            </w:r>
            <w:r w:rsidRPr="004A49EF">
              <w:t xml:space="preserve"> “shrapnel</w:t>
            </w:r>
            <w:r w:rsidRPr="004A49EF">
              <w:rPr>
                <w:i/>
              </w:rPr>
              <w:t xml:space="preserve"> </w:t>
            </w:r>
            <w:r w:rsidRPr="004A49EF">
              <w:t>wound</w:t>
            </w:r>
            <w:r w:rsidR="001D74D7" w:rsidRPr="004A49EF">
              <w:t>.</w:t>
            </w:r>
            <w:r w:rsidRPr="004A49EF">
              <w:t>”</w:t>
            </w:r>
          </w:p>
        </w:tc>
      </w:tr>
    </w:tbl>
    <w:p w14:paraId="2B80B246" w14:textId="72160A83"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397CC709" w14:textId="77777777" w:rsidTr="005C0EF0">
        <w:tc>
          <w:tcPr>
            <w:tcW w:w="1728" w:type="dxa"/>
          </w:tcPr>
          <w:p w14:paraId="0343F223" w14:textId="7E30B219" w:rsidR="009576AB" w:rsidRPr="004A49EF" w:rsidRDefault="009576AB" w:rsidP="00A36610">
            <w:pPr>
              <w:pStyle w:val="Heading5"/>
            </w:pPr>
            <w:r w:rsidRPr="004A49EF">
              <w:t xml:space="preserve">c.  </w:t>
            </w:r>
            <w:r w:rsidR="00A36610" w:rsidRPr="004A49EF">
              <w:t xml:space="preserve">Processing </w:t>
            </w:r>
            <w:r w:rsidRPr="004A49EF">
              <w:t>Examination Reports of Scars</w:t>
            </w:r>
          </w:p>
        </w:tc>
        <w:tc>
          <w:tcPr>
            <w:tcW w:w="7740" w:type="dxa"/>
          </w:tcPr>
          <w:p w14:paraId="60ACDFDC" w14:textId="2D2D6ED5" w:rsidR="009576AB" w:rsidRPr="004A49EF" w:rsidRDefault="009576AB">
            <w:pPr>
              <w:pStyle w:val="BlockText"/>
            </w:pPr>
            <w:r w:rsidRPr="004A49EF">
              <w:t>If the presence of a scar or scars is recorded in a physical examination report</w:t>
            </w:r>
            <w:r w:rsidR="007D312E" w:rsidRPr="004A49EF">
              <w:t xml:space="preserve"> related to a claim for scarring</w:t>
            </w:r>
            <w:r w:rsidRPr="004A49EF">
              <w:t xml:space="preserve">, review official records to ensure the scar or scars are in fact a residual of wounds in service. </w:t>
            </w:r>
          </w:p>
          <w:p w14:paraId="6314EF23" w14:textId="77777777" w:rsidR="00F53EA0" w:rsidRPr="004A49EF" w:rsidRDefault="00F53EA0">
            <w:pPr>
              <w:pStyle w:val="BlockText"/>
            </w:pPr>
          </w:p>
          <w:p w14:paraId="3526F7FE" w14:textId="08294621" w:rsidR="00F53EA0" w:rsidRPr="004A49EF" w:rsidRDefault="00F53EA0">
            <w:pPr>
              <w:pStyle w:val="BlockText"/>
            </w:pPr>
            <w:r w:rsidRPr="004A49EF">
              <w:t>If there is reasonable doubt as to whether the scar</w:t>
            </w:r>
            <w:r w:rsidR="007D312E" w:rsidRPr="004A49EF">
              <w:t>(</w:t>
            </w:r>
            <w:r w:rsidRPr="004A49EF">
              <w:t>s</w:t>
            </w:r>
            <w:r w:rsidR="007D312E" w:rsidRPr="004A49EF">
              <w:t>)</w:t>
            </w:r>
            <w:r w:rsidRPr="004A49EF">
              <w:t xml:space="preserve"> are related to service, </w:t>
            </w:r>
            <w:r w:rsidR="008613DF" w:rsidRPr="004A49EF">
              <w:t>that is</w:t>
            </w:r>
            <w:r w:rsidRPr="004A49EF">
              <w:t xml:space="preserve">, an approximate balance of evidence for and against the claim, </w:t>
            </w:r>
            <w:r w:rsidR="001D74D7" w:rsidRPr="004A49EF">
              <w:t>award SC</w:t>
            </w:r>
            <w:r w:rsidRPr="004A49EF">
              <w:t xml:space="preserve"> for the</w:t>
            </w:r>
            <w:r w:rsidR="007D312E" w:rsidRPr="004A49EF">
              <w:t xml:space="preserve"> claimed</w:t>
            </w:r>
            <w:r w:rsidRPr="004A49EF">
              <w:t xml:space="preserve"> scar(s).  </w:t>
            </w:r>
          </w:p>
          <w:p w14:paraId="3304A2CA" w14:textId="77777777" w:rsidR="00F53EA0" w:rsidRPr="004A49EF" w:rsidRDefault="00F53EA0">
            <w:pPr>
              <w:pStyle w:val="BlockText"/>
            </w:pPr>
          </w:p>
          <w:p w14:paraId="53E5FF37" w14:textId="32740348" w:rsidR="00F53EA0" w:rsidRPr="004A49EF" w:rsidRDefault="00F53EA0" w:rsidP="002355EC">
            <w:pPr>
              <w:pStyle w:val="BlockText"/>
            </w:pPr>
            <w:r w:rsidRPr="004A49EF">
              <w:rPr>
                <w:b/>
                <w:i/>
              </w:rPr>
              <w:t>Reference</w:t>
            </w:r>
            <w:r w:rsidRPr="004A49EF">
              <w:t>:</w:t>
            </w:r>
            <w:r w:rsidRPr="004A49EF">
              <w:rPr>
                <w:i/>
              </w:rPr>
              <w:t xml:space="preserve">  </w:t>
            </w:r>
            <w:r w:rsidRPr="004A49EF">
              <w:t>For more information on</w:t>
            </w:r>
            <w:r w:rsidR="002355EC" w:rsidRPr="004A49EF">
              <w:t xml:space="preserve"> the </w:t>
            </w:r>
            <w:r w:rsidRPr="004A49EF">
              <w:t xml:space="preserve">definition and application of reasonable doubt, see </w:t>
            </w:r>
            <w:hyperlink r:id="rId83" w:history="1">
              <w:r w:rsidRPr="004A49EF">
                <w:rPr>
                  <w:rStyle w:val="Hyperlink"/>
                </w:rPr>
                <w:t>38 CFR 3.102</w:t>
              </w:r>
            </w:hyperlink>
            <w:r w:rsidRPr="004A49EF">
              <w:t xml:space="preserve">.  </w:t>
            </w:r>
          </w:p>
        </w:tc>
      </w:tr>
    </w:tbl>
    <w:p w14:paraId="02EC66E3" w14:textId="529E32B5"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06AE9E50" w14:textId="77777777" w:rsidTr="00984982">
        <w:tc>
          <w:tcPr>
            <w:tcW w:w="1728" w:type="dxa"/>
          </w:tcPr>
          <w:p w14:paraId="4233B1EF" w14:textId="77777777" w:rsidR="009576AB" w:rsidRPr="004A49EF" w:rsidRDefault="009576AB">
            <w:pPr>
              <w:pStyle w:val="Heading5"/>
            </w:pPr>
            <w:r w:rsidRPr="004A49EF">
              <w:t xml:space="preserve">d.  Considering Evidence for Combat-Related Disabilities </w:t>
            </w:r>
          </w:p>
        </w:tc>
        <w:tc>
          <w:tcPr>
            <w:tcW w:w="7740" w:type="dxa"/>
          </w:tcPr>
          <w:p w14:paraId="543E02C1" w14:textId="77777777" w:rsidR="009576AB" w:rsidRPr="004A49EF" w:rsidRDefault="009576AB">
            <w:pPr>
              <w:pStyle w:val="BlockText"/>
            </w:pPr>
            <w:r w:rsidRPr="004A49EF">
              <w:t>Accept satisfactory lay or other evidence that an injury or disease was incurred or aggravated in combat if the evidence is consistent with the circumstances, conditions, or hardships of such service even though there is no official record of such incurrence or aggravation.</w:t>
            </w:r>
          </w:p>
          <w:p w14:paraId="69FC8A4A" w14:textId="77777777" w:rsidR="009576AB" w:rsidRPr="004A49EF" w:rsidRDefault="009576AB">
            <w:pPr>
              <w:pStyle w:val="BlockText"/>
            </w:pPr>
          </w:p>
          <w:p w14:paraId="18523378" w14:textId="77777777" w:rsidR="009576AB" w:rsidRPr="004A49EF" w:rsidRDefault="009576AB">
            <w:pPr>
              <w:pStyle w:val="BlockText"/>
            </w:pPr>
            <w:r w:rsidRPr="004A49EF">
              <w:t>In order for evidence submitted by the Veteran to support a factual presumption that the claimed disease or injury was incurred or aggravated in service, the evidence must</w:t>
            </w:r>
          </w:p>
          <w:p w14:paraId="248D3C5E" w14:textId="77777777" w:rsidR="009576AB" w:rsidRPr="004A49EF" w:rsidRDefault="009576AB">
            <w:pPr>
              <w:pStyle w:val="BlockText"/>
            </w:pPr>
          </w:p>
          <w:p w14:paraId="59519759" w14:textId="77777777" w:rsidR="009576AB" w:rsidRPr="004A49EF" w:rsidRDefault="009576AB" w:rsidP="00F97139">
            <w:pPr>
              <w:pStyle w:val="BulletText1"/>
              <w:tabs>
                <w:tab w:val="clear" w:pos="443"/>
                <w:tab w:val="num" w:pos="162"/>
              </w:tabs>
              <w:ind w:left="162"/>
            </w:pPr>
            <w:r w:rsidRPr="004A49EF">
              <w:t>be satisfactory when considered alone</w:t>
            </w:r>
          </w:p>
          <w:p w14:paraId="2A2809D3" w14:textId="77777777" w:rsidR="009576AB" w:rsidRPr="004A49EF" w:rsidRDefault="009576AB" w:rsidP="00F97139">
            <w:pPr>
              <w:pStyle w:val="BulletText1"/>
              <w:tabs>
                <w:tab w:val="clear" w:pos="443"/>
                <w:tab w:val="num" w:pos="162"/>
              </w:tabs>
              <w:ind w:left="162"/>
            </w:pPr>
            <w:r w:rsidRPr="004A49EF">
              <w:t>be consistent with the circumstances, condition</w:t>
            </w:r>
            <w:r w:rsidR="003465DC" w:rsidRPr="004A49EF">
              <w:t>s</w:t>
            </w:r>
            <w:r w:rsidR="008613DF" w:rsidRPr="004A49EF">
              <w:t>,</w:t>
            </w:r>
            <w:r w:rsidRPr="004A49EF">
              <w:t xml:space="preserve"> or hardships of such service, and</w:t>
            </w:r>
          </w:p>
          <w:p w14:paraId="5D0DAAFC" w14:textId="77777777" w:rsidR="009576AB" w:rsidRPr="004A49EF" w:rsidRDefault="009576AB" w:rsidP="00F97139">
            <w:pPr>
              <w:pStyle w:val="BulletText1"/>
              <w:tabs>
                <w:tab w:val="clear" w:pos="443"/>
                <w:tab w:val="num" w:pos="162"/>
              </w:tabs>
              <w:ind w:left="162"/>
            </w:pPr>
            <w:r w:rsidRPr="004A49EF">
              <w:t>not be refuted by clear and convincing evidence to the contrary.</w:t>
            </w:r>
          </w:p>
          <w:p w14:paraId="70655C63" w14:textId="77777777" w:rsidR="009576AB" w:rsidRPr="004A49EF" w:rsidRDefault="009576AB">
            <w:pPr>
              <w:pStyle w:val="BlockText"/>
            </w:pPr>
          </w:p>
          <w:p w14:paraId="7B962FCE" w14:textId="6DD82AD4" w:rsidR="00412AC4" w:rsidRPr="004A49EF" w:rsidRDefault="00412AC4">
            <w:pPr>
              <w:pStyle w:val="BlockText"/>
            </w:pPr>
            <w:r w:rsidRPr="004A49EF">
              <w:rPr>
                <w:b/>
                <w:i/>
              </w:rPr>
              <w:t>Note</w:t>
            </w:r>
            <w:r w:rsidR="00EC50C3" w:rsidRPr="004A49EF">
              <w:rPr>
                <w:b/>
                <w:i/>
              </w:rPr>
              <w:t>s</w:t>
            </w:r>
            <w:r w:rsidRPr="004A49EF">
              <w:t xml:space="preserve">: </w:t>
            </w:r>
          </w:p>
          <w:p w14:paraId="7A8950B8" w14:textId="0A37CBFD" w:rsidR="00EC50C3" w:rsidRPr="004A49EF" w:rsidRDefault="004A49EF" w:rsidP="00EC50C3">
            <w:pPr>
              <w:pStyle w:val="BulletText1"/>
              <w:tabs>
                <w:tab w:val="clear" w:pos="443"/>
                <w:tab w:val="num" w:pos="162"/>
              </w:tabs>
              <w:ind w:left="162"/>
            </w:pPr>
            <w:hyperlink r:id="rId84" w:history="1">
              <w:proofErr w:type="gramStart"/>
              <w:r w:rsidR="00EC50C3" w:rsidRPr="004A49EF">
                <w:rPr>
                  <w:rStyle w:val="Hyperlink"/>
                </w:rPr>
                <w:t>38</w:t>
              </w:r>
              <w:proofErr w:type="gramEnd"/>
              <w:r w:rsidR="00EC50C3" w:rsidRPr="004A49EF">
                <w:rPr>
                  <w:rStyle w:val="Hyperlink"/>
                </w:rPr>
                <w:t xml:space="preserve"> CFR 3.304(d)</w:t>
              </w:r>
            </w:hyperlink>
            <w:r w:rsidR="00EC50C3" w:rsidRPr="004A49EF">
              <w:t xml:space="preserve"> is derived from </w:t>
            </w:r>
            <w:hyperlink r:id="rId85" w:history="1">
              <w:r w:rsidR="00EC50C3" w:rsidRPr="004A49EF">
                <w:rPr>
                  <w:rStyle w:val="Hyperlink"/>
                </w:rPr>
                <w:t>38 U.S.C. 1154(b)</w:t>
              </w:r>
            </w:hyperlink>
            <w:r w:rsidR="00EC50C3" w:rsidRPr="004A49EF">
              <w:t>, and lightens the evidentiary burden with respect to disabilities alleged to be the result of combat service.</w:t>
            </w:r>
          </w:p>
          <w:p w14:paraId="0175F099" w14:textId="615B3BD1" w:rsidR="00EC50C3" w:rsidRPr="004A49EF" w:rsidRDefault="00EC50C3" w:rsidP="00EC50C3">
            <w:pPr>
              <w:pStyle w:val="BulletText1"/>
              <w:tabs>
                <w:tab w:val="clear" w:pos="443"/>
                <w:tab w:val="num" w:pos="162"/>
              </w:tabs>
              <w:ind w:left="162"/>
            </w:pPr>
            <w:r w:rsidRPr="004A49EF">
              <w:t>Even whe</w:t>
            </w:r>
            <w:r w:rsidR="000B2B61" w:rsidRPr="004A49EF">
              <w:t xml:space="preserve">n </w:t>
            </w:r>
            <w:r w:rsidR="00C7570A" w:rsidRPr="004A49EF">
              <w:t>an event</w:t>
            </w:r>
            <w:r w:rsidR="00104514" w:rsidRPr="004A49EF">
              <w:t xml:space="preserve"> or</w:t>
            </w:r>
            <w:r w:rsidR="00C7570A" w:rsidRPr="004A49EF">
              <w:t xml:space="preserve"> injury </w:t>
            </w:r>
            <w:r w:rsidR="00104514" w:rsidRPr="004A49EF">
              <w:t>in service</w:t>
            </w:r>
            <w:r w:rsidRPr="004A49EF">
              <w:t xml:space="preserve"> </w:t>
            </w:r>
            <w:proofErr w:type="gramStart"/>
            <w:r w:rsidRPr="004A49EF">
              <w:t>is established</w:t>
            </w:r>
            <w:proofErr w:type="gramEnd"/>
            <w:r w:rsidRPr="004A49EF">
              <w:t xml:space="preserve"> under the cited combat provisions, for </w:t>
            </w:r>
            <w:r w:rsidR="00C56953" w:rsidRPr="004A49EF">
              <w:t>SC</w:t>
            </w:r>
            <w:r w:rsidRPr="004A49EF">
              <w:t xml:space="preserve"> to be established there must still be evidence of a current disability and a nexus between the current disability and the combat event or injury in service. </w:t>
            </w:r>
          </w:p>
          <w:p w14:paraId="4BB4FCFA" w14:textId="77777777" w:rsidR="00412AC4" w:rsidRPr="004A49EF" w:rsidRDefault="00412AC4">
            <w:pPr>
              <w:pStyle w:val="BlockText"/>
            </w:pPr>
          </w:p>
          <w:p w14:paraId="7959E87F" w14:textId="77777777" w:rsidR="009576AB" w:rsidRPr="004A49EF" w:rsidRDefault="009576AB">
            <w:pPr>
              <w:pStyle w:val="BlockText"/>
            </w:pPr>
            <w:r w:rsidRPr="004A49EF">
              <w:rPr>
                <w:b/>
                <w:i/>
              </w:rPr>
              <w:t>References</w:t>
            </w:r>
            <w:r w:rsidRPr="004A49EF">
              <w:t>:</w:t>
            </w:r>
            <w:r w:rsidR="00A26E42" w:rsidRPr="004A49EF">
              <w:t xml:space="preserve">  For</w:t>
            </w:r>
            <w:r w:rsidR="008613DF" w:rsidRPr="004A49EF">
              <w:t xml:space="preserve"> more</w:t>
            </w:r>
            <w:r w:rsidR="00A26E42" w:rsidRPr="004A49EF">
              <w:t xml:space="preserve"> information on</w:t>
            </w:r>
            <w:r w:rsidRPr="004A49EF">
              <w:t xml:space="preserve">  </w:t>
            </w:r>
          </w:p>
          <w:p w14:paraId="09393CA3" w14:textId="47D1EAEC" w:rsidR="009576AB" w:rsidRPr="004A49EF" w:rsidRDefault="009576AB" w:rsidP="00F97139">
            <w:pPr>
              <w:pStyle w:val="BulletText1"/>
              <w:tabs>
                <w:tab w:val="clear" w:pos="443"/>
                <w:tab w:val="num" w:pos="162"/>
              </w:tabs>
              <w:ind w:left="162"/>
            </w:pPr>
            <w:r w:rsidRPr="004A49EF">
              <w:t xml:space="preserve">a definition of satisfactory evidence, see M21-1, Part IV, Subpart ii, </w:t>
            </w:r>
            <w:proofErr w:type="spellStart"/>
            <w:r w:rsidRPr="004A49EF">
              <w:t>2.B.</w:t>
            </w:r>
            <w:r w:rsidR="008613DF" w:rsidRPr="004A49EF">
              <w:t>3</w:t>
            </w:r>
            <w:r w:rsidRPr="004A49EF">
              <w:t>.e</w:t>
            </w:r>
            <w:proofErr w:type="spellEnd"/>
            <w:r w:rsidR="003E61C1" w:rsidRPr="004A49EF">
              <w:rPr>
                <w:rStyle w:val="Hyperlink"/>
                <w:color w:val="auto"/>
                <w:u w:val="none"/>
              </w:rPr>
              <w:t>, and</w:t>
            </w:r>
          </w:p>
          <w:p w14:paraId="73D7ED4A" w14:textId="5B2E33CD" w:rsidR="009576AB" w:rsidRPr="004A49EF" w:rsidRDefault="009576AB" w:rsidP="00F97139">
            <w:pPr>
              <w:pStyle w:val="BulletText1"/>
              <w:tabs>
                <w:tab w:val="clear" w:pos="443"/>
                <w:tab w:val="num" w:pos="162"/>
              </w:tabs>
              <w:ind w:left="162"/>
            </w:pPr>
            <w:r w:rsidRPr="004A49EF">
              <w:t>satisfactory proof of combat-related disability, see</w:t>
            </w:r>
          </w:p>
          <w:p w14:paraId="3DB712F0" w14:textId="77777777" w:rsidR="009576AB" w:rsidRPr="004A49EF" w:rsidRDefault="004A49EF">
            <w:pPr>
              <w:pStyle w:val="BulletText2"/>
            </w:pPr>
            <w:hyperlink r:id="rId86" w:history="1">
              <w:r w:rsidR="009576AB" w:rsidRPr="004A49EF">
                <w:rPr>
                  <w:rStyle w:val="Hyperlink"/>
                </w:rPr>
                <w:t>38 CFR 3.304(d)</w:t>
              </w:r>
            </w:hyperlink>
            <w:r w:rsidR="009576AB" w:rsidRPr="004A49EF">
              <w:t xml:space="preserve"> </w:t>
            </w:r>
          </w:p>
          <w:p w14:paraId="335E5FF9" w14:textId="16863809" w:rsidR="00DB569D" w:rsidRPr="004A49EF" w:rsidRDefault="004A49EF">
            <w:pPr>
              <w:pStyle w:val="BulletText2"/>
            </w:pPr>
            <w:hyperlink r:id="rId87" w:history="1">
              <w:r w:rsidR="009576AB" w:rsidRPr="004A49EF">
                <w:rPr>
                  <w:rStyle w:val="Hyperlink"/>
                </w:rPr>
                <w:t>38 U.S.C. 1154(b)</w:t>
              </w:r>
            </w:hyperlink>
          </w:p>
          <w:p w14:paraId="4694A4AE" w14:textId="14A2DBB9" w:rsidR="005745F6" w:rsidRPr="004A49EF" w:rsidRDefault="00EB0D2A">
            <w:pPr>
              <w:pStyle w:val="BulletText2"/>
            </w:pPr>
            <w:hyperlink r:id="rId88" w:anchor="bmc" w:history="1">
              <w:proofErr w:type="spellStart"/>
              <w:r w:rsidR="00DB569D" w:rsidRPr="004A49EF">
                <w:rPr>
                  <w:rStyle w:val="Hyperlink"/>
                  <w:i/>
                </w:rPr>
                <w:t>Caluza</w:t>
              </w:r>
              <w:proofErr w:type="spellEnd"/>
              <w:r w:rsidR="00DB569D" w:rsidRPr="004A49EF">
                <w:rPr>
                  <w:rStyle w:val="Hyperlink"/>
                  <w:i/>
                </w:rPr>
                <w:t xml:space="preserve"> v Brown</w:t>
              </w:r>
            </w:hyperlink>
            <w:r w:rsidR="00DB569D" w:rsidRPr="004A49EF">
              <w:rPr>
                <w:i/>
              </w:rPr>
              <w:t>,</w:t>
            </w:r>
            <w:r w:rsidR="00DB569D" w:rsidRPr="004A49EF">
              <w:t xml:space="preserve"> 7 </w:t>
            </w:r>
            <w:proofErr w:type="spellStart"/>
            <w:r w:rsidR="00DB569D" w:rsidRPr="004A49EF">
              <w:t>Vet.App</w:t>
            </w:r>
            <w:proofErr w:type="spellEnd"/>
            <w:proofErr w:type="gramStart"/>
            <w:r w:rsidR="00DB569D" w:rsidRPr="004A49EF">
              <w:t xml:space="preserve">. </w:t>
            </w:r>
            <w:proofErr w:type="gramEnd"/>
            <w:r w:rsidR="00DB569D" w:rsidRPr="004A49EF">
              <w:t>508 (1995), and</w:t>
            </w:r>
          </w:p>
          <w:p w14:paraId="48D3F6C4" w14:textId="23B68307" w:rsidR="009576AB" w:rsidRPr="004A49EF" w:rsidRDefault="004A49EF" w:rsidP="001F2374">
            <w:pPr>
              <w:pStyle w:val="BulletText2"/>
            </w:pPr>
            <w:hyperlink r:id="rId89" w:anchor="bmc" w:history="1">
              <w:r w:rsidR="009576AB" w:rsidRPr="004A49EF">
                <w:rPr>
                  <w:rStyle w:val="Hyperlink"/>
                  <w:i/>
                </w:rPr>
                <w:t>Collette v. Brown</w:t>
              </w:r>
            </w:hyperlink>
            <w:r w:rsidR="009576AB" w:rsidRPr="004A49EF">
              <w:t>, 82F.3d.389 (Fed. Cir. 1996).</w:t>
            </w:r>
          </w:p>
        </w:tc>
      </w:tr>
    </w:tbl>
    <w:p w14:paraId="73FC261F" w14:textId="1A0C31FB"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6122BEA4" w14:textId="77777777" w:rsidTr="00E53D40">
        <w:tc>
          <w:tcPr>
            <w:tcW w:w="1728" w:type="dxa"/>
          </w:tcPr>
          <w:p w14:paraId="2B4F62E8" w14:textId="77777777" w:rsidR="009576AB" w:rsidRPr="004A49EF" w:rsidRDefault="009576AB" w:rsidP="002355EC">
            <w:pPr>
              <w:pStyle w:val="Heading5"/>
            </w:pPr>
            <w:r w:rsidRPr="004A49EF">
              <w:t xml:space="preserve">e.  Definition:  </w:t>
            </w:r>
            <w:r w:rsidR="00EB07BE" w:rsidRPr="004A49EF">
              <w:t xml:space="preserve"> </w:t>
            </w:r>
            <w:r w:rsidRPr="004A49EF">
              <w:t>Satisfactory Evidence</w:t>
            </w:r>
          </w:p>
        </w:tc>
        <w:tc>
          <w:tcPr>
            <w:tcW w:w="7740" w:type="dxa"/>
          </w:tcPr>
          <w:p w14:paraId="1F922A7C" w14:textId="77777777" w:rsidR="009576AB" w:rsidRPr="004A49EF" w:rsidRDefault="009576AB">
            <w:pPr>
              <w:pStyle w:val="BlockText"/>
            </w:pPr>
            <w:r w:rsidRPr="004A49EF">
              <w:rPr>
                <w:b/>
                <w:i/>
              </w:rPr>
              <w:t>Satisfactory evidence</w:t>
            </w:r>
            <w:r w:rsidRPr="004A49EF">
              <w:t xml:space="preserve"> generally means evidence that is credible.</w:t>
            </w:r>
          </w:p>
          <w:p w14:paraId="4574A679" w14:textId="77777777" w:rsidR="009576AB" w:rsidRPr="004A49EF" w:rsidRDefault="009576AB">
            <w:pPr>
              <w:pStyle w:val="BlockText"/>
            </w:pPr>
          </w:p>
          <w:p w14:paraId="2723381D" w14:textId="77777777" w:rsidR="009576AB" w:rsidRPr="004A49EF" w:rsidRDefault="009576AB">
            <w:pPr>
              <w:pStyle w:val="BlockText"/>
            </w:pPr>
            <w:r w:rsidRPr="004A49EF">
              <w:t xml:space="preserve">It is proper to </w:t>
            </w:r>
          </w:p>
          <w:p w14:paraId="0D2C874E" w14:textId="77777777" w:rsidR="009576AB" w:rsidRPr="004A49EF" w:rsidRDefault="009576AB">
            <w:pPr>
              <w:pStyle w:val="BlockText"/>
            </w:pPr>
          </w:p>
          <w:p w14:paraId="004F7BDA" w14:textId="77777777" w:rsidR="009576AB" w:rsidRPr="004A49EF" w:rsidRDefault="009576AB" w:rsidP="00F97139">
            <w:pPr>
              <w:pStyle w:val="BulletText1"/>
              <w:tabs>
                <w:tab w:val="clear" w:pos="443"/>
                <w:tab w:val="num" w:pos="162"/>
              </w:tabs>
              <w:ind w:left="162"/>
            </w:pPr>
            <w:r w:rsidRPr="004A49EF">
              <w:t>consider internal consistency and plausibility in determining whether evidence is credible, and</w:t>
            </w:r>
          </w:p>
          <w:p w14:paraId="044F1CBC" w14:textId="77777777" w:rsidR="009576AB" w:rsidRPr="004A49EF" w:rsidRDefault="009576AB" w:rsidP="00F97139">
            <w:pPr>
              <w:pStyle w:val="BulletText1"/>
              <w:tabs>
                <w:tab w:val="clear" w:pos="443"/>
                <w:tab w:val="num" w:pos="162"/>
              </w:tabs>
              <w:ind w:left="162"/>
            </w:pPr>
            <w:r w:rsidRPr="004A49EF">
              <w:t>regard statements that contradict other evidence of record as unsatisfactory.</w:t>
            </w:r>
          </w:p>
          <w:p w14:paraId="6A0E1729" w14:textId="77777777" w:rsidR="00DB569D" w:rsidRPr="004A49EF" w:rsidRDefault="00DB569D" w:rsidP="00D04C0B">
            <w:pPr>
              <w:pStyle w:val="BulletText1"/>
              <w:numPr>
                <w:ilvl w:val="0"/>
                <w:numId w:val="0"/>
              </w:numPr>
              <w:ind w:left="173"/>
            </w:pPr>
          </w:p>
          <w:p w14:paraId="399B7751" w14:textId="77777777" w:rsidR="00DB569D" w:rsidRPr="004A49EF" w:rsidRDefault="00DB569D" w:rsidP="00004A68">
            <w:pPr>
              <w:pStyle w:val="BulletText1"/>
              <w:numPr>
                <w:ilvl w:val="0"/>
                <w:numId w:val="0"/>
              </w:numPr>
              <w:ind w:left="173" w:hanging="173"/>
            </w:pPr>
            <w:r w:rsidRPr="004A49EF">
              <w:rPr>
                <w:b/>
                <w:i/>
              </w:rPr>
              <w:t>Reference</w:t>
            </w:r>
            <w:r w:rsidRPr="004A49EF">
              <w:t>:  For more information on dete</w:t>
            </w:r>
            <w:r w:rsidR="004F0CFB" w:rsidRPr="004A49EF">
              <w:t xml:space="preserve">rmining whether evidence is </w:t>
            </w:r>
          </w:p>
          <w:p w14:paraId="1C3D35F2" w14:textId="77777777" w:rsidR="005D3AF6" w:rsidRPr="004A49EF" w:rsidRDefault="005D3AF6" w:rsidP="00004A68">
            <w:pPr>
              <w:pStyle w:val="BulletText1"/>
              <w:numPr>
                <w:ilvl w:val="0"/>
                <w:numId w:val="0"/>
              </w:numPr>
              <w:ind w:left="173" w:hanging="173"/>
            </w:pPr>
            <w:r w:rsidRPr="004A49EF">
              <w:t>credible, see</w:t>
            </w:r>
          </w:p>
          <w:p w14:paraId="734B3E62" w14:textId="18F00ABE" w:rsidR="005745F6" w:rsidRPr="004A49EF" w:rsidRDefault="004F0CFB" w:rsidP="00523094">
            <w:pPr>
              <w:pStyle w:val="ListParagraph"/>
              <w:numPr>
                <w:ilvl w:val="0"/>
                <w:numId w:val="27"/>
              </w:numPr>
              <w:ind w:left="158" w:hanging="187"/>
            </w:pPr>
            <w:r w:rsidRPr="004A49EF">
              <w:t xml:space="preserve">M21-1, Part III, Subpart iv, </w:t>
            </w:r>
            <w:proofErr w:type="spellStart"/>
            <w:r w:rsidRPr="004A49EF">
              <w:t>5.</w:t>
            </w:r>
            <w:r w:rsidR="00920999" w:rsidRPr="004A49EF">
              <w:t>2.b</w:t>
            </w:r>
            <w:proofErr w:type="spellEnd"/>
            <w:r w:rsidRPr="004A49EF">
              <w:t xml:space="preserve">, and </w:t>
            </w:r>
          </w:p>
          <w:p w14:paraId="28A51BA8" w14:textId="2BACB230" w:rsidR="00DB569D" w:rsidRPr="004A49EF" w:rsidRDefault="004A49EF" w:rsidP="00523094">
            <w:pPr>
              <w:pStyle w:val="ListParagraph"/>
              <w:numPr>
                <w:ilvl w:val="0"/>
                <w:numId w:val="27"/>
              </w:numPr>
              <w:ind w:left="158" w:hanging="187"/>
            </w:pPr>
            <w:hyperlink r:id="rId90" w:anchor="bmc" w:history="1">
              <w:r w:rsidR="005D3AF6" w:rsidRPr="004A49EF">
                <w:rPr>
                  <w:rStyle w:val="Hyperlink"/>
                  <w:i/>
                </w:rPr>
                <w:t>Caluza v. Brown</w:t>
              </w:r>
            </w:hyperlink>
            <w:r w:rsidR="005D3AF6" w:rsidRPr="004A49EF">
              <w:rPr>
                <w:i/>
              </w:rPr>
              <w:t>,</w:t>
            </w:r>
            <w:r w:rsidR="005D3AF6" w:rsidRPr="004A49EF">
              <w:t xml:space="preserve"> 7 Vet.App. </w:t>
            </w:r>
            <w:proofErr w:type="gramStart"/>
            <w:r w:rsidR="005D3AF6" w:rsidRPr="004A49EF">
              <w:t>508</w:t>
            </w:r>
            <w:proofErr w:type="gramEnd"/>
            <w:r w:rsidR="005D3AF6" w:rsidRPr="004A49EF">
              <w:t xml:space="preserve"> (1995).  </w:t>
            </w:r>
          </w:p>
        </w:tc>
      </w:tr>
    </w:tbl>
    <w:p w14:paraId="0CF885C7" w14:textId="77777777" w:rsidR="009576AB" w:rsidRPr="004A49EF" w:rsidRDefault="009576AB">
      <w:pPr>
        <w:pStyle w:val="BlockLine"/>
      </w:pPr>
      <w:r w:rsidRPr="004A49EF">
        <w:t xml:space="preserve"> </w:t>
      </w:r>
    </w:p>
    <w:p w14:paraId="3530E1DC" w14:textId="2BCD6C13" w:rsidR="009576AB" w:rsidRPr="004A49EF" w:rsidRDefault="009576AB">
      <w:pPr>
        <w:pStyle w:val="Heading4"/>
      </w:pPr>
      <w:r w:rsidRPr="004A49EF">
        <w:br w:type="page"/>
      </w:r>
      <w:r w:rsidR="004F0CFB" w:rsidRPr="004A49EF">
        <w:lastRenderedPageBreak/>
        <w:t>4</w:t>
      </w:r>
      <w:r w:rsidRPr="004A49EF">
        <w:t>.  Determining In-Service Aggravation of Pre-Service Disability</w:t>
      </w:r>
    </w:p>
    <w:p w14:paraId="2F558219" w14:textId="2A0701CF" w:rsidR="009576AB" w:rsidRPr="004A49EF" w:rsidRDefault="00D40E37">
      <w:pPr>
        <w:pStyle w:val="BlockLine"/>
      </w:pPr>
      <w:r w:rsidRPr="004A49EF">
        <w:t xml:space="preserve"> </w:t>
      </w:r>
    </w:p>
    <w:tbl>
      <w:tblPr>
        <w:tblW w:w="0" w:type="auto"/>
        <w:tblLayout w:type="fixed"/>
        <w:tblLook w:val="0000" w:firstRow="0" w:lastRow="0" w:firstColumn="0" w:lastColumn="0" w:noHBand="0" w:noVBand="0"/>
      </w:tblPr>
      <w:tblGrid>
        <w:gridCol w:w="1728"/>
        <w:gridCol w:w="7740"/>
      </w:tblGrid>
      <w:tr w:rsidR="009576AB" w:rsidRPr="004A49EF" w14:paraId="1EBB5A0F" w14:textId="77777777" w:rsidTr="00306994">
        <w:tc>
          <w:tcPr>
            <w:tcW w:w="1728" w:type="dxa"/>
          </w:tcPr>
          <w:p w14:paraId="7E6CD65D" w14:textId="77777777" w:rsidR="009576AB" w:rsidRPr="004A49EF" w:rsidRDefault="009576AB">
            <w:pPr>
              <w:pStyle w:val="Heading5"/>
            </w:pPr>
            <w:r w:rsidRPr="004A49EF">
              <w:t>Introduction</w:t>
            </w:r>
          </w:p>
        </w:tc>
        <w:tc>
          <w:tcPr>
            <w:tcW w:w="7740" w:type="dxa"/>
          </w:tcPr>
          <w:p w14:paraId="3068B375" w14:textId="77777777" w:rsidR="009576AB" w:rsidRPr="004A49EF" w:rsidRDefault="009576AB">
            <w:pPr>
              <w:pStyle w:val="BlockText"/>
            </w:pPr>
            <w:r w:rsidRPr="004A49EF">
              <w:t>This topic contains information on determining</w:t>
            </w:r>
            <w:r w:rsidR="00644F04" w:rsidRPr="004A49EF">
              <w:t xml:space="preserve"> in-service</w:t>
            </w:r>
            <w:r w:rsidRPr="004A49EF">
              <w:t xml:space="preserve"> aggravation of pre-service disability, including</w:t>
            </w:r>
          </w:p>
          <w:p w14:paraId="3BB96B24" w14:textId="77777777" w:rsidR="009576AB" w:rsidRPr="004A49EF" w:rsidRDefault="009576AB">
            <w:pPr>
              <w:pStyle w:val="BlockText"/>
            </w:pPr>
          </w:p>
          <w:p w14:paraId="53502389" w14:textId="310BA0B0" w:rsidR="009576AB" w:rsidRPr="004A49EF" w:rsidRDefault="009576AB" w:rsidP="00F97139">
            <w:pPr>
              <w:pStyle w:val="BulletText1"/>
              <w:tabs>
                <w:tab w:val="clear" w:pos="443"/>
                <w:tab w:val="num" w:pos="162"/>
              </w:tabs>
              <w:ind w:left="162"/>
            </w:pPr>
            <w:r w:rsidRPr="004A49EF">
              <w:t xml:space="preserve">considering </w:t>
            </w:r>
            <w:r w:rsidR="006A0609" w:rsidRPr="004A49EF">
              <w:t xml:space="preserve">aggravation with </w:t>
            </w:r>
            <w:r w:rsidRPr="004A49EF">
              <w:t>the presumption of soundness at entry into service</w:t>
            </w:r>
          </w:p>
          <w:p w14:paraId="44702858" w14:textId="17A626BC" w:rsidR="001D116F" w:rsidRPr="004A49EF" w:rsidRDefault="001C51DA" w:rsidP="00F97139">
            <w:pPr>
              <w:pStyle w:val="BulletText1"/>
              <w:tabs>
                <w:tab w:val="clear" w:pos="443"/>
                <w:tab w:val="num" w:pos="162"/>
              </w:tabs>
              <w:ind w:left="162"/>
            </w:pPr>
            <w:r w:rsidRPr="004A49EF">
              <w:t xml:space="preserve">evidence </w:t>
            </w:r>
            <w:r w:rsidR="001D116F" w:rsidRPr="004A49EF">
              <w:t>establishing pre-existence when there is a presumption of soundness</w:t>
            </w:r>
          </w:p>
          <w:p w14:paraId="1DC88F30" w14:textId="77777777" w:rsidR="00E61C40" w:rsidRPr="004A49EF" w:rsidRDefault="00E61C40" w:rsidP="00F97139">
            <w:pPr>
              <w:pStyle w:val="BulletText1"/>
              <w:tabs>
                <w:tab w:val="clear" w:pos="443"/>
                <w:tab w:val="num" w:pos="162"/>
              </w:tabs>
              <w:ind w:left="162"/>
            </w:pPr>
            <w:r w:rsidRPr="004A49EF">
              <w:t>the role of medical evaluation board (MEB) and physical evaluation board (PEB) findings</w:t>
            </w:r>
          </w:p>
          <w:p w14:paraId="3229E866" w14:textId="77777777" w:rsidR="00E61C40" w:rsidRPr="004A49EF" w:rsidRDefault="00E61C40" w:rsidP="00F97139">
            <w:pPr>
              <w:pStyle w:val="BulletText1"/>
              <w:tabs>
                <w:tab w:val="clear" w:pos="443"/>
                <w:tab w:val="num" w:pos="162"/>
              </w:tabs>
              <w:ind w:left="162"/>
            </w:pPr>
            <w:r w:rsidRPr="004A49EF">
              <w:t>considering lay evidence and the presumption of soundness</w:t>
            </w:r>
          </w:p>
          <w:p w14:paraId="0CC5613B" w14:textId="5295980F" w:rsidR="001D116F" w:rsidRPr="004A49EF" w:rsidRDefault="001D116F" w:rsidP="00F97139">
            <w:pPr>
              <w:pStyle w:val="BulletText1"/>
              <w:tabs>
                <w:tab w:val="clear" w:pos="443"/>
                <w:tab w:val="num" w:pos="162"/>
              </w:tabs>
              <w:ind w:left="162"/>
            </w:pPr>
            <w:r w:rsidRPr="004A49EF">
              <w:t xml:space="preserve">aggravation </w:t>
            </w:r>
            <w:r w:rsidR="002D2108" w:rsidRPr="004A49EF">
              <w:t xml:space="preserve">determinations </w:t>
            </w:r>
            <w:r w:rsidRPr="004A49EF">
              <w:t>when there is a presumption of soundness</w:t>
            </w:r>
          </w:p>
          <w:p w14:paraId="45202FC7" w14:textId="77777777" w:rsidR="007243FC" w:rsidRPr="004A49EF" w:rsidRDefault="009576AB" w:rsidP="00F97139">
            <w:pPr>
              <w:pStyle w:val="BulletText1"/>
              <w:tabs>
                <w:tab w:val="clear" w:pos="443"/>
                <w:tab w:val="num" w:pos="162"/>
              </w:tabs>
              <w:ind w:left="162"/>
            </w:pPr>
            <w:r w:rsidRPr="004A49EF">
              <w:t>determining whether a pre</w:t>
            </w:r>
            <w:r w:rsidR="00644F04" w:rsidRPr="004A49EF">
              <w:t>-</w:t>
            </w:r>
            <w:r w:rsidRPr="004A49EF">
              <w:t>existing disability was aggravated by service</w:t>
            </w:r>
          </w:p>
          <w:p w14:paraId="782BCD0A" w14:textId="77777777" w:rsidR="00F15768" w:rsidRPr="004A49EF" w:rsidRDefault="00F15768" w:rsidP="00F97139">
            <w:pPr>
              <w:pStyle w:val="BulletText1"/>
              <w:tabs>
                <w:tab w:val="clear" w:pos="443"/>
                <w:tab w:val="num" w:pos="162"/>
              </w:tabs>
              <w:ind w:left="162"/>
            </w:pPr>
            <w:r w:rsidRPr="004A49EF">
              <w:t>the records needed to determine baseline level of disability</w:t>
            </w:r>
          </w:p>
          <w:p w14:paraId="67E2730E" w14:textId="77777777" w:rsidR="00F15768" w:rsidRPr="004A49EF" w:rsidRDefault="00F15768" w:rsidP="00F97139">
            <w:pPr>
              <w:pStyle w:val="BulletText1"/>
              <w:tabs>
                <w:tab w:val="clear" w:pos="443"/>
                <w:tab w:val="num" w:pos="162"/>
              </w:tabs>
              <w:ind w:left="162"/>
            </w:pPr>
            <w:r w:rsidRPr="004A49EF">
              <w:t>evaluating disabilities SC by aggravation under 38 U.S.C. 1153</w:t>
            </w:r>
          </w:p>
          <w:p w14:paraId="7ED5CFEA" w14:textId="77777777" w:rsidR="001D116F" w:rsidRPr="004A49EF" w:rsidRDefault="007243FC" w:rsidP="00F97139">
            <w:pPr>
              <w:pStyle w:val="BulletText1"/>
              <w:tabs>
                <w:tab w:val="clear" w:pos="443"/>
                <w:tab w:val="num" w:pos="162"/>
              </w:tabs>
              <w:ind w:left="162"/>
            </w:pPr>
            <w:r w:rsidRPr="004A49EF">
              <w:t>distinguishing between presumption of soundness and presumption of aggravation</w:t>
            </w:r>
          </w:p>
          <w:p w14:paraId="6B96300D" w14:textId="77777777" w:rsidR="009576AB" w:rsidRPr="004A49EF" w:rsidRDefault="009576AB" w:rsidP="00F97139">
            <w:pPr>
              <w:pStyle w:val="BulletText1"/>
              <w:tabs>
                <w:tab w:val="clear" w:pos="443"/>
                <w:tab w:val="num" w:pos="162"/>
              </w:tabs>
              <w:ind w:left="162"/>
            </w:pPr>
            <w:r w:rsidRPr="004A49EF">
              <w:t>considering flare-ups of pre</w:t>
            </w:r>
            <w:r w:rsidR="00644F04" w:rsidRPr="004A49EF">
              <w:t>-</w:t>
            </w:r>
            <w:r w:rsidRPr="004A49EF">
              <w:t>existing injury or disease</w:t>
            </w:r>
          </w:p>
          <w:p w14:paraId="7BBE6013" w14:textId="595400B4" w:rsidR="009576AB" w:rsidRPr="004A49EF" w:rsidRDefault="009576AB" w:rsidP="00F97139">
            <w:pPr>
              <w:pStyle w:val="BulletText1"/>
              <w:tabs>
                <w:tab w:val="clear" w:pos="443"/>
                <w:tab w:val="num" w:pos="162"/>
              </w:tabs>
              <w:ind w:left="162"/>
            </w:pPr>
            <w:r w:rsidRPr="004A49EF">
              <w:t>considering the usual effects of medical or surgical treatment</w:t>
            </w:r>
          </w:p>
          <w:p w14:paraId="0BA7224C" w14:textId="09B945C3" w:rsidR="001D001F" w:rsidRPr="004A49EF" w:rsidRDefault="009576AB" w:rsidP="00D741CC">
            <w:pPr>
              <w:pStyle w:val="BulletText1"/>
              <w:tabs>
                <w:tab w:val="clear" w:pos="443"/>
                <w:tab w:val="num" w:pos="162"/>
              </w:tabs>
              <w:ind w:left="162"/>
            </w:pPr>
            <w:r w:rsidRPr="004A49EF">
              <w:t xml:space="preserve">additional considerations under </w:t>
            </w:r>
            <w:r w:rsidR="00644F04" w:rsidRPr="004A49EF">
              <w:rPr>
                <w:i/>
              </w:rPr>
              <w:t>Splane v. West</w:t>
            </w:r>
          </w:p>
          <w:p w14:paraId="67274881" w14:textId="78C59830" w:rsidR="001D001F" w:rsidRPr="004A49EF" w:rsidRDefault="001D001F" w:rsidP="00D741CC">
            <w:pPr>
              <w:pStyle w:val="BulletText1"/>
              <w:tabs>
                <w:tab w:val="clear" w:pos="443"/>
                <w:tab w:val="num" w:pos="162"/>
              </w:tabs>
              <w:ind w:left="162"/>
            </w:pPr>
            <w:r w:rsidRPr="004A49EF">
              <w:t>aggravation of pre-existing disability under combat conditions, and</w:t>
            </w:r>
          </w:p>
          <w:p w14:paraId="5178B4C2" w14:textId="0CD2CDB1" w:rsidR="009576AB" w:rsidRPr="004A49EF" w:rsidRDefault="001D001F" w:rsidP="00D741CC">
            <w:pPr>
              <w:pStyle w:val="BulletText1"/>
              <w:tabs>
                <w:tab w:val="clear" w:pos="443"/>
                <w:tab w:val="num" w:pos="162"/>
              </w:tabs>
              <w:ind w:left="162"/>
            </w:pPr>
            <w:r w:rsidRPr="004A49EF">
              <w:t xml:space="preserve"> </w:t>
            </w:r>
            <w:proofErr w:type="gramStart"/>
            <w:r w:rsidRPr="004A49EF">
              <w:t>additional</w:t>
            </w:r>
            <w:proofErr w:type="gramEnd"/>
            <w:r w:rsidRPr="004A49EF">
              <w:t xml:space="preserve"> considerations under </w:t>
            </w:r>
            <w:r w:rsidRPr="004A49EF">
              <w:rPr>
                <w:i/>
              </w:rPr>
              <w:t xml:space="preserve">Maxson v. </w:t>
            </w:r>
            <w:proofErr w:type="spellStart"/>
            <w:r w:rsidRPr="004A49EF">
              <w:rPr>
                <w:i/>
              </w:rPr>
              <w:t>Gober</w:t>
            </w:r>
            <w:proofErr w:type="spellEnd"/>
            <w:r w:rsidR="00C10FD4" w:rsidRPr="004A49EF">
              <w:t>.</w:t>
            </w:r>
            <w:r w:rsidRPr="004A49EF">
              <w:t xml:space="preserve">  </w:t>
            </w:r>
          </w:p>
        </w:tc>
      </w:tr>
    </w:tbl>
    <w:p w14:paraId="147AB44A" w14:textId="69156430"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3CDED5CC" w14:textId="77777777" w:rsidTr="005E4752">
        <w:trPr>
          <w:cantSplit/>
          <w:trHeight w:val="261"/>
        </w:trPr>
        <w:tc>
          <w:tcPr>
            <w:tcW w:w="1728" w:type="dxa"/>
          </w:tcPr>
          <w:p w14:paraId="42632F42" w14:textId="77777777" w:rsidR="009576AB" w:rsidRPr="004A49EF" w:rsidRDefault="009576AB">
            <w:pPr>
              <w:pStyle w:val="Heading5"/>
            </w:pPr>
            <w:r w:rsidRPr="004A49EF">
              <w:t>Change Date</w:t>
            </w:r>
          </w:p>
        </w:tc>
        <w:tc>
          <w:tcPr>
            <w:tcW w:w="7740" w:type="dxa"/>
          </w:tcPr>
          <w:p w14:paraId="7218CF8A" w14:textId="23B60C74" w:rsidR="009576AB" w:rsidRPr="004A49EF" w:rsidRDefault="00F4369A">
            <w:pPr>
              <w:pStyle w:val="BlockText"/>
            </w:pPr>
            <w:r w:rsidRPr="004A49EF">
              <w:t>January 20, 2016</w:t>
            </w:r>
          </w:p>
        </w:tc>
      </w:tr>
    </w:tbl>
    <w:p w14:paraId="4BBCC5E8" w14:textId="351ADDC0" w:rsidR="009576AB" w:rsidRPr="004A49EF" w:rsidRDefault="009576AB" w:rsidP="00986807">
      <w:pPr>
        <w:pStyle w:val="BlockLine"/>
      </w:pPr>
    </w:p>
    <w:tbl>
      <w:tblPr>
        <w:tblW w:w="0" w:type="auto"/>
        <w:tblLayout w:type="fixed"/>
        <w:tblLook w:val="0000" w:firstRow="0" w:lastRow="0" w:firstColumn="0" w:lastColumn="0" w:noHBand="0" w:noVBand="0"/>
      </w:tblPr>
      <w:tblGrid>
        <w:gridCol w:w="1728"/>
        <w:gridCol w:w="7740"/>
      </w:tblGrid>
      <w:tr w:rsidR="009576AB" w:rsidRPr="004A49EF" w14:paraId="0BA53DCA" w14:textId="77777777" w:rsidTr="00306994">
        <w:tc>
          <w:tcPr>
            <w:tcW w:w="1728" w:type="dxa"/>
          </w:tcPr>
          <w:p w14:paraId="2401241C" w14:textId="639DA341" w:rsidR="009576AB" w:rsidRPr="004A49EF" w:rsidRDefault="009576AB">
            <w:pPr>
              <w:pStyle w:val="Heading5"/>
            </w:pPr>
            <w:r w:rsidRPr="004A49EF">
              <w:t xml:space="preserve">a.  Considering </w:t>
            </w:r>
            <w:r w:rsidR="006A0609" w:rsidRPr="004A49EF">
              <w:t xml:space="preserve">Aggravation With </w:t>
            </w:r>
            <w:r w:rsidRPr="004A49EF">
              <w:t xml:space="preserve">the Presumption of Soundness at Entry Into Service </w:t>
            </w:r>
          </w:p>
        </w:tc>
        <w:tc>
          <w:tcPr>
            <w:tcW w:w="7740" w:type="dxa"/>
          </w:tcPr>
          <w:p w14:paraId="7641B59E" w14:textId="3BF3236A" w:rsidR="00E96971" w:rsidRPr="004A49EF" w:rsidRDefault="009264DE" w:rsidP="00E96971">
            <w:pPr>
              <w:pStyle w:val="BlockText"/>
            </w:pPr>
            <w:r w:rsidRPr="004A49EF">
              <w:t>P</w:t>
            </w:r>
            <w:r w:rsidR="003A2437" w:rsidRPr="004A49EF">
              <w:t xml:space="preserve">roper </w:t>
            </w:r>
            <w:r w:rsidR="00A1010F" w:rsidRPr="004A49EF">
              <w:t>analysis of the</w:t>
            </w:r>
            <w:r w:rsidR="000C08A8" w:rsidRPr="004A49EF">
              <w:t xml:space="preserve"> evidence for</w:t>
            </w:r>
            <w:r w:rsidR="00A1010F" w:rsidRPr="004A49EF">
              <w:t xml:space="preserve"> presumption of soundness is </w:t>
            </w:r>
            <w:r w:rsidR="008726C7" w:rsidRPr="004A49EF">
              <w:t xml:space="preserve">very </w:t>
            </w:r>
            <w:r w:rsidR="003A2437" w:rsidRPr="004A49EF">
              <w:t>important</w:t>
            </w:r>
            <w:r w:rsidRPr="004A49EF">
              <w:t xml:space="preserve"> to making a determination of aggravation.</w:t>
            </w:r>
            <w:r w:rsidR="00F51D87" w:rsidRPr="004A49EF">
              <w:t xml:space="preserve">  </w:t>
            </w:r>
            <w:r w:rsidR="009E5381" w:rsidRPr="004A49EF">
              <w:t>Carefully analyze the evidence for a</w:t>
            </w:r>
            <w:r w:rsidR="00E96971" w:rsidRPr="004A49EF">
              <w:t xml:space="preserve">ggravation </w:t>
            </w:r>
            <w:r w:rsidR="002012FC" w:rsidRPr="004A49EF">
              <w:t xml:space="preserve">of a claimed disability </w:t>
            </w:r>
            <w:r w:rsidR="00E96971" w:rsidRPr="004A49EF">
              <w:t xml:space="preserve">when </w:t>
            </w:r>
          </w:p>
          <w:p w14:paraId="79A27CA2" w14:textId="77777777" w:rsidR="00F51D87" w:rsidRPr="004A49EF" w:rsidRDefault="00F51D87" w:rsidP="00E96971">
            <w:pPr>
              <w:pStyle w:val="BlockText"/>
            </w:pPr>
          </w:p>
          <w:p w14:paraId="339FEA1D" w14:textId="265DA55E" w:rsidR="00E96971" w:rsidRPr="004A49EF" w:rsidRDefault="00E96971" w:rsidP="00E96971">
            <w:pPr>
              <w:pStyle w:val="BulletText1"/>
              <w:tabs>
                <w:tab w:val="clear" w:pos="443"/>
                <w:tab w:val="num" w:pos="162"/>
              </w:tabs>
              <w:ind w:left="162"/>
            </w:pPr>
            <w:r w:rsidRPr="004A49EF">
              <w:t xml:space="preserve">under </w:t>
            </w:r>
            <w:hyperlink r:id="rId91" w:history="1">
              <w:r w:rsidRPr="004A49EF">
                <w:rPr>
                  <w:rStyle w:val="Hyperlink"/>
                </w:rPr>
                <w:t xml:space="preserve">38 </w:t>
              </w:r>
              <w:proofErr w:type="spellStart"/>
              <w:r w:rsidRPr="004A49EF">
                <w:rPr>
                  <w:rStyle w:val="Hyperlink"/>
                </w:rPr>
                <w:t>U.S.C</w:t>
              </w:r>
              <w:proofErr w:type="spellEnd"/>
              <w:r w:rsidRPr="004A49EF">
                <w:rPr>
                  <w:rStyle w:val="Hyperlink"/>
                </w:rPr>
                <w:t>. 1153</w:t>
              </w:r>
            </w:hyperlink>
            <w:r w:rsidR="009E5381" w:rsidRPr="004A49EF">
              <w:t>,</w:t>
            </w:r>
            <w:r w:rsidRPr="004A49EF">
              <w:t xml:space="preserve"> a condition for which the Veteran is seeking </w:t>
            </w:r>
            <w:r w:rsidR="00C56953" w:rsidRPr="004A49EF">
              <w:t>SC</w:t>
            </w:r>
            <w:r w:rsidRPr="004A49EF">
              <w:t xml:space="preserve"> was noted at entry, or</w:t>
            </w:r>
          </w:p>
          <w:p w14:paraId="4A4AA7A1" w14:textId="0AB49F67" w:rsidR="00E96971" w:rsidRPr="004A49EF" w:rsidRDefault="00E96971" w:rsidP="00E96971">
            <w:pPr>
              <w:pStyle w:val="BulletText1"/>
              <w:tabs>
                <w:tab w:val="clear" w:pos="443"/>
                <w:tab w:val="num" w:pos="162"/>
              </w:tabs>
              <w:ind w:left="162"/>
            </w:pPr>
            <w:proofErr w:type="gramStart"/>
            <w:r w:rsidRPr="004A49EF">
              <w:t>under</w:t>
            </w:r>
            <w:proofErr w:type="gramEnd"/>
            <w:r w:rsidRPr="004A49EF">
              <w:t xml:space="preserve"> </w:t>
            </w:r>
            <w:hyperlink r:id="rId92" w:history="1">
              <w:r w:rsidRPr="004A49EF">
                <w:rPr>
                  <w:rStyle w:val="Hyperlink"/>
                </w:rPr>
                <w:t xml:space="preserve">38 </w:t>
              </w:r>
              <w:proofErr w:type="spellStart"/>
              <w:r w:rsidRPr="004A49EF">
                <w:rPr>
                  <w:rStyle w:val="Hyperlink"/>
                </w:rPr>
                <w:t>U.S.C</w:t>
              </w:r>
              <w:proofErr w:type="spellEnd"/>
              <w:r w:rsidRPr="004A49EF">
                <w:rPr>
                  <w:rStyle w:val="Hyperlink"/>
                </w:rPr>
                <w:t>. 1111</w:t>
              </w:r>
            </w:hyperlink>
            <w:r w:rsidR="009E5381" w:rsidRPr="004A49EF">
              <w:t>,</w:t>
            </w:r>
            <w:r w:rsidRPr="004A49EF">
              <w:t xml:space="preserve"> a condition for which the Veteran is seeking </w:t>
            </w:r>
            <w:r w:rsidR="00C56953" w:rsidRPr="004A49EF">
              <w:t>SC</w:t>
            </w:r>
            <w:r w:rsidRPr="004A49EF">
              <w:t xml:space="preserve"> was not noted at entry but evidence proves that the condition pre</w:t>
            </w:r>
            <w:r w:rsidR="00EB45FB" w:rsidRPr="004A49EF">
              <w:t>-</w:t>
            </w:r>
            <w:r w:rsidRPr="004A49EF">
              <w:t>existed service.</w:t>
            </w:r>
          </w:p>
          <w:p w14:paraId="2D0DAE2C" w14:textId="77777777" w:rsidR="00E96971" w:rsidRPr="004A49EF" w:rsidRDefault="00E96971">
            <w:pPr>
              <w:pStyle w:val="BlockText"/>
            </w:pPr>
          </w:p>
          <w:p w14:paraId="05B490C0" w14:textId="77777777" w:rsidR="00185373" w:rsidRPr="004A49EF" w:rsidRDefault="009576AB" w:rsidP="00004A68">
            <w:pPr>
              <w:pStyle w:val="BlockText"/>
            </w:pPr>
            <w:r w:rsidRPr="004A49EF">
              <w:rPr>
                <w:b/>
                <w:bCs/>
                <w:i/>
                <w:iCs/>
              </w:rPr>
              <w:t>Reference</w:t>
            </w:r>
            <w:r w:rsidRPr="004A49EF">
              <w:t>:  For more information on the presumption of soundness</w:t>
            </w:r>
            <w:r w:rsidR="00A1010F" w:rsidRPr="004A49EF">
              <w:t>,</w:t>
            </w:r>
            <w:r w:rsidR="005E4752" w:rsidRPr="004A49EF">
              <w:t xml:space="preserve"> </w:t>
            </w:r>
            <w:r w:rsidRPr="004A49EF">
              <w:t>see</w:t>
            </w:r>
          </w:p>
          <w:p w14:paraId="7B21DA28" w14:textId="52A3FBA8" w:rsidR="00D9086A" w:rsidRPr="004A49EF" w:rsidRDefault="004A49EF" w:rsidP="00523094">
            <w:pPr>
              <w:pStyle w:val="ListParagraph"/>
              <w:numPr>
                <w:ilvl w:val="0"/>
                <w:numId w:val="28"/>
              </w:numPr>
              <w:ind w:left="158" w:hanging="187"/>
            </w:pPr>
            <w:hyperlink r:id="rId93" w:history="1">
              <w:r w:rsidR="00D9086A" w:rsidRPr="004A49EF">
                <w:rPr>
                  <w:rStyle w:val="Hyperlink"/>
                </w:rPr>
                <w:t>38 CFR 3.304(b)</w:t>
              </w:r>
            </w:hyperlink>
          </w:p>
          <w:p w14:paraId="5CBB2A83" w14:textId="7B67172F" w:rsidR="009576AB" w:rsidRPr="004A49EF" w:rsidRDefault="00185373" w:rsidP="00523094">
            <w:pPr>
              <w:pStyle w:val="ListParagraph"/>
              <w:numPr>
                <w:ilvl w:val="0"/>
                <w:numId w:val="28"/>
              </w:numPr>
              <w:ind w:left="158" w:hanging="187"/>
            </w:pPr>
            <w:r w:rsidRPr="004A49EF">
              <w:t xml:space="preserve">M21-1, Part IV, Subpart ii, </w:t>
            </w:r>
            <w:proofErr w:type="spellStart"/>
            <w:r w:rsidRPr="004A49EF">
              <w:t>2.B.</w:t>
            </w:r>
            <w:r w:rsidR="00493805" w:rsidRPr="004A49EF">
              <w:t>1</w:t>
            </w:r>
            <w:r w:rsidRPr="004A49EF">
              <w:t>.</w:t>
            </w:r>
            <w:r w:rsidR="00493805" w:rsidRPr="004A49EF">
              <w:t>f</w:t>
            </w:r>
            <w:proofErr w:type="spellEnd"/>
          </w:p>
          <w:p w14:paraId="780E9F5F" w14:textId="7F256106" w:rsidR="00E96971" w:rsidRPr="004A49EF" w:rsidRDefault="00E96971" w:rsidP="00523094">
            <w:pPr>
              <w:pStyle w:val="ListParagraph"/>
              <w:numPr>
                <w:ilvl w:val="0"/>
                <w:numId w:val="28"/>
              </w:numPr>
              <w:ind w:left="158" w:hanging="187"/>
            </w:pPr>
            <w:r w:rsidRPr="004A49EF">
              <w:t xml:space="preserve">M21-1, Part IV, Subpart ii, </w:t>
            </w:r>
            <w:proofErr w:type="spellStart"/>
            <w:r w:rsidRPr="004A49EF">
              <w:t>2.B.1.h</w:t>
            </w:r>
            <w:proofErr w:type="spellEnd"/>
          </w:p>
          <w:p w14:paraId="135AD8B5" w14:textId="77777777" w:rsidR="005E4752" w:rsidRPr="004A49EF" w:rsidRDefault="004A49EF" w:rsidP="00523094">
            <w:pPr>
              <w:pStyle w:val="ListParagraph"/>
              <w:numPr>
                <w:ilvl w:val="0"/>
                <w:numId w:val="29"/>
              </w:numPr>
              <w:ind w:left="158" w:hanging="187"/>
            </w:pPr>
            <w:hyperlink r:id="rId94" w:history="1">
              <w:r w:rsidR="005E4752" w:rsidRPr="004A49EF">
                <w:rPr>
                  <w:rStyle w:val="Hyperlink"/>
                </w:rPr>
                <w:t>38 U.S.C. 1111</w:t>
              </w:r>
            </w:hyperlink>
          </w:p>
          <w:p w14:paraId="1F38478F" w14:textId="77777777" w:rsidR="009576AB" w:rsidRPr="004A49EF" w:rsidRDefault="004A49EF" w:rsidP="00523094">
            <w:pPr>
              <w:pStyle w:val="ListParagraph"/>
              <w:numPr>
                <w:ilvl w:val="0"/>
                <w:numId w:val="30"/>
              </w:numPr>
              <w:ind w:left="158" w:hanging="187"/>
            </w:pPr>
            <w:hyperlink r:id="rId95" w:anchor="bmw" w:history="1">
              <w:r w:rsidR="005E4752" w:rsidRPr="004A49EF">
                <w:rPr>
                  <w:rStyle w:val="Hyperlink"/>
                  <w:i/>
                </w:rPr>
                <w:t>Wagner v. Principi</w:t>
              </w:r>
            </w:hyperlink>
            <w:r w:rsidR="005E4752" w:rsidRPr="004A49EF">
              <w:t>, 370 F.3d 1089 (Fed. Cir. 2004)</w:t>
            </w:r>
          </w:p>
          <w:p w14:paraId="4D1E0E71" w14:textId="77777777" w:rsidR="003763D8" w:rsidRPr="004A49EF" w:rsidRDefault="004A49EF" w:rsidP="00523094">
            <w:pPr>
              <w:pStyle w:val="ListParagraph"/>
              <w:numPr>
                <w:ilvl w:val="0"/>
                <w:numId w:val="31"/>
              </w:numPr>
              <w:ind w:left="158" w:hanging="187"/>
            </w:pPr>
            <w:hyperlink r:id="rId96" w:anchor="bmh" w:history="1">
              <w:r w:rsidR="003763D8" w:rsidRPr="004A49EF">
                <w:rPr>
                  <w:rStyle w:val="Hyperlink"/>
                  <w:i/>
                </w:rPr>
                <w:t xml:space="preserve">Horn v. </w:t>
              </w:r>
              <w:r w:rsidR="008F540A" w:rsidRPr="004A49EF">
                <w:rPr>
                  <w:rStyle w:val="Hyperlink"/>
                  <w:i/>
                </w:rPr>
                <w:t>Shinseki</w:t>
              </w:r>
            </w:hyperlink>
            <w:r w:rsidR="008F540A" w:rsidRPr="004A49EF">
              <w:rPr>
                <w:i/>
              </w:rPr>
              <w:t>,</w:t>
            </w:r>
            <w:r w:rsidR="008F540A" w:rsidRPr="004A49EF">
              <w:t xml:space="preserve"> 25 Vet.App. 231 (2012)</w:t>
            </w:r>
          </w:p>
          <w:p w14:paraId="151CE88F" w14:textId="0A218FD4" w:rsidR="00B874A4" w:rsidRPr="004A49EF" w:rsidRDefault="00D40E37" w:rsidP="00523094">
            <w:pPr>
              <w:pStyle w:val="ListParagraph"/>
              <w:numPr>
                <w:ilvl w:val="0"/>
                <w:numId w:val="32"/>
              </w:numPr>
              <w:ind w:left="158" w:hanging="187"/>
            </w:pPr>
            <w:hyperlink r:id="rId97" w:anchor="bmg" w:history="1">
              <w:r w:rsidR="00C37935" w:rsidRPr="004A49EF">
                <w:rPr>
                  <w:rStyle w:val="Hyperlink"/>
                  <w:i/>
                </w:rPr>
                <w:t>Gilbert v. Shinseki</w:t>
              </w:r>
            </w:hyperlink>
            <w:r w:rsidR="00C37935" w:rsidRPr="004A49EF">
              <w:rPr>
                <w:i/>
              </w:rPr>
              <w:t>,</w:t>
            </w:r>
            <w:r w:rsidR="00C37935" w:rsidRPr="004A49EF">
              <w:t xml:space="preserve"> 26 </w:t>
            </w:r>
            <w:proofErr w:type="spellStart"/>
            <w:r w:rsidR="00C37935" w:rsidRPr="004A49EF">
              <w:t>Vet.App</w:t>
            </w:r>
            <w:proofErr w:type="spellEnd"/>
            <w:proofErr w:type="gramStart"/>
            <w:r w:rsidR="00C37935" w:rsidRPr="004A49EF">
              <w:t xml:space="preserve">. </w:t>
            </w:r>
            <w:proofErr w:type="gramEnd"/>
            <w:r w:rsidR="00C37935" w:rsidRPr="004A49EF">
              <w:t>48 (2012)</w:t>
            </w:r>
            <w:r w:rsidR="00B874A4" w:rsidRPr="004A49EF">
              <w:t xml:space="preserve">, and </w:t>
            </w:r>
          </w:p>
          <w:p w14:paraId="111271D2" w14:textId="77777777" w:rsidR="00C37935" w:rsidRPr="004A49EF" w:rsidRDefault="004A49EF" w:rsidP="00523094">
            <w:pPr>
              <w:pStyle w:val="ListParagraph"/>
              <w:numPr>
                <w:ilvl w:val="0"/>
                <w:numId w:val="32"/>
              </w:numPr>
              <w:ind w:left="158" w:hanging="187"/>
            </w:pPr>
            <w:hyperlink r:id="rId98" w:anchor="bmm" w:history="1">
              <w:r w:rsidR="00B874A4" w:rsidRPr="004A49EF">
                <w:rPr>
                  <w:rStyle w:val="Hyperlink"/>
                  <w:i/>
                </w:rPr>
                <w:t>Morris v. Shinseki</w:t>
              </w:r>
            </w:hyperlink>
            <w:r w:rsidR="00B874A4" w:rsidRPr="004A49EF">
              <w:rPr>
                <w:i/>
              </w:rPr>
              <w:t>,</w:t>
            </w:r>
            <w:r w:rsidR="00B874A4" w:rsidRPr="004A49EF">
              <w:t xml:space="preserve"> 678 F.3d 1346 (Fed. Cir. 2012).  </w:t>
            </w:r>
          </w:p>
        </w:tc>
      </w:tr>
    </w:tbl>
    <w:p w14:paraId="5D402035" w14:textId="25331E37" w:rsidR="003763D8" w:rsidRPr="004A49EF" w:rsidRDefault="003763D8" w:rsidP="00F204FA">
      <w:pPr>
        <w:pStyle w:val="BlockLine"/>
      </w:pPr>
    </w:p>
    <w:tbl>
      <w:tblPr>
        <w:tblW w:w="0" w:type="auto"/>
        <w:tblLayout w:type="fixed"/>
        <w:tblLook w:val="0000" w:firstRow="0" w:lastRow="0" w:firstColumn="0" w:lastColumn="0" w:noHBand="0" w:noVBand="0"/>
      </w:tblPr>
      <w:tblGrid>
        <w:gridCol w:w="1728"/>
        <w:gridCol w:w="7740"/>
      </w:tblGrid>
      <w:tr w:rsidR="003763D8" w:rsidRPr="004A49EF" w14:paraId="78C96353" w14:textId="77777777" w:rsidTr="003763D8">
        <w:tc>
          <w:tcPr>
            <w:tcW w:w="1728" w:type="dxa"/>
            <w:shd w:val="clear" w:color="auto" w:fill="auto"/>
          </w:tcPr>
          <w:p w14:paraId="00208971" w14:textId="5D070AAF" w:rsidR="003763D8" w:rsidRPr="004A49EF" w:rsidRDefault="0085716A" w:rsidP="00133C8C">
            <w:pPr>
              <w:pStyle w:val="Heading5"/>
            </w:pPr>
            <w:r w:rsidRPr="004A49EF">
              <w:t>b.</w:t>
            </w:r>
            <w:r w:rsidR="00B84C57" w:rsidRPr="004A49EF">
              <w:t xml:space="preserve"> </w:t>
            </w:r>
            <w:r w:rsidRPr="004A49EF">
              <w:t xml:space="preserve"> </w:t>
            </w:r>
            <w:r w:rsidR="001C51DA" w:rsidRPr="004A49EF">
              <w:t xml:space="preserve">Evidence </w:t>
            </w:r>
            <w:r w:rsidR="003763D8" w:rsidRPr="004A49EF">
              <w:t xml:space="preserve">Establishing </w:t>
            </w:r>
            <w:r w:rsidR="00EB07BE" w:rsidRPr="004A49EF">
              <w:t>P</w:t>
            </w:r>
            <w:r w:rsidR="003763D8" w:rsidRPr="004A49EF">
              <w:t>re</w:t>
            </w:r>
            <w:r w:rsidR="00493805" w:rsidRPr="004A49EF">
              <w:t>-</w:t>
            </w:r>
            <w:r w:rsidR="00EB07BE" w:rsidRPr="004A49EF">
              <w:t>E</w:t>
            </w:r>
            <w:r w:rsidR="003763D8" w:rsidRPr="004A49EF">
              <w:t xml:space="preserve">xistence </w:t>
            </w:r>
            <w:r w:rsidR="00EB07BE" w:rsidRPr="004A49EF">
              <w:t>W</w:t>
            </w:r>
            <w:r w:rsidR="003763D8" w:rsidRPr="004A49EF">
              <w:t xml:space="preserve">hen </w:t>
            </w:r>
            <w:r w:rsidR="00EB07BE" w:rsidRPr="004A49EF">
              <w:t>T</w:t>
            </w:r>
            <w:r w:rsidR="003763D8" w:rsidRPr="004A49EF">
              <w:t xml:space="preserve">here </w:t>
            </w:r>
            <w:r w:rsidR="00EB07BE" w:rsidRPr="004A49EF">
              <w:t>I</w:t>
            </w:r>
            <w:r w:rsidR="003763D8" w:rsidRPr="004A49EF">
              <w:t xml:space="preserve">s a </w:t>
            </w:r>
            <w:r w:rsidR="00EB07BE" w:rsidRPr="004A49EF">
              <w:t>P</w:t>
            </w:r>
            <w:r w:rsidR="003763D8" w:rsidRPr="004A49EF">
              <w:t xml:space="preserve">resumption of </w:t>
            </w:r>
            <w:r w:rsidR="00EB07BE" w:rsidRPr="004A49EF">
              <w:t>S</w:t>
            </w:r>
            <w:r w:rsidR="003763D8" w:rsidRPr="004A49EF">
              <w:t>oundness</w:t>
            </w:r>
          </w:p>
        </w:tc>
        <w:tc>
          <w:tcPr>
            <w:tcW w:w="7740" w:type="dxa"/>
            <w:shd w:val="clear" w:color="auto" w:fill="auto"/>
          </w:tcPr>
          <w:p w14:paraId="7B457503" w14:textId="27D2667E" w:rsidR="003763D8" w:rsidRPr="004A49EF" w:rsidRDefault="00AF1884" w:rsidP="003763D8">
            <w:pPr>
              <w:pStyle w:val="BlockText"/>
            </w:pPr>
            <w:r w:rsidRPr="004A49EF">
              <w:t>When a claimed disorder was not noted on the entrance exam</w:t>
            </w:r>
            <w:r w:rsidR="005E1631" w:rsidRPr="004A49EF">
              <w:t>ination</w:t>
            </w:r>
            <w:r w:rsidRPr="004A49EF">
              <w:t xml:space="preserve"> and the </w:t>
            </w:r>
            <w:r w:rsidR="00AA28F6" w:rsidRPr="004A49EF">
              <w:t xml:space="preserve">presumption of soundness applies, </w:t>
            </w:r>
            <w:r w:rsidR="004A196C" w:rsidRPr="004A49EF">
              <w:t>only evidence showing the disorder clearly and unmistakably existed prior to enlistment may establish pre-existence of the claimed condition.</w:t>
            </w:r>
          </w:p>
          <w:p w14:paraId="32A6E070" w14:textId="77777777" w:rsidR="00965C8E" w:rsidRPr="004A49EF" w:rsidRDefault="00965C8E" w:rsidP="003763D8">
            <w:pPr>
              <w:pStyle w:val="BlockText"/>
            </w:pPr>
          </w:p>
          <w:p w14:paraId="46FD0393" w14:textId="72B5F360" w:rsidR="00A26E42" w:rsidRPr="004A49EF" w:rsidRDefault="00965C8E" w:rsidP="003763D8">
            <w:pPr>
              <w:pStyle w:val="BlockText"/>
            </w:pPr>
            <w:r w:rsidRPr="004A49EF">
              <w:t>Any acceptable evidence pertinent to onset</w:t>
            </w:r>
            <w:r w:rsidR="00127C9E" w:rsidRPr="004A49EF">
              <w:t xml:space="preserve"> or inception</w:t>
            </w:r>
            <w:r w:rsidRPr="004A49EF">
              <w:t xml:space="preserve"> </w:t>
            </w:r>
            <w:r w:rsidR="004A196C" w:rsidRPr="004A49EF">
              <w:t>of the condition should be evaluated carefully</w:t>
            </w:r>
            <w:r w:rsidRPr="004A49EF">
              <w:t>.</w:t>
            </w:r>
            <w:r w:rsidR="00127C9E" w:rsidRPr="004A49EF">
              <w:t xml:space="preserve">  </w:t>
            </w:r>
            <w:r w:rsidR="00844854" w:rsidRPr="004A49EF">
              <w:t>Determine credibility and appropriate weight of evidence which may include</w:t>
            </w:r>
          </w:p>
          <w:p w14:paraId="737F04E7" w14:textId="77777777" w:rsidR="00127C9E" w:rsidRPr="004A49EF" w:rsidRDefault="00127C9E" w:rsidP="003763D8">
            <w:pPr>
              <w:pStyle w:val="BlockText"/>
            </w:pPr>
          </w:p>
          <w:p w14:paraId="6AEBFE56" w14:textId="77777777" w:rsidR="00127C9E" w:rsidRPr="004A49EF" w:rsidRDefault="00A26E42" w:rsidP="00F97139">
            <w:pPr>
              <w:pStyle w:val="BulletText1"/>
              <w:tabs>
                <w:tab w:val="clear" w:pos="443"/>
                <w:tab w:val="num" w:pos="162"/>
              </w:tabs>
              <w:ind w:left="162"/>
            </w:pPr>
            <w:r w:rsidRPr="004A49EF">
              <w:t>m</w:t>
            </w:r>
            <w:r w:rsidR="00127C9E" w:rsidRPr="004A49EF">
              <w:t>edical records from before, during</w:t>
            </w:r>
            <w:r w:rsidR="00DA18A2" w:rsidRPr="004A49EF">
              <w:t>,</w:t>
            </w:r>
            <w:r w:rsidR="00127C9E" w:rsidRPr="004A49EF">
              <w:t xml:space="preserve"> or after service</w:t>
            </w:r>
            <w:r w:rsidR="00B267F5" w:rsidRPr="004A49EF">
              <w:t>, and</w:t>
            </w:r>
          </w:p>
          <w:p w14:paraId="7A892326" w14:textId="77777777" w:rsidR="00127C9E" w:rsidRPr="004A49EF" w:rsidRDefault="00A26E42" w:rsidP="00F97139">
            <w:pPr>
              <w:pStyle w:val="BulletText1"/>
              <w:tabs>
                <w:tab w:val="clear" w:pos="443"/>
                <w:tab w:val="num" w:pos="162"/>
              </w:tabs>
              <w:ind w:left="162"/>
            </w:pPr>
            <w:r w:rsidRPr="004A49EF">
              <w:t>l</w:t>
            </w:r>
            <w:r w:rsidR="00127C9E" w:rsidRPr="004A49EF">
              <w:t xml:space="preserve">ay evidence </w:t>
            </w:r>
            <w:r w:rsidR="00B267F5" w:rsidRPr="004A49EF">
              <w:t>such as</w:t>
            </w:r>
            <w:r w:rsidR="00127C9E" w:rsidRPr="004A49EF">
              <w:t xml:space="preserve"> history from the claimant</w:t>
            </w:r>
            <w:r w:rsidRPr="004A49EF">
              <w:t>.</w:t>
            </w:r>
          </w:p>
          <w:p w14:paraId="7A165705" w14:textId="77777777" w:rsidR="008F540A" w:rsidRPr="004A49EF" w:rsidRDefault="008F540A" w:rsidP="008F540A">
            <w:pPr>
              <w:pStyle w:val="BulletText1"/>
              <w:numPr>
                <w:ilvl w:val="0"/>
                <w:numId w:val="0"/>
              </w:numPr>
              <w:ind w:left="173" w:hanging="173"/>
            </w:pPr>
          </w:p>
          <w:p w14:paraId="46156283" w14:textId="77777777" w:rsidR="00B267F5" w:rsidRPr="004A49EF" w:rsidRDefault="008F540A" w:rsidP="005B1E61">
            <w:pPr>
              <w:pStyle w:val="BlockText"/>
            </w:pPr>
            <w:r w:rsidRPr="004A49EF">
              <w:rPr>
                <w:b/>
                <w:i/>
              </w:rPr>
              <w:t>Important</w:t>
            </w:r>
            <w:r w:rsidRPr="004A49EF">
              <w:t xml:space="preserve">:  </w:t>
            </w:r>
            <w:hyperlink r:id="rId99" w:history="1">
              <w:r w:rsidR="00AA0731" w:rsidRPr="004A49EF">
                <w:rPr>
                  <w:rStyle w:val="Hyperlink"/>
                </w:rPr>
                <w:t>38 CFR 3.304(b)(1)</w:t>
              </w:r>
            </w:hyperlink>
            <w:r w:rsidR="00AA0731" w:rsidRPr="004A49EF">
              <w:t xml:space="preserve">, and </w:t>
            </w:r>
            <w:hyperlink r:id="rId100" w:history="1">
              <w:r w:rsidR="00AA0731" w:rsidRPr="004A49EF">
                <w:rPr>
                  <w:rStyle w:val="Hyperlink"/>
                </w:rPr>
                <w:t>38 CFR 3.304(b)(2)</w:t>
              </w:r>
            </w:hyperlink>
            <w:r w:rsidR="00AA0731" w:rsidRPr="004A49EF">
              <w:t xml:space="preserve"> </w:t>
            </w:r>
            <w:r w:rsidRPr="004A49EF">
              <w:t>emphasize</w:t>
            </w:r>
            <w:r w:rsidR="008473EB" w:rsidRPr="004A49EF">
              <w:t xml:space="preserve"> </w:t>
            </w:r>
            <w:r w:rsidR="0085716A" w:rsidRPr="004A49EF">
              <w:t>that</w:t>
            </w:r>
            <w:r w:rsidR="00AA0731" w:rsidRPr="004A49EF">
              <w:t>,</w:t>
            </w:r>
            <w:r w:rsidR="0085716A" w:rsidRPr="004A49EF">
              <w:t xml:space="preserve"> in conducting the analysis</w:t>
            </w:r>
            <w:r w:rsidR="00AA0731" w:rsidRPr="004A49EF">
              <w:t>, the decision maker</w:t>
            </w:r>
            <w:r w:rsidR="005E1631" w:rsidRPr="004A49EF">
              <w:t xml:space="preserve"> should</w:t>
            </w:r>
            <w:r w:rsidR="0085716A" w:rsidRPr="004A49EF">
              <w:t xml:space="preserve"> </w:t>
            </w:r>
            <w:r w:rsidR="0085716A" w:rsidRPr="004A49EF">
              <w:rPr>
                <w:b/>
                <w:i/>
              </w:rPr>
              <w:t>not</w:t>
            </w:r>
            <w:r w:rsidR="0085716A" w:rsidRPr="004A49EF">
              <w:t xml:space="preserve"> </w:t>
            </w:r>
            <w:r w:rsidR="004772A4" w:rsidRPr="004A49EF">
              <w:t>rely on a speculative</w:t>
            </w:r>
            <w:r w:rsidR="008473EB" w:rsidRPr="004A49EF">
              <w:t xml:space="preserve"> medical </w:t>
            </w:r>
            <w:r w:rsidR="004772A4" w:rsidRPr="004A49EF">
              <w:t xml:space="preserve">conclusion.  </w:t>
            </w:r>
            <w:r w:rsidR="0085716A" w:rsidRPr="004A49EF">
              <w:t>There should be a</w:t>
            </w:r>
            <w:r w:rsidR="00EA61F3" w:rsidRPr="004A49EF">
              <w:t xml:space="preserve"> complete</w:t>
            </w:r>
            <w:r w:rsidR="0085716A" w:rsidRPr="004A49EF">
              <w:t xml:space="preserve"> medical a</w:t>
            </w:r>
            <w:r w:rsidR="008473EB" w:rsidRPr="004A49EF">
              <w:t>nalysis taking into consideration history, data</w:t>
            </w:r>
            <w:r w:rsidR="00DA18A2" w:rsidRPr="004A49EF">
              <w:t>,</w:t>
            </w:r>
            <w:r w:rsidR="008473EB" w:rsidRPr="004A49EF">
              <w:t xml:space="preserve"> and generally</w:t>
            </w:r>
            <w:r w:rsidR="00493805" w:rsidRPr="004A49EF">
              <w:t>-</w:t>
            </w:r>
            <w:r w:rsidR="008473EB" w:rsidRPr="004A49EF">
              <w:t>accepted medical principles including knowledge about the nature and course of the disorder at issue.  The decision maker</w:t>
            </w:r>
            <w:r w:rsidR="00493805" w:rsidRPr="004A49EF">
              <w:t>,</w:t>
            </w:r>
            <w:r w:rsidR="008473EB" w:rsidRPr="004A49EF">
              <w:t xml:space="preserve"> in turn</w:t>
            </w:r>
            <w:r w:rsidR="00493805" w:rsidRPr="004A49EF">
              <w:t>,</w:t>
            </w:r>
            <w:r w:rsidR="008473EB" w:rsidRPr="004A49EF">
              <w:t xml:space="preserve"> must conduct a critical analysis of the </w:t>
            </w:r>
            <w:r w:rsidR="0085716A" w:rsidRPr="004A49EF">
              <w:t xml:space="preserve">evidence.  </w:t>
            </w:r>
          </w:p>
          <w:p w14:paraId="3D7113A2" w14:textId="77777777" w:rsidR="00F204FA" w:rsidRPr="004A49EF" w:rsidRDefault="00F204FA" w:rsidP="00F204FA">
            <w:pPr>
              <w:pStyle w:val="BlockText"/>
            </w:pPr>
          </w:p>
          <w:p w14:paraId="360AF1BD" w14:textId="77777777" w:rsidR="00F204FA" w:rsidRPr="004A49EF" w:rsidRDefault="00F204FA" w:rsidP="00F204FA">
            <w:pPr>
              <w:pStyle w:val="BlockText"/>
            </w:pPr>
            <w:r w:rsidRPr="004A49EF">
              <w:rPr>
                <w:b/>
                <w:i/>
              </w:rPr>
              <w:t>References</w:t>
            </w:r>
            <w:r w:rsidRPr="004A49EF">
              <w:t>:  For more information on</w:t>
            </w:r>
          </w:p>
          <w:p w14:paraId="5CE8A8DD" w14:textId="4946AC06" w:rsidR="00F204FA" w:rsidRPr="004A49EF" w:rsidRDefault="00F204FA" w:rsidP="00F97139">
            <w:pPr>
              <w:pStyle w:val="BulletText1"/>
              <w:tabs>
                <w:tab w:val="clear" w:pos="443"/>
                <w:tab w:val="num" w:pos="162"/>
              </w:tabs>
              <w:ind w:left="162"/>
            </w:pPr>
            <w:r w:rsidRPr="004A49EF">
              <w:t>evaluating evidence</w:t>
            </w:r>
            <w:r w:rsidR="00844854" w:rsidRPr="004A49EF">
              <w:t xml:space="preserve"> (including credibility and weight of evidence)</w:t>
            </w:r>
            <w:r w:rsidRPr="004A49EF">
              <w:t>, see M21-1, Part III, Subpart iv, 5</w:t>
            </w:r>
            <w:r w:rsidR="003E61C1" w:rsidRPr="004A49EF">
              <w:t>, and</w:t>
            </w:r>
          </w:p>
          <w:p w14:paraId="64A311E1" w14:textId="77777777" w:rsidR="00F204FA" w:rsidRPr="004A49EF" w:rsidRDefault="00F204FA" w:rsidP="00F97139">
            <w:pPr>
              <w:pStyle w:val="BulletText1"/>
              <w:tabs>
                <w:tab w:val="clear" w:pos="443"/>
                <w:tab w:val="num" w:pos="162"/>
              </w:tabs>
              <w:ind w:left="162"/>
            </w:pPr>
            <w:r w:rsidRPr="004A49EF">
              <w:t>rebutting the presumption of soundness, see</w:t>
            </w:r>
          </w:p>
          <w:p w14:paraId="5EF1DEA5" w14:textId="77777777" w:rsidR="00F204FA" w:rsidRPr="004A49EF" w:rsidRDefault="00CF21BB" w:rsidP="00F204FA">
            <w:pPr>
              <w:pStyle w:val="BulletText2"/>
              <w:rPr>
                <w:rStyle w:val="Hyperlink"/>
              </w:rPr>
            </w:pPr>
            <w:r w:rsidRPr="004A49EF">
              <w:fldChar w:fldCharType="begin"/>
            </w:r>
            <w:r w:rsidRPr="004A49EF">
              <w:instrText xml:space="preserve"> HYPERLINK "http://www.ecfr.gov/cgi-bin/text-idx?SID=a9336bb654ab856b00ab0aece4b20a7c&amp;node=se38.1.3_1304&amp;rgn=div8" </w:instrText>
            </w:r>
            <w:r w:rsidRPr="004A49EF">
              <w:fldChar w:fldCharType="separate"/>
            </w:r>
            <w:r w:rsidR="00F204FA" w:rsidRPr="004A49EF">
              <w:rPr>
                <w:rStyle w:val="Hyperlink"/>
              </w:rPr>
              <w:t>38 CFR 3.304(b)(1)</w:t>
            </w:r>
          </w:p>
          <w:p w14:paraId="7FF74E15" w14:textId="77777777" w:rsidR="00F204FA" w:rsidRPr="004A49EF" w:rsidRDefault="00CF21BB" w:rsidP="00F204FA">
            <w:pPr>
              <w:pStyle w:val="BulletText2"/>
            </w:pPr>
            <w:r w:rsidRPr="004A49EF">
              <w:fldChar w:fldCharType="end"/>
            </w:r>
            <w:hyperlink r:id="rId101" w:anchor="bmh" w:history="1">
              <w:r w:rsidR="00F204FA" w:rsidRPr="004A49EF">
                <w:rPr>
                  <w:rStyle w:val="Hyperlink"/>
                  <w:i/>
                </w:rPr>
                <w:t>Harris v. West</w:t>
              </w:r>
            </w:hyperlink>
            <w:r w:rsidR="00F204FA" w:rsidRPr="004A49EF">
              <w:t>, 203 F.3d 1347 (Fed</w:t>
            </w:r>
            <w:proofErr w:type="gramStart"/>
            <w:r w:rsidR="00F204FA" w:rsidRPr="004A49EF">
              <w:t xml:space="preserve">. </w:t>
            </w:r>
            <w:proofErr w:type="gramEnd"/>
            <w:r w:rsidR="00F204FA" w:rsidRPr="004A49EF">
              <w:t>Cir. 2000)</w:t>
            </w:r>
          </w:p>
          <w:p w14:paraId="4D7B7C48" w14:textId="77777777" w:rsidR="00F204FA" w:rsidRPr="004A49EF" w:rsidRDefault="004A49EF" w:rsidP="00F204FA">
            <w:pPr>
              <w:pStyle w:val="BulletText2"/>
            </w:pPr>
            <w:hyperlink r:id="rId102" w:anchor="bmh" w:history="1">
              <w:r w:rsidR="00F204FA" w:rsidRPr="004A49EF">
                <w:rPr>
                  <w:rStyle w:val="Hyperlink"/>
                  <w:i/>
                </w:rPr>
                <w:t>Horn v. Shinsek</w:t>
              </w:r>
              <w:r w:rsidR="00F204FA" w:rsidRPr="004A49EF">
                <w:rPr>
                  <w:rStyle w:val="Hyperlink"/>
                </w:rPr>
                <w:t>i</w:t>
              </w:r>
            </w:hyperlink>
            <w:r w:rsidR="00F204FA" w:rsidRPr="004A49EF">
              <w:t>, 25 Vet.App. 231 (2012), and</w:t>
            </w:r>
          </w:p>
          <w:p w14:paraId="155BAB5A" w14:textId="62DF693B" w:rsidR="00F204FA" w:rsidRPr="004A49EF" w:rsidRDefault="00D40E37" w:rsidP="00295F2B">
            <w:pPr>
              <w:pStyle w:val="BulletText2"/>
            </w:pPr>
            <w:hyperlink r:id="rId103" w:anchor="bmg" w:history="1">
              <w:r w:rsidR="00F204FA" w:rsidRPr="004A49EF">
                <w:rPr>
                  <w:rStyle w:val="Hyperlink"/>
                  <w:i/>
                </w:rPr>
                <w:t>Gilbert v. Shinseki</w:t>
              </w:r>
            </w:hyperlink>
            <w:r w:rsidR="00F204FA" w:rsidRPr="004A49EF">
              <w:rPr>
                <w:i/>
              </w:rPr>
              <w:t xml:space="preserve">, </w:t>
            </w:r>
            <w:r w:rsidR="00F204FA" w:rsidRPr="004A49EF">
              <w:t xml:space="preserve">26 </w:t>
            </w:r>
            <w:proofErr w:type="spellStart"/>
            <w:r w:rsidR="00F204FA" w:rsidRPr="004A49EF">
              <w:t>Vet.App</w:t>
            </w:r>
            <w:proofErr w:type="spellEnd"/>
            <w:proofErr w:type="gramStart"/>
            <w:r w:rsidR="00F204FA" w:rsidRPr="004A49EF">
              <w:t xml:space="preserve">. </w:t>
            </w:r>
            <w:proofErr w:type="gramEnd"/>
            <w:r w:rsidR="00F204FA" w:rsidRPr="004A49EF">
              <w:t>48 (2012)</w:t>
            </w:r>
            <w:r w:rsidR="00A26E42" w:rsidRPr="004A49EF">
              <w:t>.</w:t>
            </w:r>
          </w:p>
        </w:tc>
      </w:tr>
    </w:tbl>
    <w:p w14:paraId="60F459DE" w14:textId="77777777" w:rsidR="00F204FA" w:rsidRPr="004A49EF" w:rsidRDefault="00F204FA" w:rsidP="005B1E6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61C40" w:rsidRPr="004A49EF" w14:paraId="2E70E6DE" w14:textId="77777777" w:rsidTr="00C26914">
        <w:tc>
          <w:tcPr>
            <w:tcW w:w="1728" w:type="dxa"/>
            <w:shd w:val="clear" w:color="auto" w:fill="auto"/>
          </w:tcPr>
          <w:p w14:paraId="19287716" w14:textId="77777777" w:rsidR="00E61C40" w:rsidRPr="004A49EF" w:rsidRDefault="00E61C40" w:rsidP="00E61C40">
            <w:pPr>
              <w:rPr>
                <w:b/>
                <w:sz w:val="22"/>
              </w:rPr>
            </w:pPr>
            <w:r w:rsidRPr="004A49EF">
              <w:rPr>
                <w:b/>
                <w:sz w:val="22"/>
              </w:rPr>
              <w:t>c.  The Role of MEB and PEB Findings</w:t>
            </w:r>
          </w:p>
        </w:tc>
        <w:tc>
          <w:tcPr>
            <w:tcW w:w="7740" w:type="dxa"/>
            <w:shd w:val="clear" w:color="auto" w:fill="auto"/>
          </w:tcPr>
          <w:p w14:paraId="406D4DE0" w14:textId="3A4E9F71" w:rsidR="003108B8" w:rsidRPr="004A49EF" w:rsidRDefault="003108B8" w:rsidP="00E61C40">
            <w:r w:rsidRPr="004A49EF">
              <w:t>The rating activity must afford</w:t>
            </w:r>
            <w:r w:rsidR="00E61C40" w:rsidRPr="004A49EF">
              <w:t xml:space="preserve"> Medical Evaluation Board (MEB) and Physical E</w:t>
            </w:r>
            <w:r w:rsidR="002475A0" w:rsidRPr="004A49EF">
              <w:t>valu</w:t>
            </w:r>
            <w:r w:rsidR="00E61C40" w:rsidRPr="004A49EF">
              <w:t>ation Board (PEB) reports</w:t>
            </w:r>
            <w:r w:rsidRPr="004A49EF">
              <w:t xml:space="preserve"> due weight when considering the evidence of record regarding a condition which may have pre-existed service.</w:t>
            </w:r>
          </w:p>
          <w:p w14:paraId="3C515DC5" w14:textId="77777777" w:rsidR="003108B8" w:rsidRPr="004A49EF" w:rsidRDefault="003108B8" w:rsidP="00E61C40"/>
          <w:p w14:paraId="18872EC7" w14:textId="4284626F" w:rsidR="00E61C40" w:rsidRPr="004A49EF" w:rsidRDefault="003108B8" w:rsidP="003108B8">
            <w:pPr>
              <w:rPr>
                <w:rFonts w:ascii="TimesNewRomanPSMT" w:hAnsi="TimesNewRomanPSMT" w:cs="TimesNewRomanPSMT"/>
                <w:color w:val="auto"/>
              </w:rPr>
            </w:pPr>
            <w:r w:rsidRPr="004A49EF">
              <w:rPr>
                <w:b/>
                <w:i/>
              </w:rPr>
              <w:t>Important</w:t>
            </w:r>
            <w:r w:rsidRPr="004A49EF">
              <w:t xml:space="preserve">:  Do </w:t>
            </w:r>
            <w:r w:rsidRPr="004A49EF">
              <w:rPr>
                <w:i/>
              </w:rPr>
              <w:t>not</w:t>
            </w:r>
            <w:r w:rsidRPr="004A49EF">
              <w:t xml:space="preserve"> deny a claim based solely upon the conclusion of an MEB or PEB report that a condition pre-existed service and was not aggravated</w:t>
            </w:r>
            <w:r w:rsidR="0012547F" w:rsidRPr="004A49EF">
              <w:t xml:space="preserve"> by</w:t>
            </w:r>
            <w:r w:rsidRPr="004A49EF">
              <w:t xml:space="preserve"> service if the report does not also contain a supporting analysis or medical explanation for the conclusion.  The MEB or PEB report alone is not sufficient to constitute clear and unmistakable evidence to rebut the presumption of soundness without a supporting analysis or medical explanation.</w:t>
            </w:r>
            <w:r w:rsidR="00E61C40" w:rsidRPr="004A49EF">
              <w:rPr>
                <w:rFonts w:ascii="TimesNewRomanPSMT" w:hAnsi="TimesNewRomanPSMT" w:cs="TimesNewRomanPSMT"/>
                <w:color w:val="auto"/>
              </w:rPr>
              <w:t xml:space="preserve"> </w:t>
            </w:r>
          </w:p>
          <w:p w14:paraId="151A4477" w14:textId="77777777" w:rsidR="00BB1B30" w:rsidRPr="004A49EF" w:rsidRDefault="00BB1B30" w:rsidP="00E61C40">
            <w:pPr>
              <w:rPr>
                <w:rFonts w:ascii="TimesNewRomanPSMT" w:hAnsi="TimesNewRomanPSMT" w:cs="TimesNewRomanPSMT"/>
                <w:color w:val="auto"/>
              </w:rPr>
            </w:pPr>
          </w:p>
          <w:p w14:paraId="2BC1373D" w14:textId="77777777" w:rsidR="00BB1B30" w:rsidRPr="004A49EF" w:rsidRDefault="00BB1B30" w:rsidP="00E61C40">
            <w:r w:rsidRPr="004A49EF">
              <w:rPr>
                <w:rFonts w:ascii="TimesNewRomanPSMT" w:hAnsi="TimesNewRomanPSMT" w:cs="TimesNewRomanPSMT"/>
                <w:b/>
                <w:i/>
                <w:color w:val="auto"/>
              </w:rPr>
              <w:t>Reference</w:t>
            </w:r>
            <w:r w:rsidRPr="004A49EF">
              <w:rPr>
                <w:rFonts w:ascii="TimesNewRomanPSMT" w:hAnsi="TimesNewRomanPSMT" w:cs="TimesNewRomanPSMT"/>
                <w:color w:val="auto"/>
              </w:rPr>
              <w:t xml:space="preserve">:  For more information on the role of MEB and PEB findings, see </w:t>
            </w:r>
            <w:hyperlink r:id="rId104" w:anchor="bmh" w:history="1">
              <w:r w:rsidRPr="004A49EF">
                <w:rPr>
                  <w:rStyle w:val="Hyperlink"/>
                  <w:i/>
                </w:rPr>
                <w:t>Horn v. Shinseki</w:t>
              </w:r>
            </w:hyperlink>
            <w:r w:rsidRPr="004A49EF">
              <w:rPr>
                <w:rFonts w:ascii="TimesNewRomanPSMT" w:hAnsi="TimesNewRomanPSMT" w:cs="TimesNewRomanPSMT"/>
                <w:i/>
                <w:color w:val="auto"/>
              </w:rPr>
              <w:t>,</w:t>
            </w:r>
            <w:r w:rsidRPr="004A49EF">
              <w:rPr>
                <w:rFonts w:ascii="TimesNewRomanPSMT" w:hAnsi="TimesNewRomanPSMT" w:cs="TimesNewRomanPSMT"/>
                <w:color w:val="auto"/>
              </w:rPr>
              <w:t xml:space="preserve"> 25 Vet.App. 231 (2012).  </w:t>
            </w:r>
          </w:p>
        </w:tc>
      </w:tr>
    </w:tbl>
    <w:p w14:paraId="3C55A5F8" w14:textId="77777777" w:rsidR="00E61C40" w:rsidRPr="004A49EF" w:rsidRDefault="00E61C40" w:rsidP="00E61C40">
      <w:pPr>
        <w:tabs>
          <w:tab w:val="left" w:pos="9360"/>
        </w:tabs>
        <w:ind w:left="1714"/>
      </w:pPr>
      <w:r w:rsidRPr="004A49EF">
        <w:rPr>
          <w:u w:val="single"/>
        </w:rPr>
        <w:tab/>
      </w:r>
    </w:p>
    <w:p w14:paraId="3CCCF455" w14:textId="77777777" w:rsidR="00E61C40" w:rsidRPr="004A49EF" w:rsidRDefault="00E61C40" w:rsidP="00E61C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61C40" w:rsidRPr="004A49EF" w14:paraId="7C58B5A0" w14:textId="77777777" w:rsidTr="00C26914">
        <w:tc>
          <w:tcPr>
            <w:tcW w:w="1728" w:type="dxa"/>
            <w:shd w:val="clear" w:color="auto" w:fill="auto"/>
          </w:tcPr>
          <w:p w14:paraId="1DC64788" w14:textId="77777777" w:rsidR="00E61C40" w:rsidRPr="004A49EF" w:rsidRDefault="00E61C40" w:rsidP="00E61C40">
            <w:pPr>
              <w:rPr>
                <w:b/>
                <w:sz w:val="22"/>
              </w:rPr>
            </w:pPr>
            <w:r w:rsidRPr="004A49EF">
              <w:rPr>
                <w:b/>
                <w:sz w:val="22"/>
              </w:rPr>
              <w:t xml:space="preserve">d.  Considering </w:t>
            </w:r>
            <w:r w:rsidRPr="004A49EF">
              <w:rPr>
                <w:b/>
                <w:sz w:val="22"/>
              </w:rPr>
              <w:lastRenderedPageBreak/>
              <w:t>Lay Evidence and the Presumption of Soundness</w:t>
            </w:r>
          </w:p>
        </w:tc>
        <w:tc>
          <w:tcPr>
            <w:tcW w:w="7740" w:type="dxa"/>
            <w:shd w:val="clear" w:color="auto" w:fill="auto"/>
          </w:tcPr>
          <w:p w14:paraId="5AB30066" w14:textId="119CEA9F" w:rsidR="00D815AA" w:rsidRPr="004A49EF" w:rsidRDefault="00293ED6" w:rsidP="00D815AA">
            <w:pPr>
              <w:pStyle w:val="BlockText"/>
            </w:pPr>
            <w:r w:rsidRPr="004A49EF">
              <w:lastRenderedPageBreak/>
              <w:t>A</w:t>
            </w:r>
            <w:r w:rsidR="00D815AA" w:rsidRPr="004A49EF">
              <w:t xml:space="preserve">lthough contemporaneous pre-service clinical evidence or recorded history </w:t>
            </w:r>
            <w:r w:rsidR="00D815AA" w:rsidRPr="004A49EF">
              <w:lastRenderedPageBreak/>
              <w:t xml:space="preserve">may satisfy the burden of </w:t>
            </w:r>
            <w:r w:rsidR="00D21BBC" w:rsidRPr="004A49EF">
              <w:t xml:space="preserve">evidence clearly and unmistakably showing pre-existence of a claimed condition when the same condition was not noted on entry into service, </w:t>
            </w:r>
            <w:r w:rsidR="00D815AA" w:rsidRPr="004A49EF">
              <w:t>there is no absolute requirement that such evidence be present before the presumption</w:t>
            </w:r>
            <w:r w:rsidR="00B11B3F" w:rsidRPr="004A49EF">
              <w:t xml:space="preserve"> of soundness</w:t>
            </w:r>
            <w:r w:rsidR="00D815AA" w:rsidRPr="004A49EF">
              <w:t xml:space="preserve"> can be rebutted.  A later medical opinion based on statements made by</w:t>
            </w:r>
            <w:r w:rsidR="002475A0" w:rsidRPr="004A49EF">
              <w:t xml:space="preserve"> the</w:t>
            </w:r>
            <w:r w:rsidR="00D815AA" w:rsidRPr="004A49EF">
              <w:t xml:space="preserve"> Veteran about pre-service history of the disorder may rebut the presumption</w:t>
            </w:r>
            <w:r w:rsidR="00D21BBC" w:rsidRPr="004A49EF">
              <w:t xml:space="preserve"> by providing evidence which clearly and unmistakably establishes the claimed condition existed prior to service</w:t>
            </w:r>
            <w:r w:rsidR="00D815AA" w:rsidRPr="004A49EF">
              <w:t>.</w:t>
            </w:r>
          </w:p>
          <w:p w14:paraId="20233AA6" w14:textId="77777777" w:rsidR="00D815AA" w:rsidRPr="004A49EF" w:rsidRDefault="00D815AA" w:rsidP="00D815AA">
            <w:pPr>
              <w:pStyle w:val="BlockText"/>
            </w:pPr>
          </w:p>
          <w:p w14:paraId="028DB3DF" w14:textId="3B0D9279" w:rsidR="00D815AA" w:rsidRPr="004A49EF" w:rsidRDefault="004A49EF" w:rsidP="00D815AA">
            <w:pPr>
              <w:pStyle w:val="BlockText"/>
            </w:pPr>
            <w:hyperlink r:id="rId105" w:history="1">
              <w:r w:rsidR="00D815AA" w:rsidRPr="004A49EF">
                <w:rPr>
                  <w:rStyle w:val="Hyperlink"/>
                </w:rPr>
                <w:t>38 CFR 3.304(b)(3)</w:t>
              </w:r>
            </w:hyperlink>
            <w:r w:rsidR="00D815AA" w:rsidRPr="004A49EF">
              <w:t xml:space="preserve"> provides that signed statements made </w:t>
            </w:r>
            <w:r w:rsidR="00D21BBC" w:rsidRPr="004A49EF">
              <w:t xml:space="preserve">by the Veteran </w:t>
            </w:r>
            <w:r w:rsidR="00B11B3F" w:rsidRPr="004A49EF">
              <w:t xml:space="preserve">during </w:t>
            </w:r>
            <w:r w:rsidR="00D815AA" w:rsidRPr="004A49EF">
              <w:t xml:space="preserve">service about </w:t>
            </w:r>
            <w:r w:rsidR="00D21BBC" w:rsidRPr="004A49EF">
              <w:t xml:space="preserve">the </w:t>
            </w:r>
            <w:r w:rsidR="00D815AA" w:rsidRPr="004A49EF">
              <w:t>onset or incurrence of disease</w:t>
            </w:r>
            <w:r w:rsidR="00D21BBC" w:rsidRPr="004A49EF">
              <w:t xml:space="preserve"> which are </w:t>
            </w:r>
            <w:r w:rsidR="00D815AA" w:rsidRPr="004A49EF">
              <w:t xml:space="preserve">against the claimant’s interest cannot be used if </w:t>
            </w:r>
            <w:r w:rsidR="00D21BBC" w:rsidRPr="004A49EF">
              <w:t xml:space="preserve">there is no </w:t>
            </w:r>
            <w:r w:rsidR="00D815AA" w:rsidRPr="004A49EF">
              <w:t xml:space="preserve">other evidence establishing pre-existence </w:t>
            </w:r>
            <w:r w:rsidR="00D21BBC" w:rsidRPr="004A49EF">
              <w:t xml:space="preserve">of the claimed condition.  In such a </w:t>
            </w:r>
            <w:r w:rsidR="00D815AA" w:rsidRPr="004A49EF">
              <w:t>case</w:t>
            </w:r>
            <w:r w:rsidR="00D21BBC" w:rsidRPr="004A49EF">
              <w:t>,</w:t>
            </w:r>
            <w:r w:rsidR="00D815AA" w:rsidRPr="004A49EF">
              <w:t xml:space="preserve"> the other evidence will be considered as though the </w:t>
            </w:r>
            <w:r w:rsidR="00D21BBC" w:rsidRPr="004A49EF">
              <w:t xml:space="preserve">Veteran’s </w:t>
            </w:r>
            <w:r w:rsidR="00D815AA" w:rsidRPr="004A49EF">
              <w:t>statement</w:t>
            </w:r>
            <w:r w:rsidR="00D21BBC" w:rsidRPr="004A49EF">
              <w:t xml:space="preserve"> against his/her own interest</w:t>
            </w:r>
            <w:r w:rsidR="00D815AA" w:rsidRPr="004A49EF">
              <w:t xml:space="preserve"> did not exist.  However, the courts have held that other voluntary admissions of a pre-service disability </w:t>
            </w:r>
            <w:r w:rsidR="00020A72" w:rsidRPr="004A49EF">
              <w:t>or</w:t>
            </w:r>
            <w:r w:rsidR="00D815AA" w:rsidRPr="004A49EF">
              <w:t xml:space="preserve"> condition can be considered</w:t>
            </w:r>
            <w:r w:rsidR="00D21BBC" w:rsidRPr="004A49EF">
              <w:t xml:space="preserve"> </w:t>
            </w:r>
            <w:r w:rsidR="00171014" w:rsidRPr="004A49EF">
              <w:t>with appropriate application of weight and credibility assigned as described in M21-1, Part III, Subpart iv, Chapter 5</w:t>
            </w:r>
            <w:r w:rsidR="00D815AA" w:rsidRPr="004A49EF">
              <w:t xml:space="preserve">.  </w:t>
            </w:r>
          </w:p>
          <w:p w14:paraId="113A2305" w14:textId="77777777" w:rsidR="00D9005A" w:rsidRPr="004A49EF" w:rsidRDefault="00D9005A" w:rsidP="00D815AA">
            <w:pPr>
              <w:pStyle w:val="BlockText"/>
            </w:pPr>
          </w:p>
          <w:p w14:paraId="7E5E2259" w14:textId="77777777" w:rsidR="00E61C40" w:rsidRPr="004A49EF" w:rsidRDefault="00D9005A" w:rsidP="002475A0">
            <w:pPr>
              <w:pStyle w:val="BlockText"/>
            </w:pPr>
            <w:r w:rsidRPr="004A49EF">
              <w:rPr>
                <w:b/>
                <w:i/>
              </w:rPr>
              <w:t>Reference</w:t>
            </w:r>
            <w:r w:rsidRPr="004A49EF">
              <w:t xml:space="preserve">:  For more information on lay evidence and the presumption of soundness, see </w:t>
            </w:r>
            <w:hyperlink r:id="rId106" w:anchor="bmh" w:history="1">
              <w:r w:rsidRPr="004A49EF">
                <w:rPr>
                  <w:rStyle w:val="Hyperlink"/>
                  <w:i/>
                </w:rPr>
                <w:t>Harris v. West</w:t>
              </w:r>
            </w:hyperlink>
            <w:r w:rsidRPr="004A49EF">
              <w:t>, 203 F.3d 1347 (Fed. Cir. 2000).</w:t>
            </w:r>
          </w:p>
        </w:tc>
      </w:tr>
    </w:tbl>
    <w:p w14:paraId="723CC0B8" w14:textId="77777777" w:rsidR="00E61C40" w:rsidRPr="004A49EF" w:rsidRDefault="002475A0" w:rsidP="002475A0">
      <w:pPr>
        <w:tabs>
          <w:tab w:val="left" w:pos="9360"/>
        </w:tabs>
        <w:ind w:left="1714"/>
      </w:pPr>
      <w:r w:rsidRPr="004A49EF">
        <w:rPr>
          <w:u w:val="single"/>
        </w:rPr>
        <w:lastRenderedPageBreak/>
        <w:tab/>
      </w:r>
    </w:p>
    <w:p w14:paraId="1FBA4DF4" w14:textId="77777777" w:rsidR="002475A0" w:rsidRPr="004A49EF" w:rsidRDefault="002475A0" w:rsidP="002475A0"/>
    <w:tbl>
      <w:tblPr>
        <w:tblW w:w="0" w:type="auto"/>
        <w:tblLayout w:type="fixed"/>
        <w:tblLook w:val="0000" w:firstRow="0" w:lastRow="0" w:firstColumn="0" w:lastColumn="0" w:noHBand="0" w:noVBand="0"/>
      </w:tblPr>
      <w:tblGrid>
        <w:gridCol w:w="1728"/>
        <w:gridCol w:w="7740"/>
      </w:tblGrid>
      <w:tr w:rsidR="003153F4" w:rsidRPr="004A49EF" w14:paraId="67E0F514" w14:textId="77777777" w:rsidTr="003153F4">
        <w:tc>
          <w:tcPr>
            <w:tcW w:w="1728" w:type="dxa"/>
            <w:shd w:val="clear" w:color="auto" w:fill="auto"/>
          </w:tcPr>
          <w:p w14:paraId="494D4DE6" w14:textId="23103F21" w:rsidR="003153F4" w:rsidRPr="004A49EF" w:rsidRDefault="00E61C40" w:rsidP="00020A72">
            <w:pPr>
              <w:pStyle w:val="Heading5"/>
            </w:pPr>
            <w:r w:rsidRPr="004A49EF">
              <w:t>e</w:t>
            </w:r>
            <w:r w:rsidR="0085716A" w:rsidRPr="004A49EF">
              <w:t xml:space="preserve">. </w:t>
            </w:r>
            <w:r w:rsidR="00B84C57" w:rsidRPr="004A49EF">
              <w:t xml:space="preserve"> </w:t>
            </w:r>
            <w:r w:rsidR="00EB07BE" w:rsidRPr="004A49EF">
              <w:t>A</w:t>
            </w:r>
            <w:r w:rsidR="003153F4" w:rsidRPr="004A49EF">
              <w:t>ggravation</w:t>
            </w:r>
            <w:r w:rsidR="00020A72" w:rsidRPr="004A49EF">
              <w:t xml:space="preserve"> Determinations</w:t>
            </w:r>
            <w:r w:rsidR="003153F4" w:rsidRPr="004A49EF">
              <w:t xml:space="preserve"> </w:t>
            </w:r>
            <w:r w:rsidR="00EB07BE" w:rsidRPr="004A49EF">
              <w:t>W</w:t>
            </w:r>
            <w:r w:rsidR="001D116F" w:rsidRPr="004A49EF">
              <w:t xml:space="preserve">hen </w:t>
            </w:r>
            <w:r w:rsidR="00EB07BE" w:rsidRPr="004A49EF">
              <w:t>T</w:t>
            </w:r>
            <w:r w:rsidR="001D116F" w:rsidRPr="004A49EF">
              <w:t xml:space="preserve">here </w:t>
            </w:r>
            <w:r w:rsidR="00EB07BE" w:rsidRPr="004A49EF">
              <w:t>I</w:t>
            </w:r>
            <w:r w:rsidR="001D116F" w:rsidRPr="004A49EF">
              <w:t>s a</w:t>
            </w:r>
            <w:r w:rsidR="00181732" w:rsidRPr="004A49EF">
              <w:t xml:space="preserve"> </w:t>
            </w:r>
            <w:r w:rsidR="00EB07BE" w:rsidRPr="004A49EF">
              <w:t>P</w:t>
            </w:r>
            <w:r w:rsidR="003153F4" w:rsidRPr="004A49EF">
              <w:t xml:space="preserve">resumption of </w:t>
            </w:r>
            <w:r w:rsidR="00EB07BE" w:rsidRPr="004A49EF">
              <w:t>S</w:t>
            </w:r>
            <w:r w:rsidR="003153F4" w:rsidRPr="004A49EF">
              <w:t xml:space="preserve">oundness </w:t>
            </w:r>
          </w:p>
        </w:tc>
        <w:tc>
          <w:tcPr>
            <w:tcW w:w="7740" w:type="dxa"/>
            <w:shd w:val="clear" w:color="auto" w:fill="auto"/>
          </w:tcPr>
          <w:p w14:paraId="4951F730" w14:textId="0C114CA9" w:rsidR="00A26395" w:rsidRPr="004A49EF" w:rsidRDefault="00DA2AAA" w:rsidP="00297B66">
            <w:pPr>
              <w:pStyle w:val="BlockText"/>
            </w:pPr>
            <w:r w:rsidRPr="004A49EF">
              <w:t>When a claimed disorder was not noted on the entrance examination and the presumption of soundness applies,</w:t>
            </w:r>
            <w:r w:rsidR="00297B66" w:rsidRPr="004A49EF">
              <w:t xml:space="preserve"> but </w:t>
            </w:r>
            <w:r w:rsidR="00BB121E" w:rsidRPr="004A49EF">
              <w:t xml:space="preserve">evidence shows </w:t>
            </w:r>
            <w:r w:rsidR="00297B66" w:rsidRPr="004A49EF">
              <w:t>pre</w:t>
            </w:r>
            <w:r w:rsidR="00BB121E" w:rsidRPr="004A49EF">
              <w:t>-</w:t>
            </w:r>
            <w:r w:rsidR="00297B66" w:rsidRPr="004A49EF">
              <w:t>existence of the claimed disability, the presumption</w:t>
            </w:r>
            <w:r w:rsidR="00BB121E" w:rsidRPr="004A49EF">
              <w:t xml:space="preserve"> of soundness</w:t>
            </w:r>
            <w:r w:rsidR="00297B66" w:rsidRPr="004A49EF">
              <w:t xml:space="preserve"> </w:t>
            </w:r>
            <w:r w:rsidRPr="004A49EF">
              <w:t xml:space="preserve">still </w:t>
            </w:r>
            <w:r w:rsidR="00BB121E" w:rsidRPr="004A49EF">
              <w:t>applies</w:t>
            </w:r>
            <w:r w:rsidR="00297B66" w:rsidRPr="004A49EF">
              <w:t xml:space="preserve"> </w:t>
            </w:r>
            <w:r w:rsidR="00297B66" w:rsidRPr="004A49EF">
              <w:rPr>
                <w:i/>
              </w:rPr>
              <w:t>unless</w:t>
            </w:r>
            <w:r w:rsidR="00297B66" w:rsidRPr="004A49EF">
              <w:t xml:space="preserve"> clear and unmistakable evidence </w:t>
            </w:r>
            <w:r w:rsidRPr="004A49EF">
              <w:t>further proves the</w:t>
            </w:r>
            <w:r w:rsidR="00297B66" w:rsidRPr="004A49EF">
              <w:t xml:space="preserve"> condition was not aggravated by service</w:t>
            </w:r>
            <w:r w:rsidR="00526568" w:rsidRPr="004A49EF">
              <w:t xml:space="preserve"> because the evidence shows</w:t>
            </w:r>
          </w:p>
          <w:p w14:paraId="66D62642" w14:textId="77777777" w:rsidR="00BB121E" w:rsidRPr="004A49EF" w:rsidRDefault="00BB121E" w:rsidP="00297B66">
            <w:pPr>
              <w:pStyle w:val="BlockText"/>
            </w:pPr>
          </w:p>
          <w:p w14:paraId="6884C693" w14:textId="77777777" w:rsidR="00A26395" w:rsidRPr="004A49EF" w:rsidRDefault="00A26395" w:rsidP="00F97139">
            <w:pPr>
              <w:pStyle w:val="BulletText1"/>
              <w:tabs>
                <w:tab w:val="clear" w:pos="443"/>
                <w:tab w:val="num" w:pos="162"/>
              </w:tabs>
              <w:ind w:left="162"/>
            </w:pPr>
            <w:r w:rsidRPr="004A49EF">
              <w:t>there was no increase in disability during service, or</w:t>
            </w:r>
          </w:p>
          <w:p w14:paraId="48C2E2F3" w14:textId="77777777" w:rsidR="00A26395" w:rsidRPr="004A49EF" w:rsidRDefault="00A26395" w:rsidP="00F97139">
            <w:pPr>
              <w:pStyle w:val="BulletText1"/>
              <w:tabs>
                <w:tab w:val="clear" w:pos="443"/>
                <w:tab w:val="num" w:pos="162"/>
              </w:tabs>
              <w:ind w:left="162"/>
            </w:pPr>
            <w:r w:rsidRPr="004A49EF">
              <w:t>any increase in disability was due to the natural progression of the pre-existing condition.</w:t>
            </w:r>
          </w:p>
          <w:p w14:paraId="33FA68BF" w14:textId="77777777" w:rsidR="00A26395" w:rsidRPr="004A49EF" w:rsidRDefault="00A26395" w:rsidP="00020A72">
            <w:pPr>
              <w:autoSpaceDE w:val="0"/>
              <w:autoSpaceDN w:val="0"/>
              <w:adjustRightInd w:val="0"/>
              <w:rPr>
                <w:rFonts w:ascii="TimesNewRomanPSMT" w:hAnsi="TimesNewRomanPSMT" w:cs="TimesNewRomanPSMT"/>
                <w:color w:val="auto"/>
              </w:rPr>
            </w:pPr>
          </w:p>
          <w:p w14:paraId="6500F63F" w14:textId="727C43B9" w:rsidR="00020A72" w:rsidRPr="004A49EF" w:rsidRDefault="00DA2AAA" w:rsidP="00020A72">
            <w:pPr>
              <w:autoSpaceDE w:val="0"/>
              <w:autoSpaceDN w:val="0"/>
              <w:adjustRightInd w:val="0"/>
              <w:rPr>
                <w:rFonts w:ascii="TimesNewRomanPSMT" w:hAnsi="TimesNewRomanPSMT" w:cs="TimesNewRomanPSMT"/>
                <w:color w:val="auto"/>
              </w:rPr>
            </w:pPr>
            <w:r w:rsidRPr="004A49EF">
              <w:rPr>
                <w:rFonts w:ascii="TimesNewRomanPSMT" w:hAnsi="TimesNewRomanPSMT" w:cs="TimesNewRomanPSMT"/>
                <w:color w:val="auto"/>
              </w:rPr>
              <w:t>C</w:t>
            </w:r>
            <w:r w:rsidR="00020A72" w:rsidRPr="004A49EF">
              <w:rPr>
                <w:rFonts w:ascii="TimesNewRomanPSMT" w:hAnsi="TimesNewRomanPSMT" w:cs="TimesNewRomanPSMT"/>
                <w:color w:val="auto"/>
              </w:rPr>
              <w:t>onsider the entire evidentiary record when making the determination.  The record may or may not include evidence showing</w:t>
            </w:r>
          </w:p>
          <w:p w14:paraId="70F3C7D1" w14:textId="77777777" w:rsidR="00020A72" w:rsidRPr="004A49EF" w:rsidRDefault="00020A72" w:rsidP="00020A72">
            <w:pPr>
              <w:autoSpaceDE w:val="0"/>
              <w:autoSpaceDN w:val="0"/>
              <w:adjustRightInd w:val="0"/>
              <w:rPr>
                <w:rFonts w:ascii="TimesNewRomanPSMT" w:hAnsi="TimesNewRomanPSMT" w:cs="TimesNewRomanPSMT"/>
                <w:color w:val="auto"/>
              </w:rPr>
            </w:pPr>
          </w:p>
          <w:p w14:paraId="08C7BB41" w14:textId="281A1017" w:rsidR="00020A72" w:rsidRPr="004A49EF" w:rsidRDefault="00020A72" w:rsidP="00F97139">
            <w:pPr>
              <w:pStyle w:val="BulletText1"/>
              <w:tabs>
                <w:tab w:val="clear" w:pos="443"/>
                <w:tab w:val="num" w:pos="162"/>
              </w:tabs>
              <w:ind w:left="162"/>
            </w:pPr>
            <w:r w:rsidRPr="004A49EF">
              <w:t>an identified injury or other event in service, or</w:t>
            </w:r>
          </w:p>
          <w:p w14:paraId="5D6F6785" w14:textId="40C9C7B9" w:rsidR="00020A72" w:rsidRPr="004A49EF" w:rsidRDefault="00020A72" w:rsidP="00F97139">
            <w:pPr>
              <w:pStyle w:val="BulletText1"/>
              <w:tabs>
                <w:tab w:val="clear" w:pos="443"/>
                <w:tab w:val="num" w:pos="162"/>
              </w:tabs>
              <w:ind w:left="162"/>
            </w:pPr>
            <w:r w:rsidRPr="004A49EF">
              <w:t>pre-service and/or post-service treatment.</w:t>
            </w:r>
          </w:p>
          <w:p w14:paraId="5A98C693" w14:textId="77777777" w:rsidR="00CD3623" w:rsidRPr="004A49EF" w:rsidRDefault="00CD3623" w:rsidP="00CD3623">
            <w:pPr>
              <w:pStyle w:val="BulletText1"/>
              <w:numPr>
                <w:ilvl w:val="0"/>
                <w:numId w:val="0"/>
              </w:numPr>
            </w:pPr>
          </w:p>
          <w:p w14:paraId="14D2B77B" w14:textId="02EF7A10" w:rsidR="00F8057D" w:rsidRPr="004A49EF" w:rsidRDefault="002F3BB0" w:rsidP="002F3BB0">
            <w:pPr>
              <w:pStyle w:val="BlockText"/>
            </w:pPr>
            <w:r w:rsidRPr="004A49EF">
              <w:rPr>
                <w:b/>
                <w:i/>
              </w:rPr>
              <w:t>Important</w:t>
            </w:r>
            <w:r w:rsidRPr="004A49EF">
              <w:t xml:space="preserve">:  </w:t>
            </w:r>
            <w:r w:rsidR="00526568" w:rsidRPr="004A49EF">
              <w:t>Avoid making</w:t>
            </w:r>
            <w:r w:rsidR="00784CD5" w:rsidRPr="004A49EF">
              <w:t xml:space="preserve"> unsupported conclusions that the evidentiary standard is not met </w:t>
            </w:r>
            <w:proofErr w:type="gramStart"/>
            <w:r w:rsidR="00784CD5" w:rsidRPr="004A49EF">
              <w:t xml:space="preserve">based on the </w:t>
            </w:r>
            <w:r w:rsidRPr="004A49EF">
              <w:t>fact that</w:t>
            </w:r>
            <w:proofErr w:type="gramEnd"/>
            <w:r w:rsidRPr="004A49EF">
              <w:t xml:space="preserve"> the service records do</w:t>
            </w:r>
            <w:r w:rsidR="00526568" w:rsidRPr="004A49EF">
              <w:t xml:space="preserve"> not</w:t>
            </w:r>
            <w:r w:rsidRPr="004A49EF">
              <w:t xml:space="preserve"> show a specific injury or causative event </w:t>
            </w:r>
            <w:r w:rsidR="00784CD5" w:rsidRPr="004A49EF">
              <w:t xml:space="preserve">or that there are no </w:t>
            </w:r>
            <w:r w:rsidRPr="004A49EF">
              <w:t>post</w:t>
            </w:r>
            <w:r w:rsidR="00D741CC" w:rsidRPr="004A49EF">
              <w:t>-</w:t>
            </w:r>
            <w:r w:rsidRPr="004A49EF">
              <w:t xml:space="preserve">service treatment </w:t>
            </w:r>
            <w:r w:rsidR="00784CD5" w:rsidRPr="004A49EF">
              <w:t xml:space="preserve">records.  </w:t>
            </w:r>
          </w:p>
          <w:p w14:paraId="1CC89D2A" w14:textId="1BF31A47" w:rsidR="002F3BB0" w:rsidRPr="004A49EF" w:rsidRDefault="00F8057D" w:rsidP="00F97139">
            <w:pPr>
              <w:pStyle w:val="BulletText1"/>
              <w:tabs>
                <w:tab w:val="clear" w:pos="443"/>
                <w:tab w:val="num" w:pos="162"/>
              </w:tabs>
              <w:ind w:left="162"/>
            </w:pPr>
            <w:r w:rsidRPr="004A49EF">
              <w:t>These facts may be irrelevant.  The relevance depends on medical evidence of the nature and expected course of the disability at issue.</w:t>
            </w:r>
            <w:r w:rsidR="002F3BB0" w:rsidRPr="004A49EF">
              <w:t xml:space="preserve"> </w:t>
            </w:r>
          </w:p>
          <w:p w14:paraId="1A10899D" w14:textId="38FA3873" w:rsidR="00F8057D" w:rsidRPr="004A49EF" w:rsidRDefault="00526568" w:rsidP="00F97139">
            <w:pPr>
              <w:pStyle w:val="BulletText1"/>
              <w:tabs>
                <w:tab w:val="clear" w:pos="443"/>
                <w:tab w:val="num" w:pos="162"/>
              </w:tabs>
              <w:ind w:left="162"/>
            </w:pPr>
            <w:r w:rsidRPr="004A49EF">
              <w:t>Drawing an unsupported conclusion based on lack of post</w:t>
            </w:r>
            <w:r w:rsidR="00D741CC" w:rsidRPr="004A49EF">
              <w:t>-</w:t>
            </w:r>
            <w:r w:rsidRPr="004A49EF">
              <w:t>service treatment records or service records not showing a specific injury or causative event</w:t>
            </w:r>
            <w:r w:rsidR="00F8057D" w:rsidRPr="004A49EF">
              <w:t xml:space="preserve"> impermissibly shift</w:t>
            </w:r>
            <w:r w:rsidRPr="004A49EF">
              <w:t>s</w:t>
            </w:r>
            <w:r w:rsidR="00F8057D" w:rsidRPr="004A49EF">
              <w:t xml:space="preserve"> the burden of proof onto the Veteran to prove aggravation.</w:t>
            </w:r>
          </w:p>
          <w:p w14:paraId="702B44F6" w14:textId="77777777" w:rsidR="002F3BB0" w:rsidRPr="004A49EF" w:rsidRDefault="002F3BB0" w:rsidP="00CD3623">
            <w:pPr>
              <w:pStyle w:val="BulletText1"/>
              <w:numPr>
                <w:ilvl w:val="0"/>
                <w:numId w:val="0"/>
              </w:numPr>
            </w:pPr>
          </w:p>
          <w:p w14:paraId="46072850" w14:textId="77777777" w:rsidR="000B644F" w:rsidRPr="004A49EF" w:rsidRDefault="000B644F" w:rsidP="000B644F">
            <w:pPr>
              <w:pStyle w:val="TableText"/>
            </w:pPr>
            <w:r w:rsidRPr="004A49EF">
              <w:rPr>
                <w:b/>
                <w:i/>
              </w:rPr>
              <w:lastRenderedPageBreak/>
              <w:t>References</w:t>
            </w:r>
            <w:r w:rsidRPr="004A49EF">
              <w:t xml:space="preserve">:  For more information on </w:t>
            </w:r>
          </w:p>
          <w:p w14:paraId="790B798D" w14:textId="77777777" w:rsidR="000B644F" w:rsidRPr="004A49EF" w:rsidRDefault="000B644F" w:rsidP="00F97139">
            <w:pPr>
              <w:pStyle w:val="BulletText1"/>
              <w:tabs>
                <w:tab w:val="clear" w:pos="443"/>
                <w:tab w:val="num" w:pos="162"/>
              </w:tabs>
              <w:ind w:left="162"/>
              <w:rPr>
                <w:rStyle w:val="Hyperlink"/>
                <w:color w:val="auto"/>
                <w:u w:val="none"/>
              </w:rPr>
            </w:pPr>
            <w:r w:rsidRPr="004A49EF">
              <w:t xml:space="preserve">presumption of soundness, see  </w:t>
            </w:r>
            <w:hyperlink r:id="rId107" w:history="1">
              <w:r w:rsidRPr="004A49EF">
                <w:rPr>
                  <w:rStyle w:val="Hyperlink"/>
                  <w:rFonts w:ascii="TimesNewRomanPSMT" w:hAnsi="TimesNewRomanPSMT" w:cs="TimesNewRomanPSMT"/>
                </w:rPr>
                <w:t>38 U.S.C. 1111</w:t>
              </w:r>
            </w:hyperlink>
          </w:p>
          <w:p w14:paraId="40C47F33" w14:textId="35F2C4AA" w:rsidR="00AE5323" w:rsidRPr="004A49EF" w:rsidRDefault="000B644F" w:rsidP="00F97139">
            <w:pPr>
              <w:pStyle w:val="BulletText1"/>
              <w:tabs>
                <w:tab w:val="clear" w:pos="443"/>
                <w:tab w:val="num" w:pos="162"/>
              </w:tabs>
              <w:ind w:left="162"/>
            </w:pPr>
            <w:r w:rsidRPr="004A49EF">
              <w:rPr>
                <w:rStyle w:val="Hyperlink"/>
                <w:rFonts w:ascii="TimesNewRomanPSMT" w:hAnsi="TimesNewRomanPSMT" w:cs="TimesNewRomanPSMT"/>
                <w:color w:val="auto"/>
                <w:u w:val="none"/>
              </w:rPr>
              <w:t xml:space="preserve">presumption of aggravation, see </w:t>
            </w:r>
            <w:hyperlink r:id="rId108" w:history="1">
              <w:r w:rsidRPr="004A49EF">
                <w:rPr>
                  <w:rStyle w:val="Hyperlink"/>
                  <w:rFonts w:ascii="TimesNewRomanPSMT" w:hAnsi="TimesNewRomanPSMT" w:cs="TimesNewRomanPSMT"/>
                </w:rPr>
                <w:t>38 U.S.C. 1153</w:t>
              </w:r>
            </w:hyperlink>
          </w:p>
          <w:p w14:paraId="3D6F801B" w14:textId="7992572F" w:rsidR="00AE5323" w:rsidRPr="004A49EF" w:rsidRDefault="00AE5323" w:rsidP="00F97139">
            <w:pPr>
              <w:pStyle w:val="BulletText1"/>
              <w:tabs>
                <w:tab w:val="clear" w:pos="443"/>
                <w:tab w:val="num" w:pos="162"/>
              </w:tabs>
              <w:ind w:left="162"/>
            </w:pPr>
            <w:r w:rsidRPr="004A49EF">
              <w:t xml:space="preserve">distinguishing between presumption of soundness and presumption of aggravation, see M21-1, Part IV, Subpart ii, </w:t>
            </w:r>
            <w:proofErr w:type="spellStart"/>
            <w:r w:rsidRPr="004A49EF">
              <w:t>2.B.4.i</w:t>
            </w:r>
            <w:proofErr w:type="spellEnd"/>
          </w:p>
          <w:p w14:paraId="1BA270E3" w14:textId="77777777" w:rsidR="000B644F" w:rsidRPr="004A49EF" w:rsidRDefault="000B644F" w:rsidP="00F97139">
            <w:pPr>
              <w:pStyle w:val="BulletText1"/>
              <w:tabs>
                <w:tab w:val="clear" w:pos="443"/>
                <w:tab w:val="num" w:pos="162"/>
              </w:tabs>
              <w:ind w:left="162"/>
            </w:pPr>
            <w:r w:rsidRPr="004A49EF">
              <w:t xml:space="preserve">establishing lack of aggravation when the presumption of soundness applies, see </w:t>
            </w:r>
            <w:hyperlink r:id="rId109" w:anchor="bmh" w:history="1">
              <w:r w:rsidR="003F0914" w:rsidRPr="004A49EF">
                <w:rPr>
                  <w:i/>
                  <w:color w:val="0000FF"/>
                  <w:u w:val="single"/>
                </w:rPr>
                <w:t>Horn v. Shinsek</w:t>
              </w:r>
              <w:r w:rsidR="003F0914" w:rsidRPr="004A49EF">
                <w:rPr>
                  <w:color w:val="0000FF"/>
                  <w:u w:val="single"/>
                </w:rPr>
                <w:t>i</w:t>
              </w:r>
            </w:hyperlink>
            <w:r w:rsidRPr="004A49EF">
              <w:t>, 25 Vet.App</w:t>
            </w:r>
            <w:proofErr w:type="gramStart"/>
            <w:r w:rsidRPr="004A49EF">
              <w:t xml:space="preserve">. </w:t>
            </w:r>
            <w:proofErr w:type="gramEnd"/>
            <w:r w:rsidRPr="004A49EF">
              <w:t>231 (2012), and</w:t>
            </w:r>
          </w:p>
          <w:p w14:paraId="3B05C846" w14:textId="41D1768D" w:rsidR="008726C7" w:rsidRPr="004A49EF" w:rsidRDefault="000B644F" w:rsidP="00F97139">
            <w:pPr>
              <w:pStyle w:val="BulletText1"/>
              <w:tabs>
                <w:tab w:val="clear" w:pos="443"/>
                <w:tab w:val="num" w:pos="162"/>
              </w:tabs>
              <w:ind w:left="162"/>
            </w:pPr>
            <w:proofErr w:type="gramStart"/>
            <w:r w:rsidRPr="004A49EF">
              <w:t>evaluating</w:t>
            </w:r>
            <w:proofErr w:type="gramEnd"/>
            <w:r w:rsidRPr="004A49EF">
              <w:t xml:space="preserve"> and weighing evidence, see M21-1, Part III, Subpart iv, 5.</w:t>
            </w:r>
          </w:p>
        </w:tc>
      </w:tr>
    </w:tbl>
    <w:p w14:paraId="6CCF425C" w14:textId="77777777" w:rsidR="00981556" w:rsidRPr="004A49EF" w:rsidRDefault="00981556" w:rsidP="0098155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25C8E" w:rsidRPr="004A49EF" w14:paraId="6119B29F" w14:textId="77777777" w:rsidTr="00E25C8E">
        <w:tc>
          <w:tcPr>
            <w:tcW w:w="1728" w:type="dxa"/>
            <w:shd w:val="clear" w:color="auto" w:fill="auto"/>
          </w:tcPr>
          <w:p w14:paraId="5806F0FA" w14:textId="120A9945" w:rsidR="00E25C8E" w:rsidRPr="004A49EF" w:rsidRDefault="00951105" w:rsidP="005A37DD">
            <w:pPr>
              <w:rPr>
                <w:b/>
                <w:sz w:val="22"/>
                <w:szCs w:val="22"/>
              </w:rPr>
            </w:pPr>
            <w:r w:rsidRPr="004A49EF">
              <w:rPr>
                <w:b/>
                <w:sz w:val="22"/>
                <w:szCs w:val="22"/>
              </w:rPr>
              <w:t>f</w:t>
            </w:r>
            <w:r w:rsidR="00E25C8E" w:rsidRPr="004A49EF">
              <w:rPr>
                <w:b/>
                <w:sz w:val="22"/>
                <w:szCs w:val="22"/>
              </w:rPr>
              <w:t xml:space="preserve">.  Determining Whether a Pre-Existing Disability Was Aggravated by Service  </w:t>
            </w:r>
          </w:p>
        </w:tc>
        <w:tc>
          <w:tcPr>
            <w:tcW w:w="7740" w:type="dxa"/>
            <w:shd w:val="clear" w:color="auto" w:fill="auto"/>
          </w:tcPr>
          <w:p w14:paraId="4C42542D" w14:textId="03827AD1" w:rsidR="00E25C8E" w:rsidRPr="004A49EF" w:rsidRDefault="00E25C8E" w:rsidP="00E25C8E">
            <w:pPr>
              <w:pStyle w:val="BlockText"/>
            </w:pPr>
            <w:r w:rsidRPr="004A49EF">
              <w:t xml:space="preserve">Under </w:t>
            </w:r>
            <w:hyperlink r:id="rId110" w:history="1">
              <w:r w:rsidR="000F53E1" w:rsidRPr="004A49EF">
                <w:rPr>
                  <w:rStyle w:val="Hyperlink"/>
                </w:rPr>
                <w:t>38 U.S.C. 1153</w:t>
              </w:r>
            </w:hyperlink>
            <w:r w:rsidR="000F53E1" w:rsidRPr="004A49EF">
              <w:t xml:space="preserve"> and </w:t>
            </w:r>
            <w:hyperlink r:id="rId111" w:history="1">
              <w:r w:rsidRPr="004A49EF">
                <w:rPr>
                  <w:rStyle w:val="Hyperlink"/>
                </w:rPr>
                <w:t>38 CFR 3.306</w:t>
              </w:r>
            </w:hyperlink>
            <w:r w:rsidRPr="004A49EF">
              <w:t xml:space="preserve">, </w:t>
            </w:r>
            <w:r w:rsidR="000F53E1" w:rsidRPr="004A49EF">
              <w:t xml:space="preserve">when there is a claim for SC for aggravation and a pre-service injury or disease was noted on enlistment, the claimant initially bears the burden of proving that the pre-existing condition worsened in service.  When an increase in disability is proven, </w:t>
            </w:r>
            <w:r w:rsidRPr="004A49EF">
              <w:t>consider a pre-existing injury or disease to have been aggravated by active military service whe</w:t>
            </w:r>
            <w:r w:rsidR="00490CAE" w:rsidRPr="004A49EF">
              <w:t>n</w:t>
            </w:r>
            <w:r w:rsidRPr="004A49EF">
              <w:t xml:space="preserve"> there is an increase in disability during active military service, </w:t>
            </w:r>
            <w:r w:rsidRPr="004A49EF">
              <w:rPr>
                <w:b/>
                <w:i/>
              </w:rPr>
              <w:t>unless</w:t>
            </w:r>
            <w:r w:rsidRPr="004A49EF">
              <w:t xml:space="preserve"> </w:t>
            </w:r>
            <w:r w:rsidR="0006127E" w:rsidRPr="004A49EF">
              <w:t>the evidence clearly and unmistakably shows</w:t>
            </w:r>
            <w:r w:rsidRPr="004A49EF">
              <w:t xml:space="preserve"> the increase in disability is due to the natural progress of the injury or disease.</w:t>
            </w:r>
            <w:r w:rsidR="0006127E" w:rsidRPr="004A49EF">
              <w:t xml:space="preserve">  </w:t>
            </w:r>
          </w:p>
          <w:p w14:paraId="27A412E6" w14:textId="77777777" w:rsidR="00E25C8E" w:rsidRPr="004A49EF" w:rsidRDefault="00E25C8E" w:rsidP="00E25C8E">
            <w:pPr>
              <w:pStyle w:val="BlockText"/>
            </w:pPr>
          </w:p>
          <w:p w14:paraId="5C75BF25" w14:textId="0ACF1FAE" w:rsidR="00E25C8E" w:rsidRPr="004A49EF" w:rsidRDefault="00E25C8E" w:rsidP="00E25C8E">
            <w:pPr>
              <w:pStyle w:val="BlockText"/>
            </w:pPr>
            <w:r w:rsidRPr="004A49EF">
              <w:rPr>
                <w:b/>
                <w:i/>
              </w:rPr>
              <w:t>Exception</w:t>
            </w:r>
            <w:r w:rsidRPr="004A49EF">
              <w:t>:  In claims based on active duty for training,</w:t>
            </w:r>
            <w:r w:rsidR="00772377" w:rsidRPr="004A49EF">
              <w:t xml:space="preserve"> direct evidence</w:t>
            </w:r>
            <w:r w:rsidRPr="004A49EF">
              <w:t xml:space="preserve"> demonstrating the pre-existing disability permanently worsened during active duty for training and the worsening was not the result of natural progression of the disability is required to establish aggravation (see </w:t>
            </w:r>
            <w:hyperlink r:id="rId112" w:anchor="bms" w:history="1">
              <w:r w:rsidRPr="004A49EF">
                <w:rPr>
                  <w:rStyle w:val="Hyperlink"/>
                  <w:i/>
                </w:rPr>
                <w:t>Smith (Valerie Y.) v. Shinseki</w:t>
              </w:r>
            </w:hyperlink>
            <w:r w:rsidRPr="004A49EF">
              <w:rPr>
                <w:i/>
              </w:rPr>
              <w:t>,</w:t>
            </w:r>
            <w:r w:rsidRPr="004A49EF">
              <w:t xml:space="preserve"> 24 </w:t>
            </w:r>
            <w:proofErr w:type="spellStart"/>
            <w:r w:rsidRPr="004A49EF">
              <w:t>Vet.App</w:t>
            </w:r>
            <w:proofErr w:type="spellEnd"/>
            <w:r w:rsidRPr="004A49EF">
              <w:t>. 40, 44 (2010)).  The provisions of</w:t>
            </w:r>
            <w:r w:rsidR="00764DB2" w:rsidRPr="004A49EF">
              <w:t xml:space="preserve"> </w:t>
            </w:r>
            <w:hyperlink r:id="rId113" w:history="1">
              <w:r w:rsidR="00764DB2" w:rsidRPr="004A49EF">
                <w:rPr>
                  <w:rStyle w:val="Hyperlink"/>
                </w:rPr>
                <w:t>38 CFR 3.306</w:t>
              </w:r>
            </w:hyperlink>
            <w:r w:rsidRPr="004A49EF">
              <w:t xml:space="preserve"> do </w:t>
            </w:r>
            <w:r w:rsidRPr="004A49EF">
              <w:rPr>
                <w:i/>
              </w:rPr>
              <w:t>not</w:t>
            </w:r>
            <w:r w:rsidRPr="004A49EF">
              <w:t xml:space="preserve"> apply.  </w:t>
            </w:r>
          </w:p>
          <w:p w14:paraId="2C32D41F" w14:textId="77777777" w:rsidR="00E25C8E" w:rsidRPr="004A49EF" w:rsidRDefault="00E25C8E" w:rsidP="00E25C8E">
            <w:pPr>
              <w:pStyle w:val="BlockText"/>
            </w:pPr>
          </w:p>
          <w:p w14:paraId="5C14E50B" w14:textId="77777777" w:rsidR="00E25C8E" w:rsidRPr="004A49EF" w:rsidRDefault="00E25C8E" w:rsidP="00E25C8E">
            <w:pPr>
              <w:pStyle w:val="BlockText"/>
            </w:pPr>
            <w:r w:rsidRPr="004A49EF">
              <w:rPr>
                <w:b/>
                <w:i/>
              </w:rPr>
              <w:t>Notes</w:t>
            </w:r>
            <w:r w:rsidRPr="004A49EF">
              <w:t xml:space="preserve">:  </w:t>
            </w:r>
          </w:p>
          <w:p w14:paraId="28A3B5C8" w14:textId="3FAE59E0" w:rsidR="00E25C8E" w:rsidRPr="004A49EF" w:rsidRDefault="00E25C8E" w:rsidP="00F97139">
            <w:pPr>
              <w:pStyle w:val="BulletText1"/>
              <w:tabs>
                <w:tab w:val="clear" w:pos="443"/>
                <w:tab w:val="num" w:pos="162"/>
              </w:tabs>
              <w:ind w:left="162"/>
            </w:pPr>
            <w:r w:rsidRPr="004A49EF">
              <w:t xml:space="preserve">Always address the issue of aggravation when </w:t>
            </w:r>
            <w:r w:rsidR="00772377" w:rsidRPr="004A49EF">
              <w:t>SC</w:t>
            </w:r>
            <w:r w:rsidRPr="004A49EF">
              <w:t xml:space="preserve"> for a pre-existing disability is claimed.</w:t>
            </w:r>
          </w:p>
          <w:p w14:paraId="2B818AE1" w14:textId="0FAD6F06" w:rsidR="00E25C8E" w:rsidRPr="004A49EF" w:rsidRDefault="00E25C8E" w:rsidP="00F97139">
            <w:pPr>
              <w:pStyle w:val="BulletText1"/>
              <w:tabs>
                <w:tab w:val="clear" w:pos="443"/>
                <w:tab w:val="num" w:pos="162"/>
              </w:tabs>
              <w:ind w:left="162"/>
            </w:pPr>
            <w:r w:rsidRPr="004A49EF">
              <w:t xml:space="preserve">If </w:t>
            </w:r>
            <w:r w:rsidR="00772377" w:rsidRPr="004A49EF">
              <w:t>SC</w:t>
            </w:r>
            <w:r w:rsidRPr="004A49EF">
              <w:t xml:space="preserve"> is </w:t>
            </w:r>
            <w:r w:rsidRPr="004A49EF">
              <w:rPr>
                <w:i/>
              </w:rPr>
              <w:t>not</w:t>
            </w:r>
            <w:r w:rsidRPr="004A49EF">
              <w:t xml:space="preserve"> </w:t>
            </w:r>
            <w:r w:rsidR="00772377" w:rsidRPr="004A49EF">
              <w:t>established</w:t>
            </w:r>
            <w:r w:rsidRPr="004A49EF">
              <w:t xml:space="preserve">, </w:t>
            </w:r>
            <w:r w:rsidR="00FC2C50" w:rsidRPr="004A49EF">
              <w:t xml:space="preserve">include an explanation of </w:t>
            </w:r>
            <w:r w:rsidRPr="004A49EF">
              <w:t>the relevant findings from the medical records before, during, and after service that demonstrate the condition existed prior to service and did not increase in severity</w:t>
            </w:r>
            <w:r w:rsidR="00AD3A1F" w:rsidRPr="004A49EF">
              <w:t xml:space="preserve"> in the </w:t>
            </w:r>
            <w:r w:rsidR="00AD3A1F" w:rsidRPr="004A49EF">
              <w:rPr>
                <w:i/>
              </w:rPr>
              <w:t>Narrative</w:t>
            </w:r>
            <w:r w:rsidR="00AD3A1F" w:rsidRPr="004A49EF">
              <w:t xml:space="preserve"> of the rating decision</w:t>
            </w:r>
            <w:r w:rsidRPr="004A49EF">
              <w:t>.</w:t>
            </w:r>
          </w:p>
          <w:p w14:paraId="23B9AFAF" w14:textId="77777777" w:rsidR="00E25C8E" w:rsidRPr="004A49EF" w:rsidRDefault="00E25C8E" w:rsidP="00F97139">
            <w:pPr>
              <w:pStyle w:val="BulletText1"/>
              <w:tabs>
                <w:tab w:val="clear" w:pos="443"/>
                <w:tab w:val="num" w:pos="162"/>
              </w:tabs>
              <w:ind w:left="162"/>
            </w:pPr>
            <w:r w:rsidRPr="004A49EF">
              <w:t xml:space="preserve">Ensure that determinations are based on independent medical evidence and not on speculation.  </w:t>
            </w:r>
          </w:p>
          <w:p w14:paraId="25958D2A" w14:textId="77777777" w:rsidR="00E25C8E" w:rsidRPr="004A49EF" w:rsidRDefault="00E25C8E" w:rsidP="00E25C8E">
            <w:pPr>
              <w:pStyle w:val="BlockText"/>
              <w:rPr>
                <w:b/>
                <w:bCs/>
                <w:i/>
                <w:iCs/>
              </w:rPr>
            </w:pPr>
          </w:p>
          <w:p w14:paraId="75554DC2" w14:textId="77777777" w:rsidR="00E25C8E" w:rsidRPr="004A49EF" w:rsidRDefault="00E25C8E" w:rsidP="00E25C8E">
            <w:pPr>
              <w:pStyle w:val="BlockText"/>
            </w:pPr>
            <w:r w:rsidRPr="004A49EF">
              <w:rPr>
                <w:b/>
                <w:bCs/>
                <w:i/>
                <w:iCs/>
              </w:rPr>
              <w:t>References</w:t>
            </w:r>
            <w:r w:rsidRPr="004A49EF">
              <w:t xml:space="preserve">:  For more information on </w:t>
            </w:r>
          </w:p>
          <w:p w14:paraId="649512F2" w14:textId="77777777" w:rsidR="00E25C8E" w:rsidRPr="004A49EF" w:rsidRDefault="00E25C8E" w:rsidP="00523094">
            <w:pPr>
              <w:pStyle w:val="ListParagraph"/>
              <w:numPr>
                <w:ilvl w:val="0"/>
                <w:numId w:val="33"/>
              </w:numPr>
              <w:ind w:left="158" w:hanging="187"/>
            </w:pPr>
            <w:r w:rsidRPr="004A49EF">
              <w:t xml:space="preserve">the presumption of aggravation and the standard for rebutting the presumption, see </w:t>
            </w:r>
          </w:p>
          <w:p w14:paraId="4604B757" w14:textId="77777777" w:rsidR="00E25C8E" w:rsidRPr="004A49EF" w:rsidRDefault="004A49EF" w:rsidP="00523094">
            <w:pPr>
              <w:pStyle w:val="ListParagraph"/>
              <w:numPr>
                <w:ilvl w:val="0"/>
                <w:numId w:val="34"/>
              </w:numPr>
              <w:ind w:left="346" w:hanging="187"/>
            </w:pPr>
            <w:hyperlink r:id="rId114" w:history="1">
              <w:r w:rsidR="00E25C8E" w:rsidRPr="004A49EF">
                <w:rPr>
                  <w:rStyle w:val="Hyperlink"/>
                </w:rPr>
                <w:t>38 U.S.C. 1153</w:t>
              </w:r>
            </w:hyperlink>
            <w:r w:rsidR="00E25C8E" w:rsidRPr="004A49EF">
              <w:t xml:space="preserve">, and </w:t>
            </w:r>
          </w:p>
          <w:p w14:paraId="3DFA4DE3" w14:textId="77777777" w:rsidR="00E25C8E" w:rsidRPr="004A49EF" w:rsidRDefault="004A49EF" w:rsidP="00523094">
            <w:pPr>
              <w:pStyle w:val="ListParagraph"/>
              <w:numPr>
                <w:ilvl w:val="0"/>
                <w:numId w:val="34"/>
              </w:numPr>
              <w:ind w:left="346" w:hanging="187"/>
            </w:pPr>
            <w:hyperlink r:id="rId115" w:anchor="bmh" w:history="1">
              <w:r w:rsidR="00E25C8E" w:rsidRPr="004A49EF">
                <w:rPr>
                  <w:rStyle w:val="Hyperlink"/>
                  <w:i/>
                </w:rPr>
                <w:t>Horn v. Shinseki</w:t>
              </w:r>
            </w:hyperlink>
            <w:r w:rsidR="00E25C8E" w:rsidRPr="004A49EF">
              <w:t xml:space="preserve">, 25 Vet.App. 231 (2012) </w:t>
            </w:r>
          </w:p>
          <w:p w14:paraId="3C29C684" w14:textId="5D73ED13" w:rsidR="0092209C" w:rsidRPr="004A49EF" w:rsidRDefault="0092209C" w:rsidP="00523094">
            <w:pPr>
              <w:pStyle w:val="ListParagraph"/>
              <w:numPr>
                <w:ilvl w:val="0"/>
                <w:numId w:val="40"/>
              </w:numPr>
              <w:ind w:left="158" w:hanging="187"/>
            </w:pPr>
            <w:r w:rsidRPr="004A49EF">
              <w:t>considering negative evidence to rebut the presumption of aggravation, see</w:t>
            </w:r>
          </w:p>
          <w:p w14:paraId="587AA71D" w14:textId="368EEA52" w:rsidR="0092209C" w:rsidRPr="004A49EF" w:rsidRDefault="0092209C" w:rsidP="0092209C">
            <w:pPr>
              <w:pStyle w:val="BulletText2"/>
            </w:pPr>
            <w:r w:rsidRPr="004A49EF">
              <w:t>M21-1, Part IV, Subpart ii, 2.B.4.m</w:t>
            </w:r>
          </w:p>
          <w:p w14:paraId="23C02EC5" w14:textId="1ECF1362" w:rsidR="0092209C" w:rsidRPr="004A49EF" w:rsidRDefault="0092209C" w:rsidP="0092209C">
            <w:pPr>
              <w:pStyle w:val="BulletText2"/>
            </w:pPr>
            <w:r w:rsidRPr="004A49EF">
              <w:t>M21-1, Part III, Subpart iv, 5.2.g, and</w:t>
            </w:r>
          </w:p>
          <w:p w14:paraId="09276BF3" w14:textId="4E53DF26" w:rsidR="0092209C" w:rsidRPr="004A49EF" w:rsidRDefault="004A49EF" w:rsidP="0092209C">
            <w:pPr>
              <w:pStyle w:val="BulletText2"/>
              <w:rPr>
                <w:szCs w:val="24"/>
              </w:rPr>
            </w:pPr>
            <w:hyperlink r:id="rId116" w:anchor="bmm" w:tgtFrame="_blank" w:history="1">
              <w:r w:rsidR="0092209C" w:rsidRPr="004A49EF">
                <w:rPr>
                  <w:i/>
                  <w:iCs/>
                  <w:color w:val="0000FF"/>
                  <w:szCs w:val="24"/>
                  <w:u w:val="single"/>
                  <w:shd w:val="clear" w:color="auto" w:fill="FFFF00"/>
                </w:rPr>
                <w:t>Maxson</w:t>
              </w:r>
              <w:r w:rsidR="0092209C" w:rsidRPr="004A49EF">
                <w:rPr>
                  <w:i/>
                  <w:iCs/>
                  <w:color w:val="0000FF"/>
                  <w:szCs w:val="24"/>
                  <w:u w:val="single"/>
                </w:rPr>
                <w:t xml:space="preserve"> v. West</w:t>
              </w:r>
            </w:hyperlink>
            <w:r w:rsidR="0092209C" w:rsidRPr="004A49EF">
              <w:rPr>
                <w:szCs w:val="24"/>
              </w:rPr>
              <w:t xml:space="preserve">, 12 </w:t>
            </w:r>
            <w:proofErr w:type="spellStart"/>
            <w:r w:rsidR="0092209C" w:rsidRPr="004A49EF">
              <w:rPr>
                <w:szCs w:val="24"/>
              </w:rPr>
              <w:t>Vet.App</w:t>
            </w:r>
            <w:proofErr w:type="spellEnd"/>
            <w:proofErr w:type="gramStart"/>
            <w:r w:rsidR="0092209C" w:rsidRPr="004A49EF">
              <w:rPr>
                <w:szCs w:val="24"/>
              </w:rPr>
              <w:t xml:space="preserve">. </w:t>
            </w:r>
            <w:proofErr w:type="gramEnd"/>
            <w:r w:rsidR="0092209C" w:rsidRPr="004A49EF">
              <w:rPr>
                <w:szCs w:val="24"/>
              </w:rPr>
              <w:t xml:space="preserve">453, </w:t>
            </w:r>
            <w:r w:rsidR="0092209C" w:rsidRPr="004A49EF">
              <w:rPr>
                <w:i/>
                <w:iCs/>
                <w:szCs w:val="24"/>
              </w:rPr>
              <w:t>aff’d sub nom</w:t>
            </w:r>
            <w:r w:rsidR="0092209C" w:rsidRPr="004A49EF">
              <w:rPr>
                <w:szCs w:val="24"/>
              </w:rPr>
              <w:t xml:space="preserve"> </w:t>
            </w:r>
            <w:hyperlink r:id="rId117" w:anchor="bmm" w:tgtFrame="_blank" w:history="1">
              <w:r w:rsidR="0092209C" w:rsidRPr="004A49EF">
                <w:rPr>
                  <w:i/>
                  <w:iCs/>
                  <w:color w:val="0000FF"/>
                  <w:szCs w:val="24"/>
                  <w:u w:val="single"/>
                  <w:shd w:val="clear" w:color="auto" w:fill="FFFF00"/>
                </w:rPr>
                <w:t>Maxson</w:t>
              </w:r>
              <w:r w:rsidR="0092209C" w:rsidRPr="004A49EF">
                <w:rPr>
                  <w:i/>
                  <w:iCs/>
                  <w:color w:val="0000FF"/>
                  <w:szCs w:val="24"/>
                  <w:u w:val="single"/>
                </w:rPr>
                <w:t xml:space="preserve"> v. Gober</w:t>
              </w:r>
            </w:hyperlink>
            <w:r w:rsidR="0092209C" w:rsidRPr="004A49EF">
              <w:rPr>
                <w:szCs w:val="24"/>
              </w:rPr>
              <w:t>,</w:t>
            </w:r>
            <w:r w:rsidR="00ED6AB9" w:rsidRPr="004A49EF">
              <w:rPr>
                <w:szCs w:val="24"/>
              </w:rPr>
              <w:t xml:space="preserve"> 230 F.3d 1330 (Fed. Cir. 2000)</w:t>
            </w:r>
          </w:p>
          <w:p w14:paraId="468AC9AB" w14:textId="77777777" w:rsidR="00E25C8E" w:rsidRPr="004A49EF" w:rsidRDefault="00E25C8E" w:rsidP="00523094">
            <w:pPr>
              <w:pStyle w:val="ListParagraph"/>
              <w:numPr>
                <w:ilvl w:val="0"/>
                <w:numId w:val="40"/>
              </w:numPr>
              <w:ind w:left="158" w:hanging="187"/>
            </w:pPr>
            <w:r w:rsidRPr="004A49EF">
              <w:t>the presumption of aggravation and soundness for claims based on active duty for training, see</w:t>
            </w:r>
          </w:p>
          <w:p w14:paraId="5567748B" w14:textId="14D8EB85" w:rsidR="00E25C8E" w:rsidRPr="004A49EF" w:rsidRDefault="00D40E37" w:rsidP="00523094">
            <w:pPr>
              <w:pStyle w:val="ListParagraph"/>
              <w:numPr>
                <w:ilvl w:val="0"/>
                <w:numId w:val="41"/>
              </w:numPr>
              <w:ind w:left="346" w:hanging="187"/>
            </w:pPr>
            <w:hyperlink r:id="rId118" w:anchor="bms" w:history="1">
              <w:r w:rsidR="00E25C8E" w:rsidRPr="004A49EF">
                <w:rPr>
                  <w:rStyle w:val="Hyperlink"/>
                  <w:i/>
                </w:rPr>
                <w:t>Smith (Valerie Y.) v. Shinseki</w:t>
              </w:r>
            </w:hyperlink>
            <w:r w:rsidR="00E25C8E" w:rsidRPr="004A49EF">
              <w:t xml:space="preserve">, 24 </w:t>
            </w:r>
            <w:proofErr w:type="spellStart"/>
            <w:r w:rsidR="00E25C8E" w:rsidRPr="004A49EF">
              <w:t>Vet.App</w:t>
            </w:r>
            <w:proofErr w:type="spellEnd"/>
            <w:proofErr w:type="gramStart"/>
            <w:r w:rsidR="00E25C8E" w:rsidRPr="004A49EF">
              <w:t xml:space="preserve">. </w:t>
            </w:r>
            <w:proofErr w:type="gramEnd"/>
            <w:r w:rsidR="00E25C8E" w:rsidRPr="004A49EF">
              <w:t>40 (2010), and</w:t>
            </w:r>
          </w:p>
          <w:p w14:paraId="7CEEE703" w14:textId="4E4534A8" w:rsidR="00E25C8E" w:rsidRPr="004A49EF" w:rsidRDefault="00D40E37" w:rsidP="00523094">
            <w:pPr>
              <w:pStyle w:val="ListParagraph"/>
              <w:numPr>
                <w:ilvl w:val="0"/>
                <w:numId w:val="41"/>
              </w:numPr>
              <w:ind w:left="346" w:hanging="187"/>
            </w:pPr>
            <w:hyperlink r:id="rId119" w:anchor="bmd" w:history="1">
              <w:r w:rsidR="00E25C8E" w:rsidRPr="004A49EF">
                <w:rPr>
                  <w:rStyle w:val="Hyperlink"/>
                  <w:i/>
                </w:rPr>
                <w:t>Donnellan v. Shinseki</w:t>
              </w:r>
            </w:hyperlink>
            <w:r w:rsidR="00E25C8E" w:rsidRPr="004A49EF">
              <w:t xml:space="preserve">, 24 </w:t>
            </w:r>
            <w:proofErr w:type="spellStart"/>
            <w:r w:rsidR="00E25C8E" w:rsidRPr="004A49EF">
              <w:t>Vet.App</w:t>
            </w:r>
            <w:proofErr w:type="spellEnd"/>
            <w:proofErr w:type="gramStart"/>
            <w:r w:rsidR="00E25C8E" w:rsidRPr="004A49EF">
              <w:t xml:space="preserve">. </w:t>
            </w:r>
            <w:proofErr w:type="gramEnd"/>
            <w:r w:rsidR="00E25C8E" w:rsidRPr="004A49EF">
              <w:t xml:space="preserve">167 (2010), and </w:t>
            </w:r>
          </w:p>
          <w:p w14:paraId="74215B38" w14:textId="3CBD3D35" w:rsidR="00E25C8E" w:rsidRPr="004A49EF" w:rsidRDefault="00716321" w:rsidP="00523094">
            <w:pPr>
              <w:pStyle w:val="ListParagraph"/>
              <w:numPr>
                <w:ilvl w:val="0"/>
                <w:numId w:val="19"/>
              </w:numPr>
              <w:ind w:left="158" w:hanging="187"/>
            </w:pPr>
            <w:r w:rsidRPr="004A49EF">
              <w:t>evaluating</w:t>
            </w:r>
            <w:r w:rsidR="00E25C8E" w:rsidRPr="004A49EF">
              <w:t xml:space="preserve"> disabilities aggravated by service, see</w:t>
            </w:r>
          </w:p>
          <w:p w14:paraId="3EB55A39" w14:textId="627C8688" w:rsidR="00E25C8E" w:rsidRPr="004A49EF" w:rsidRDefault="004A49EF" w:rsidP="00523094">
            <w:pPr>
              <w:pStyle w:val="ListParagraph"/>
              <w:numPr>
                <w:ilvl w:val="0"/>
                <w:numId w:val="35"/>
              </w:numPr>
              <w:ind w:left="346" w:hanging="187"/>
            </w:pPr>
            <w:hyperlink r:id="rId120" w:history="1">
              <w:r w:rsidR="00563720" w:rsidRPr="004A49EF">
                <w:rPr>
                  <w:rStyle w:val="Hyperlink"/>
                </w:rPr>
                <w:t>38 CFR 3.322(a)</w:t>
              </w:r>
            </w:hyperlink>
            <w:r w:rsidR="00563720" w:rsidRPr="004A49EF">
              <w:t xml:space="preserve">, </w:t>
            </w:r>
            <w:r w:rsidR="00E25C8E" w:rsidRPr="004A49EF">
              <w:t xml:space="preserve">and </w:t>
            </w:r>
          </w:p>
          <w:p w14:paraId="4E52FF51" w14:textId="77777777" w:rsidR="00E25C8E" w:rsidRPr="004A49EF" w:rsidRDefault="004A49EF" w:rsidP="00523094">
            <w:pPr>
              <w:pStyle w:val="ListParagraph"/>
              <w:numPr>
                <w:ilvl w:val="0"/>
                <w:numId w:val="44"/>
              </w:numPr>
              <w:ind w:left="346" w:hanging="187"/>
            </w:pPr>
            <w:hyperlink r:id="rId121" w:history="1">
              <w:r w:rsidR="00E25C8E" w:rsidRPr="004A49EF">
                <w:rPr>
                  <w:rStyle w:val="Hyperlink"/>
                </w:rPr>
                <w:t>38 CFR 4.22</w:t>
              </w:r>
            </w:hyperlink>
            <w:r w:rsidR="00516EB9" w:rsidRPr="004A49EF">
              <w:t>.</w:t>
            </w:r>
          </w:p>
        </w:tc>
      </w:tr>
    </w:tbl>
    <w:p w14:paraId="31E662B1" w14:textId="4864F87B" w:rsidR="007243FC" w:rsidRPr="004A49EF" w:rsidRDefault="007243FC" w:rsidP="00951105">
      <w:pPr>
        <w:pStyle w:val="BlockLine"/>
      </w:pPr>
    </w:p>
    <w:tbl>
      <w:tblPr>
        <w:tblW w:w="0" w:type="auto"/>
        <w:tblLayout w:type="fixed"/>
        <w:tblLook w:val="0000" w:firstRow="0" w:lastRow="0" w:firstColumn="0" w:lastColumn="0" w:noHBand="0" w:noVBand="0"/>
      </w:tblPr>
      <w:tblGrid>
        <w:gridCol w:w="1720"/>
        <w:gridCol w:w="7748"/>
      </w:tblGrid>
      <w:tr w:rsidR="00951105" w:rsidRPr="004A49EF" w14:paraId="462A8BC0" w14:textId="77777777" w:rsidTr="00951105">
        <w:tc>
          <w:tcPr>
            <w:tcW w:w="1720" w:type="dxa"/>
            <w:shd w:val="clear" w:color="auto" w:fill="auto"/>
          </w:tcPr>
          <w:p w14:paraId="0C6A6B50" w14:textId="0B88E89D" w:rsidR="00951105" w:rsidRPr="004A49EF" w:rsidRDefault="00951105" w:rsidP="00951105">
            <w:pPr>
              <w:pStyle w:val="Heading5"/>
            </w:pPr>
            <w:r w:rsidRPr="004A49EF">
              <w:t>g.  Records Needed to Determine Baseline Level of Disability</w:t>
            </w:r>
          </w:p>
        </w:tc>
        <w:tc>
          <w:tcPr>
            <w:tcW w:w="7748" w:type="dxa"/>
            <w:shd w:val="clear" w:color="auto" w:fill="auto"/>
          </w:tcPr>
          <w:p w14:paraId="69A3A62A" w14:textId="7881B7B2" w:rsidR="00951105" w:rsidRPr="004A49EF" w:rsidRDefault="00951105" w:rsidP="00951105">
            <w:pPr>
              <w:pStyle w:val="BlockText"/>
            </w:pPr>
            <w:r w:rsidRPr="004A49EF">
              <w:t xml:space="preserve">The baseline for determining whether a pre-existing disability was aggravated by service is in </w:t>
            </w:r>
            <w:r w:rsidRPr="004A49EF">
              <w:rPr>
                <w:i/>
              </w:rPr>
              <w:t>all</w:t>
            </w:r>
            <w:r w:rsidRPr="004A49EF">
              <w:t xml:space="preserve"> of a Veteran's medical records for that condition, not just those covering the period of enlistment and entry on active duty. </w:t>
            </w:r>
          </w:p>
        </w:tc>
      </w:tr>
    </w:tbl>
    <w:p w14:paraId="7A45B948" w14:textId="259B15CD" w:rsidR="00951105" w:rsidRPr="004A49EF" w:rsidRDefault="00951105" w:rsidP="00951105">
      <w:pPr>
        <w:pStyle w:val="BlockLine"/>
      </w:pPr>
    </w:p>
    <w:tbl>
      <w:tblPr>
        <w:tblW w:w="0" w:type="auto"/>
        <w:tblLayout w:type="fixed"/>
        <w:tblLook w:val="0000" w:firstRow="0" w:lastRow="0" w:firstColumn="0" w:lastColumn="0" w:noHBand="0" w:noVBand="0"/>
      </w:tblPr>
      <w:tblGrid>
        <w:gridCol w:w="1720"/>
        <w:gridCol w:w="7748"/>
      </w:tblGrid>
      <w:tr w:rsidR="00951105" w:rsidRPr="004A49EF" w14:paraId="107C284C" w14:textId="77777777" w:rsidTr="00951105">
        <w:tc>
          <w:tcPr>
            <w:tcW w:w="1720" w:type="dxa"/>
            <w:shd w:val="clear" w:color="auto" w:fill="auto"/>
          </w:tcPr>
          <w:p w14:paraId="39959129" w14:textId="15CE9E8D" w:rsidR="00951105" w:rsidRPr="004A49EF" w:rsidRDefault="00951105" w:rsidP="00951105">
            <w:pPr>
              <w:pStyle w:val="Heading5"/>
            </w:pPr>
            <w:r w:rsidRPr="004A49EF">
              <w:t>h.  Evaluating Disabilities SC by Aggravation Under 38 U.S.C. 1153</w:t>
            </w:r>
          </w:p>
        </w:tc>
        <w:tc>
          <w:tcPr>
            <w:tcW w:w="7748" w:type="dxa"/>
            <w:shd w:val="clear" w:color="auto" w:fill="auto"/>
          </w:tcPr>
          <w:p w14:paraId="14C6C0B9" w14:textId="77777777" w:rsidR="00951105" w:rsidRPr="004A49EF" w:rsidRDefault="00951105" w:rsidP="0032524B">
            <w:pPr>
              <w:pStyle w:val="BlockText"/>
            </w:pPr>
            <w:r w:rsidRPr="004A49EF">
              <w:t xml:space="preserve">The degree of disability evaluation existing at the time of entrance into active service must be considered when evaluating the disabilities connected to service on the basis of aggravation under </w:t>
            </w:r>
            <w:hyperlink r:id="rId122" w:history="1">
              <w:r w:rsidRPr="004A49EF">
                <w:rPr>
                  <w:rStyle w:val="Hyperlink"/>
                </w:rPr>
                <w:t>38 U.S.C. 1153</w:t>
              </w:r>
            </w:hyperlink>
            <w:r w:rsidRPr="004A49EF">
              <w:t xml:space="preserve">.  </w:t>
            </w:r>
          </w:p>
          <w:p w14:paraId="27DC39A6" w14:textId="77777777" w:rsidR="00951105" w:rsidRPr="004A49EF" w:rsidRDefault="00951105" w:rsidP="0032524B">
            <w:pPr>
              <w:pStyle w:val="BlockText"/>
            </w:pPr>
          </w:p>
          <w:p w14:paraId="39EE92A2" w14:textId="70433602" w:rsidR="00951105" w:rsidRPr="004A49EF" w:rsidRDefault="00951105" w:rsidP="00951105">
            <w:pPr>
              <w:pStyle w:val="BlockText"/>
            </w:pPr>
            <w:r w:rsidRPr="004A49EF">
              <w:t>Use the table below to determine whether to deduct the degree of disability existing at entrance from the current dis</w:t>
            </w:r>
            <w:r w:rsidR="0022075A" w:rsidRPr="004A49EF">
              <w:t>ability evaluation.</w:t>
            </w:r>
          </w:p>
        </w:tc>
      </w:tr>
    </w:tbl>
    <w:p w14:paraId="49A01D82" w14:textId="2DF33D10" w:rsidR="00951105" w:rsidRPr="004A49EF" w:rsidRDefault="00951105" w:rsidP="0022075A"/>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22075A" w:rsidRPr="004A49EF" w14:paraId="6352A205" w14:textId="77777777" w:rsidTr="0022075A">
        <w:tc>
          <w:tcPr>
            <w:tcW w:w="2500" w:type="pct"/>
            <w:shd w:val="clear" w:color="auto" w:fill="auto"/>
          </w:tcPr>
          <w:p w14:paraId="460D6271" w14:textId="21607280" w:rsidR="0022075A" w:rsidRPr="004A49EF" w:rsidRDefault="0022075A" w:rsidP="0022075A">
            <w:pPr>
              <w:pStyle w:val="TableHeaderText"/>
              <w:jc w:val="left"/>
            </w:pPr>
            <w:r w:rsidRPr="004A49EF">
              <w:t>If the disability evaluation existing at the time of entrance into active service ...</w:t>
            </w:r>
          </w:p>
        </w:tc>
        <w:tc>
          <w:tcPr>
            <w:tcW w:w="2500" w:type="pct"/>
            <w:shd w:val="clear" w:color="auto" w:fill="auto"/>
          </w:tcPr>
          <w:p w14:paraId="0A867567" w14:textId="73F1E162" w:rsidR="0022075A" w:rsidRPr="004A49EF" w:rsidRDefault="0022075A" w:rsidP="0022075A">
            <w:pPr>
              <w:pStyle w:val="TableHeaderText"/>
              <w:jc w:val="left"/>
            </w:pPr>
            <w:r w:rsidRPr="004A49EF">
              <w:t>Then ...</w:t>
            </w:r>
          </w:p>
        </w:tc>
      </w:tr>
      <w:tr w:rsidR="0022075A" w:rsidRPr="004A49EF" w14:paraId="56208201" w14:textId="77777777" w:rsidTr="0022075A">
        <w:tc>
          <w:tcPr>
            <w:tcW w:w="2500" w:type="pct"/>
            <w:shd w:val="clear" w:color="auto" w:fill="auto"/>
          </w:tcPr>
          <w:p w14:paraId="741E7D18" w14:textId="7BB00A78" w:rsidR="0022075A" w:rsidRPr="004A49EF" w:rsidRDefault="0022075A" w:rsidP="0022075A">
            <w:pPr>
              <w:pStyle w:val="TableText"/>
            </w:pPr>
            <w:r w:rsidRPr="004A49EF">
              <w:t>is ascertainable</w:t>
            </w:r>
          </w:p>
        </w:tc>
        <w:tc>
          <w:tcPr>
            <w:tcW w:w="2500" w:type="pct"/>
            <w:shd w:val="clear" w:color="auto" w:fill="auto"/>
          </w:tcPr>
          <w:p w14:paraId="50B1F568" w14:textId="2B8E9016" w:rsidR="0022075A" w:rsidRPr="004A49EF" w:rsidRDefault="0022075A" w:rsidP="0022075A">
            <w:pPr>
              <w:pStyle w:val="TableText"/>
            </w:pPr>
            <w:r w:rsidRPr="004A49EF">
              <w:t>deduct the entrance disability evaluation from the present disability evaluation</w:t>
            </w:r>
          </w:p>
        </w:tc>
      </w:tr>
      <w:tr w:rsidR="0022075A" w:rsidRPr="004A49EF" w14:paraId="210155C0" w14:textId="77777777" w:rsidTr="0022075A">
        <w:tc>
          <w:tcPr>
            <w:tcW w:w="2500" w:type="pct"/>
            <w:shd w:val="clear" w:color="auto" w:fill="auto"/>
          </w:tcPr>
          <w:p w14:paraId="3828376E" w14:textId="173A6473" w:rsidR="0022075A" w:rsidRPr="004A49EF" w:rsidRDefault="0022075A" w:rsidP="0022075A">
            <w:pPr>
              <w:pStyle w:val="TableText"/>
            </w:pPr>
            <w:r w:rsidRPr="004A49EF">
              <w:t>is not ascertainable</w:t>
            </w:r>
          </w:p>
        </w:tc>
        <w:tc>
          <w:tcPr>
            <w:tcW w:w="2500" w:type="pct"/>
            <w:shd w:val="clear" w:color="auto" w:fill="auto"/>
          </w:tcPr>
          <w:p w14:paraId="79E35358" w14:textId="362C5C0E" w:rsidR="0022075A" w:rsidRPr="004A49EF" w:rsidRDefault="0022075A" w:rsidP="0022075A">
            <w:pPr>
              <w:pStyle w:val="TableText"/>
            </w:pPr>
            <w:r w:rsidRPr="004A49EF">
              <w:t xml:space="preserve">do </w:t>
            </w:r>
            <w:r w:rsidRPr="004A49EF">
              <w:rPr>
                <w:b/>
                <w:i/>
              </w:rPr>
              <w:t>not</w:t>
            </w:r>
            <w:r w:rsidRPr="004A49EF">
              <w:t xml:space="preserve"> deduct an entrance disability evaluation from the present disability evaluation</w:t>
            </w:r>
          </w:p>
        </w:tc>
      </w:tr>
    </w:tbl>
    <w:p w14:paraId="507496DF" w14:textId="5ED45B7A" w:rsidR="0022075A" w:rsidRPr="004A49EF" w:rsidRDefault="0022075A" w:rsidP="0022075A"/>
    <w:tbl>
      <w:tblPr>
        <w:tblW w:w="7732" w:type="dxa"/>
        <w:tblInd w:w="1728" w:type="dxa"/>
        <w:tblLayout w:type="fixed"/>
        <w:tblLook w:val="0000" w:firstRow="0" w:lastRow="0" w:firstColumn="0" w:lastColumn="0" w:noHBand="0" w:noVBand="0"/>
      </w:tblPr>
      <w:tblGrid>
        <w:gridCol w:w="7732"/>
      </w:tblGrid>
      <w:tr w:rsidR="0022075A" w:rsidRPr="004A49EF" w14:paraId="0B17564A" w14:textId="77777777" w:rsidTr="0022075A">
        <w:tc>
          <w:tcPr>
            <w:tcW w:w="5000" w:type="pct"/>
            <w:shd w:val="clear" w:color="auto" w:fill="auto"/>
          </w:tcPr>
          <w:p w14:paraId="4D63DCB8" w14:textId="2D9DA888" w:rsidR="0022075A" w:rsidRPr="004A49EF" w:rsidRDefault="0022075A" w:rsidP="0022075A">
            <w:pPr>
              <w:pStyle w:val="NoteText"/>
            </w:pPr>
            <w:r w:rsidRPr="004A49EF">
              <w:rPr>
                <w:b/>
                <w:i/>
              </w:rPr>
              <w:t>Note</w:t>
            </w:r>
            <w:r w:rsidRPr="004A49EF">
              <w:t>:  Do not make a deduction if the disability has a total (100 percent) evaluation.</w:t>
            </w:r>
          </w:p>
        </w:tc>
      </w:tr>
    </w:tbl>
    <w:p w14:paraId="13C641B9" w14:textId="37D406FC" w:rsidR="0022075A" w:rsidRPr="004A49EF" w:rsidRDefault="0022075A" w:rsidP="0022075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243FC" w:rsidRPr="004A49EF" w14:paraId="18299FB2" w14:textId="77777777" w:rsidTr="00004725">
        <w:tc>
          <w:tcPr>
            <w:tcW w:w="1728" w:type="dxa"/>
            <w:shd w:val="clear" w:color="auto" w:fill="auto"/>
          </w:tcPr>
          <w:p w14:paraId="6E64ED79" w14:textId="0D14CBDF" w:rsidR="007243FC" w:rsidRPr="004A49EF" w:rsidRDefault="00E576CE" w:rsidP="007243FC">
            <w:pPr>
              <w:rPr>
                <w:b/>
                <w:sz w:val="22"/>
              </w:rPr>
            </w:pPr>
            <w:r w:rsidRPr="004A49EF">
              <w:rPr>
                <w:b/>
                <w:sz w:val="22"/>
              </w:rPr>
              <w:t>i</w:t>
            </w:r>
            <w:r w:rsidR="007243FC" w:rsidRPr="004A49EF">
              <w:rPr>
                <w:b/>
                <w:sz w:val="22"/>
              </w:rPr>
              <w:t>.  Distinguishing Between Presumption of Soundness and Presumption of Aggravation</w:t>
            </w:r>
          </w:p>
        </w:tc>
        <w:tc>
          <w:tcPr>
            <w:tcW w:w="7740" w:type="dxa"/>
            <w:shd w:val="clear" w:color="auto" w:fill="auto"/>
          </w:tcPr>
          <w:p w14:paraId="30F73E9B" w14:textId="1DB89D32" w:rsidR="007243FC" w:rsidRPr="004A49EF" w:rsidRDefault="007243FC" w:rsidP="004E3E47">
            <w:pPr>
              <w:pStyle w:val="BulletText1"/>
              <w:numPr>
                <w:ilvl w:val="0"/>
                <w:numId w:val="0"/>
              </w:numPr>
              <w:ind w:left="173"/>
            </w:pPr>
            <w:r w:rsidRPr="004A49EF">
              <w:t xml:space="preserve">The presumption of soundness, under </w:t>
            </w:r>
            <w:hyperlink r:id="rId123" w:history="1">
              <w:r w:rsidRPr="004A49EF">
                <w:rPr>
                  <w:rStyle w:val="Hyperlink"/>
                </w:rPr>
                <w:t>38 U.S.C. 1111</w:t>
              </w:r>
            </w:hyperlink>
            <w:r w:rsidRPr="004A49EF">
              <w:t>, and</w:t>
            </w:r>
            <w:r w:rsidR="00516EB9" w:rsidRPr="004A49EF">
              <w:t xml:space="preserve"> the</w:t>
            </w:r>
            <w:r w:rsidRPr="004A49EF">
              <w:t xml:space="preserve"> presumption of aggravation, under </w:t>
            </w:r>
            <w:hyperlink r:id="rId124" w:history="1">
              <w:r w:rsidRPr="004A49EF">
                <w:rPr>
                  <w:rStyle w:val="Hyperlink"/>
                </w:rPr>
                <w:t>38 U.S.C. 1153</w:t>
              </w:r>
            </w:hyperlink>
            <w:r w:rsidRPr="004A49EF">
              <w:t>, are two distinctly different statutes with di</w:t>
            </w:r>
            <w:r w:rsidR="00516EB9" w:rsidRPr="004A49EF">
              <w:t>ffering</w:t>
            </w:r>
            <w:r w:rsidRPr="004A49EF">
              <w:t xml:space="preserve"> burdens of proof </w:t>
            </w:r>
            <w:r w:rsidR="004E3E47" w:rsidRPr="004A49EF">
              <w:t>required</w:t>
            </w:r>
            <w:r w:rsidRPr="004A49EF">
              <w:t xml:space="preserve">.  The table below describes the fact patterns that </w:t>
            </w:r>
            <w:r w:rsidR="004E3E47" w:rsidRPr="004A49EF">
              <w:t>must</w:t>
            </w:r>
            <w:r w:rsidRPr="004A49EF">
              <w:t xml:space="preserve"> be applied to </w:t>
            </w:r>
            <w:r w:rsidR="004E3E47" w:rsidRPr="004A49EF">
              <w:t>each</w:t>
            </w:r>
            <w:r w:rsidRPr="004A49EF">
              <w:t xml:space="preserve"> respective statute.</w:t>
            </w:r>
          </w:p>
        </w:tc>
      </w:tr>
    </w:tbl>
    <w:p w14:paraId="0FE02BE9" w14:textId="77777777" w:rsidR="006C4BA0" w:rsidRPr="004A49EF" w:rsidRDefault="006C4BA0" w:rsidP="006C4BA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4"/>
        <w:gridCol w:w="1822"/>
        <w:gridCol w:w="3244"/>
      </w:tblGrid>
      <w:tr w:rsidR="006C4BA0" w:rsidRPr="004A49EF" w14:paraId="2276E943" w14:textId="77777777" w:rsidTr="00BF57E4">
        <w:tc>
          <w:tcPr>
            <w:tcW w:w="2534" w:type="dxa"/>
            <w:shd w:val="clear" w:color="auto" w:fill="auto"/>
          </w:tcPr>
          <w:p w14:paraId="26013E9F" w14:textId="77777777" w:rsidR="006C4BA0" w:rsidRPr="004A49EF" w:rsidRDefault="006C4BA0" w:rsidP="006C4BA0">
            <w:pPr>
              <w:pStyle w:val="TableHeaderText"/>
              <w:jc w:val="left"/>
            </w:pPr>
            <w:r w:rsidRPr="004A49EF">
              <w:t>Fact Pattern</w:t>
            </w:r>
          </w:p>
        </w:tc>
        <w:tc>
          <w:tcPr>
            <w:tcW w:w="1822" w:type="dxa"/>
            <w:shd w:val="clear" w:color="auto" w:fill="auto"/>
          </w:tcPr>
          <w:p w14:paraId="18CC1D5A" w14:textId="77777777" w:rsidR="006C4BA0" w:rsidRPr="004A49EF" w:rsidRDefault="006C4BA0" w:rsidP="006C4BA0">
            <w:pPr>
              <w:pStyle w:val="TableHeaderText"/>
              <w:jc w:val="left"/>
            </w:pPr>
            <w:r w:rsidRPr="004A49EF">
              <w:t>Statute</w:t>
            </w:r>
          </w:p>
        </w:tc>
        <w:tc>
          <w:tcPr>
            <w:tcW w:w="3244" w:type="dxa"/>
            <w:shd w:val="clear" w:color="auto" w:fill="auto"/>
          </w:tcPr>
          <w:p w14:paraId="698EB306" w14:textId="7CAF5900" w:rsidR="006C4BA0" w:rsidRPr="004A49EF" w:rsidRDefault="006C4BA0" w:rsidP="004E3E47">
            <w:pPr>
              <w:pStyle w:val="TableHeaderText"/>
              <w:jc w:val="left"/>
            </w:pPr>
            <w:r w:rsidRPr="004A49EF">
              <w:t xml:space="preserve">Burden </w:t>
            </w:r>
            <w:r w:rsidR="004E3E47" w:rsidRPr="004A49EF">
              <w:t>of Proof for</w:t>
            </w:r>
            <w:r w:rsidRPr="004A49EF">
              <w:t xml:space="preserve"> Presumption</w:t>
            </w:r>
            <w:r w:rsidR="00BF57E4" w:rsidRPr="004A49EF">
              <w:t xml:space="preserve"> of Soundness</w:t>
            </w:r>
          </w:p>
        </w:tc>
      </w:tr>
      <w:tr w:rsidR="006C4BA0" w:rsidRPr="004A49EF" w14:paraId="3DA04469" w14:textId="77777777" w:rsidTr="00BF57E4">
        <w:tc>
          <w:tcPr>
            <w:tcW w:w="2534" w:type="dxa"/>
            <w:shd w:val="clear" w:color="auto" w:fill="auto"/>
          </w:tcPr>
          <w:p w14:paraId="46DF8163" w14:textId="77777777" w:rsidR="006C4BA0" w:rsidRPr="004A49EF" w:rsidRDefault="00BF57E4" w:rsidP="006C4BA0">
            <w:pPr>
              <w:pStyle w:val="TableText"/>
            </w:pPr>
            <w:r w:rsidRPr="004A49EF">
              <w:t>no evidence of disability upon</w:t>
            </w:r>
            <w:r w:rsidR="006C4BA0" w:rsidRPr="004A49EF">
              <w:t xml:space="preserve"> entrance examination</w:t>
            </w:r>
          </w:p>
        </w:tc>
        <w:tc>
          <w:tcPr>
            <w:tcW w:w="1822" w:type="dxa"/>
            <w:shd w:val="clear" w:color="auto" w:fill="auto"/>
          </w:tcPr>
          <w:p w14:paraId="077388D6" w14:textId="77777777" w:rsidR="006C4BA0" w:rsidRPr="004A49EF" w:rsidRDefault="00BF57E4" w:rsidP="00BF57E4">
            <w:pPr>
              <w:pStyle w:val="TableText"/>
            </w:pPr>
            <w:r w:rsidRPr="004A49EF">
              <w:t>p</w:t>
            </w:r>
            <w:r w:rsidR="006C4BA0" w:rsidRPr="004A49EF">
              <w:t xml:space="preserve">resumption of </w:t>
            </w:r>
            <w:r w:rsidRPr="004A49EF">
              <w:t>s</w:t>
            </w:r>
            <w:r w:rsidR="006C4BA0" w:rsidRPr="004A49EF">
              <w:t>oundness</w:t>
            </w:r>
            <w:r w:rsidRPr="004A49EF">
              <w:t xml:space="preserve"> under </w:t>
            </w:r>
            <w:hyperlink r:id="rId125" w:history="1">
              <w:r w:rsidRPr="004A49EF">
                <w:rPr>
                  <w:rStyle w:val="Hyperlink"/>
                </w:rPr>
                <w:t>38 U.S.C. 1111</w:t>
              </w:r>
            </w:hyperlink>
          </w:p>
        </w:tc>
        <w:tc>
          <w:tcPr>
            <w:tcW w:w="3244" w:type="dxa"/>
            <w:shd w:val="clear" w:color="auto" w:fill="auto"/>
          </w:tcPr>
          <w:p w14:paraId="58BC8306" w14:textId="2AF69D75" w:rsidR="004E3E47" w:rsidRPr="004A49EF" w:rsidRDefault="0095710E" w:rsidP="004E3E47">
            <w:pPr>
              <w:pStyle w:val="TableText"/>
            </w:pPr>
            <w:r w:rsidRPr="004A49EF">
              <w:t>Presume</w:t>
            </w:r>
            <w:r w:rsidR="004E3E47" w:rsidRPr="004A49EF">
              <w:t xml:space="preserve"> sound</w:t>
            </w:r>
            <w:r w:rsidRPr="004A49EF">
              <w:t>ness</w:t>
            </w:r>
            <w:r w:rsidR="004E3E47" w:rsidRPr="004A49EF">
              <w:t xml:space="preserve"> </w:t>
            </w:r>
            <w:r w:rsidR="004E3E47" w:rsidRPr="004A49EF">
              <w:rPr>
                <w:i/>
              </w:rPr>
              <w:t>unless</w:t>
            </w:r>
            <w:r w:rsidR="004E3E47" w:rsidRPr="004A49EF">
              <w:t xml:space="preserve"> the evidence clearly and unmistakably shows</w:t>
            </w:r>
          </w:p>
          <w:p w14:paraId="10A4DCB7" w14:textId="77777777" w:rsidR="004E3E47" w:rsidRPr="004A49EF" w:rsidRDefault="004E3E47" w:rsidP="004E3E47">
            <w:pPr>
              <w:pStyle w:val="TableText"/>
            </w:pPr>
          </w:p>
          <w:p w14:paraId="3A9667BC" w14:textId="77777777" w:rsidR="0095710E" w:rsidRPr="004A49EF" w:rsidRDefault="00BF57E4" w:rsidP="00E15E03">
            <w:pPr>
              <w:pStyle w:val="BulletText1"/>
              <w:tabs>
                <w:tab w:val="clear" w:pos="443"/>
                <w:tab w:val="num" w:pos="162"/>
              </w:tabs>
              <w:ind w:left="162"/>
            </w:pPr>
            <w:r w:rsidRPr="004A49EF">
              <w:t>the</w:t>
            </w:r>
            <w:r w:rsidR="006C4BA0" w:rsidRPr="004A49EF">
              <w:t xml:space="preserve"> disorder existed prior to service</w:t>
            </w:r>
            <w:r w:rsidR="0095710E" w:rsidRPr="004A49EF">
              <w:t>,</w:t>
            </w:r>
            <w:r w:rsidR="006C4BA0" w:rsidRPr="004A49EF">
              <w:t xml:space="preserve"> </w:t>
            </w:r>
            <w:r w:rsidR="006C4BA0" w:rsidRPr="004A49EF">
              <w:rPr>
                <w:i/>
              </w:rPr>
              <w:t>and</w:t>
            </w:r>
            <w:r w:rsidR="006C4BA0" w:rsidRPr="004A49EF">
              <w:t xml:space="preserve"> </w:t>
            </w:r>
          </w:p>
          <w:p w14:paraId="7655335C" w14:textId="37167781" w:rsidR="006C4BA0" w:rsidRPr="004A49EF" w:rsidRDefault="006C4BA0" w:rsidP="00E15E03">
            <w:pPr>
              <w:pStyle w:val="BulletText1"/>
              <w:tabs>
                <w:tab w:val="clear" w:pos="443"/>
                <w:tab w:val="num" w:pos="162"/>
              </w:tabs>
              <w:ind w:left="162"/>
            </w:pPr>
            <w:r w:rsidRPr="004A49EF">
              <w:lastRenderedPageBreak/>
              <w:t>was not aggravated by service.</w:t>
            </w:r>
          </w:p>
        </w:tc>
      </w:tr>
      <w:tr w:rsidR="006C4BA0" w:rsidRPr="004A49EF" w14:paraId="1C3D602E" w14:textId="77777777" w:rsidTr="00BF57E4">
        <w:tc>
          <w:tcPr>
            <w:tcW w:w="2534" w:type="dxa"/>
            <w:shd w:val="clear" w:color="auto" w:fill="auto"/>
          </w:tcPr>
          <w:p w14:paraId="486D50E0" w14:textId="77777777" w:rsidR="006C4BA0" w:rsidRPr="004A49EF" w:rsidRDefault="00BF57E4" w:rsidP="00BF57E4">
            <w:pPr>
              <w:pStyle w:val="TableText"/>
            </w:pPr>
            <w:r w:rsidRPr="004A49EF">
              <w:lastRenderedPageBreak/>
              <w:t>evidence of disability up</w:t>
            </w:r>
            <w:r w:rsidR="006C4BA0" w:rsidRPr="004A49EF">
              <w:t>on entrance examination</w:t>
            </w:r>
          </w:p>
        </w:tc>
        <w:tc>
          <w:tcPr>
            <w:tcW w:w="1822" w:type="dxa"/>
            <w:shd w:val="clear" w:color="auto" w:fill="auto"/>
          </w:tcPr>
          <w:p w14:paraId="24C48E53" w14:textId="77777777" w:rsidR="006C4BA0" w:rsidRPr="004A49EF" w:rsidRDefault="00BF57E4" w:rsidP="006C4BA0">
            <w:pPr>
              <w:pStyle w:val="TableText"/>
            </w:pPr>
            <w:r w:rsidRPr="004A49EF">
              <w:t>presumption of a</w:t>
            </w:r>
            <w:r w:rsidR="006C4BA0" w:rsidRPr="004A49EF">
              <w:t>ggravation</w:t>
            </w:r>
            <w:r w:rsidRPr="004A49EF">
              <w:t xml:space="preserve"> under </w:t>
            </w:r>
            <w:hyperlink r:id="rId126" w:history="1">
              <w:r w:rsidRPr="004A49EF">
                <w:rPr>
                  <w:rStyle w:val="Hyperlink"/>
                </w:rPr>
                <w:t>38 U.S.C. 1153</w:t>
              </w:r>
            </w:hyperlink>
          </w:p>
        </w:tc>
        <w:tc>
          <w:tcPr>
            <w:tcW w:w="3244" w:type="dxa"/>
            <w:shd w:val="clear" w:color="auto" w:fill="auto"/>
          </w:tcPr>
          <w:p w14:paraId="520351CB" w14:textId="77777777" w:rsidR="0095710E" w:rsidRPr="004A49EF" w:rsidRDefault="006C4BA0" w:rsidP="00BF57E4">
            <w:pPr>
              <w:pStyle w:val="TableText"/>
            </w:pPr>
            <w:r w:rsidRPr="004A49EF">
              <w:t xml:space="preserve">If </w:t>
            </w:r>
            <w:r w:rsidR="00BF57E4" w:rsidRPr="004A49EF">
              <w:t>a review of the evidence reveals</w:t>
            </w:r>
            <w:r w:rsidRPr="004A49EF">
              <w:t xml:space="preserve"> worsening </w:t>
            </w:r>
            <w:r w:rsidR="00BF57E4" w:rsidRPr="004A49EF">
              <w:t xml:space="preserve">of the condition </w:t>
            </w:r>
            <w:r w:rsidRPr="004A49EF">
              <w:t xml:space="preserve">in service, </w:t>
            </w:r>
            <w:r w:rsidR="0095710E" w:rsidRPr="004A49EF">
              <w:t xml:space="preserve">the evidence </w:t>
            </w:r>
            <w:r w:rsidR="0095710E" w:rsidRPr="004A49EF">
              <w:rPr>
                <w:i/>
              </w:rPr>
              <w:t>must also</w:t>
            </w:r>
            <w:r w:rsidR="0095710E" w:rsidRPr="004A49EF">
              <w:t xml:space="preserve"> show the worsening of the condition was beyond the natural progression of the disease.</w:t>
            </w:r>
          </w:p>
          <w:p w14:paraId="2BA0C041" w14:textId="77777777" w:rsidR="0095710E" w:rsidRPr="004A49EF" w:rsidRDefault="0095710E" w:rsidP="00BF57E4">
            <w:pPr>
              <w:pStyle w:val="TableText"/>
            </w:pPr>
          </w:p>
          <w:p w14:paraId="2394BDAD" w14:textId="58E3D799" w:rsidR="006C4BA0" w:rsidRPr="004A49EF" w:rsidRDefault="0095710E" w:rsidP="0095710E">
            <w:pPr>
              <w:pStyle w:val="TableText"/>
            </w:pPr>
            <w:r w:rsidRPr="004A49EF">
              <w:rPr>
                <w:b/>
                <w:i/>
              </w:rPr>
              <w:t>Note</w:t>
            </w:r>
            <w:r w:rsidRPr="004A49EF">
              <w:t xml:space="preserve">: </w:t>
            </w:r>
            <w:r w:rsidR="006C4BA0" w:rsidRPr="004A49EF">
              <w:t xml:space="preserve">VA may only rebut </w:t>
            </w:r>
            <w:r w:rsidR="00BF57E4" w:rsidRPr="004A49EF">
              <w:t xml:space="preserve">presumption of aggravation </w:t>
            </w:r>
            <w:r w:rsidRPr="004A49EF">
              <w:t>if the evidence</w:t>
            </w:r>
            <w:r w:rsidR="006C4BA0" w:rsidRPr="004A49EF">
              <w:t xml:space="preserve"> clearly and unmistakably show</w:t>
            </w:r>
            <w:r w:rsidRPr="004A49EF">
              <w:t>s</w:t>
            </w:r>
            <w:r w:rsidR="006C4BA0" w:rsidRPr="004A49EF">
              <w:t xml:space="preserve"> </w:t>
            </w:r>
            <w:r w:rsidR="00BF57E4" w:rsidRPr="004A49EF">
              <w:t>the worsening of the condition</w:t>
            </w:r>
            <w:r w:rsidR="006C4BA0" w:rsidRPr="004A49EF">
              <w:t xml:space="preserve"> was due to natural progression.  </w:t>
            </w:r>
          </w:p>
        </w:tc>
      </w:tr>
    </w:tbl>
    <w:p w14:paraId="3C00E1B4" w14:textId="6465ACBD" w:rsidR="007579E7" w:rsidRPr="004A49EF" w:rsidRDefault="007579E7" w:rsidP="007579E7">
      <w:pPr>
        <w:pStyle w:val="BlockLine"/>
      </w:pPr>
    </w:p>
    <w:tbl>
      <w:tblPr>
        <w:tblW w:w="0" w:type="auto"/>
        <w:tblLayout w:type="fixed"/>
        <w:tblLook w:val="0000" w:firstRow="0" w:lastRow="0" w:firstColumn="0" w:lastColumn="0" w:noHBand="0" w:noVBand="0"/>
      </w:tblPr>
      <w:tblGrid>
        <w:gridCol w:w="1728"/>
        <w:gridCol w:w="7740"/>
      </w:tblGrid>
      <w:tr w:rsidR="009576AB" w:rsidRPr="004A49EF" w14:paraId="2BECD1DB" w14:textId="77777777">
        <w:trPr>
          <w:cantSplit/>
        </w:trPr>
        <w:tc>
          <w:tcPr>
            <w:tcW w:w="1728" w:type="dxa"/>
          </w:tcPr>
          <w:p w14:paraId="76E68EB1" w14:textId="451C2FEF" w:rsidR="009576AB" w:rsidRPr="004A49EF" w:rsidRDefault="00E576CE" w:rsidP="0047427A">
            <w:pPr>
              <w:pStyle w:val="Heading5"/>
            </w:pPr>
            <w:r w:rsidRPr="004A49EF">
              <w:t>j</w:t>
            </w:r>
            <w:r w:rsidR="009576AB" w:rsidRPr="004A49EF">
              <w:t>.  Considering Flare-</w:t>
            </w:r>
            <w:r w:rsidR="00133C8C" w:rsidRPr="004A49EF">
              <w:t>U</w:t>
            </w:r>
            <w:r w:rsidR="009576AB" w:rsidRPr="004A49EF">
              <w:t>ps of Pre</w:t>
            </w:r>
            <w:r w:rsidR="00A95B6C" w:rsidRPr="004A49EF">
              <w:t>-E</w:t>
            </w:r>
            <w:r w:rsidR="009576AB" w:rsidRPr="004A49EF">
              <w:t>xisting Injury or Disease</w:t>
            </w:r>
          </w:p>
        </w:tc>
        <w:tc>
          <w:tcPr>
            <w:tcW w:w="7740" w:type="dxa"/>
          </w:tcPr>
          <w:p w14:paraId="05FD1012" w14:textId="77777777" w:rsidR="009576AB" w:rsidRPr="004A49EF" w:rsidRDefault="009576AB">
            <w:pPr>
              <w:pStyle w:val="BlockText"/>
            </w:pPr>
            <w:r w:rsidRPr="004A49EF">
              <w:t>Temporary or intermittent flare-ups of a pre</w:t>
            </w:r>
            <w:r w:rsidR="002C0173" w:rsidRPr="004A49EF">
              <w:t>-</w:t>
            </w:r>
            <w:r w:rsidRPr="004A49EF">
              <w:t>existing injury or disease are not sufficient to be considered aggravation in service unless the underlying conditi</w:t>
            </w:r>
            <w:r w:rsidR="00DB3864" w:rsidRPr="004A49EF">
              <w:t>on, as contrasted to symptoms, has</w:t>
            </w:r>
            <w:r w:rsidRPr="004A49EF">
              <w:t xml:space="preserve"> worsened.</w:t>
            </w:r>
          </w:p>
          <w:p w14:paraId="585E2814" w14:textId="77777777" w:rsidR="009576AB" w:rsidRPr="004A49EF" w:rsidRDefault="009576AB">
            <w:pPr>
              <w:pStyle w:val="BlockText"/>
            </w:pPr>
          </w:p>
          <w:p w14:paraId="2F34612E" w14:textId="77777777" w:rsidR="009576AB" w:rsidRPr="004A49EF" w:rsidRDefault="009576AB">
            <w:pPr>
              <w:pStyle w:val="BlockText"/>
            </w:pPr>
            <w:r w:rsidRPr="004A49EF">
              <w:t xml:space="preserve">Do </w:t>
            </w:r>
            <w:r w:rsidRPr="004A49EF">
              <w:rPr>
                <w:i/>
              </w:rPr>
              <w:t>not</w:t>
            </w:r>
            <w:r w:rsidRPr="004A49EF">
              <w:t xml:space="preserve"> concede aggravation merely because a Veteran’s condition was in remission at the time of entry on active duty.</w:t>
            </w:r>
          </w:p>
          <w:p w14:paraId="0780FA5B" w14:textId="77777777" w:rsidR="001C4D54" w:rsidRPr="004A49EF" w:rsidRDefault="001C4D54" w:rsidP="00D04C0B">
            <w:pPr>
              <w:pStyle w:val="BlockText"/>
            </w:pPr>
          </w:p>
          <w:p w14:paraId="7A1123F6" w14:textId="77777777" w:rsidR="002B4FD3" w:rsidRPr="004A49EF" w:rsidRDefault="002B4FD3" w:rsidP="00004A68">
            <w:r w:rsidRPr="004A49EF">
              <w:rPr>
                <w:b/>
                <w:i/>
              </w:rPr>
              <w:t>Reference</w:t>
            </w:r>
            <w:r w:rsidR="00C60196" w:rsidRPr="004A49EF">
              <w:t>:</w:t>
            </w:r>
            <w:r w:rsidR="005346E6" w:rsidRPr="004A49EF">
              <w:t xml:space="preserve">  </w:t>
            </w:r>
            <w:r w:rsidRPr="004A49EF">
              <w:t>For more information on</w:t>
            </w:r>
            <w:r w:rsidR="00A26E42" w:rsidRPr="004A49EF">
              <w:t xml:space="preserve"> </w:t>
            </w:r>
            <w:r w:rsidRPr="004A49EF">
              <w:t>the difference between increase in the underlying disability and temporary flare-ups of symptom</w:t>
            </w:r>
            <w:r w:rsidR="00483303" w:rsidRPr="004A49EF">
              <w:t>s</w:t>
            </w:r>
            <w:r w:rsidRPr="004A49EF">
              <w:t>, see</w:t>
            </w:r>
          </w:p>
          <w:p w14:paraId="7E9D8954" w14:textId="77777777" w:rsidR="001C4D54" w:rsidRPr="004A49EF" w:rsidRDefault="004A49EF" w:rsidP="00523094">
            <w:pPr>
              <w:pStyle w:val="ListParagraph"/>
              <w:numPr>
                <w:ilvl w:val="0"/>
                <w:numId w:val="42"/>
              </w:numPr>
              <w:ind w:left="158" w:hanging="187"/>
            </w:pPr>
            <w:hyperlink r:id="rId127" w:history="1">
              <w:r w:rsidR="001C4D54" w:rsidRPr="004A49EF">
                <w:rPr>
                  <w:rStyle w:val="Hyperlink"/>
                </w:rPr>
                <w:t>38 CFR 3.306(b),</w:t>
              </w:r>
            </w:hyperlink>
            <w:r w:rsidR="001C4D54" w:rsidRPr="004A49EF">
              <w:t xml:space="preserve"> and</w:t>
            </w:r>
          </w:p>
          <w:p w14:paraId="7CAA4A2E" w14:textId="02A49F82" w:rsidR="002B4FD3" w:rsidRPr="004A49EF" w:rsidRDefault="004A49EF" w:rsidP="00D24882">
            <w:pPr>
              <w:pStyle w:val="ListParagraph"/>
              <w:numPr>
                <w:ilvl w:val="0"/>
                <w:numId w:val="43"/>
              </w:numPr>
              <w:ind w:left="158" w:hanging="187"/>
            </w:pPr>
            <w:hyperlink r:id="rId128" w:anchor="bmh" w:history="1">
              <w:r w:rsidR="002B4FD3" w:rsidRPr="004A49EF">
                <w:rPr>
                  <w:rStyle w:val="Hyperlink"/>
                  <w:i/>
                </w:rPr>
                <w:t xml:space="preserve">Hunt v. </w:t>
              </w:r>
              <w:proofErr w:type="spellStart"/>
              <w:r w:rsidR="002B4FD3" w:rsidRPr="004A49EF">
                <w:rPr>
                  <w:rStyle w:val="Hyperlink"/>
                  <w:i/>
                </w:rPr>
                <w:t>Derwinski</w:t>
              </w:r>
              <w:proofErr w:type="spellEnd"/>
              <w:r w:rsidR="002B4FD3" w:rsidRPr="004A49EF">
                <w:rPr>
                  <w:rStyle w:val="Hyperlink"/>
                </w:rPr>
                <w:t>,</w:t>
              </w:r>
            </w:hyperlink>
            <w:r w:rsidR="002B4FD3" w:rsidRPr="004A49EF">
              <w:t xml:space="preserve"> 1 </w:t>
            </w:r>
            <w:proofErr w:type="spellStart"/>
            <w:r w:rsidR="002B4FD3" w:rsidRPr="004A49EF">
              <w:t>Vet.App</w:t>
            </w:r>
            <w:proofErr w:type="spellEnd"/>
            <w:proofErr w:type="gramStart"/>
            <w:r w:rsidR="002B4FD3" w:rsidRPr="004A49EF">
              <w:t>. 292 (1991).</w:t>
            </w:r>
            <w:proofErr w:type="gramEnd"/>
            <w:r w:rsidR="002B4FD3" w:rsidRPr="004A49EF">
              <w:t xml:space="preserve">  </w:t>
            </w:r>
          </w:p>
        </w:tc>
      </w:tr>
    </w:tbl>
    <w:p w14:paraId="373B7DE0" w14:textId="15781754"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4DF1FDD0" w14:textId="77777777">
        <w:trPr>
          <w:cantSplit/>
        </w:trPr>
        <w:tc>
          <w:tcPr>
            <w:tcW w:w="1728" w:type="dxa"/>
          </w:tcPr>
          <w:p w14:paraId="0058C083" w14:textId="6567ADED" w:rsidR="009576AB" w:rsidRPr="004A49EF" w:rsidRDefault="00E576CE" w:rsidP="0047427A">
            <w:pPr>
              <w:pStyle w:val="Heading5"/>
            </w:pPr>
            <w:r w:rsidRPr="004A49EF">
              <w:t>k</w:t>
            </w:r>
            <w:r w:rsidR="009576AB" w:rsidRPr="004A49EF">
              <w:t>.  Considering the Usual Effects of Medical or Surgical Treatment</w:t>
            </w:r>
          </w:p>
        </w:tc>
        <w:tc>
          <w:tcPr>
            <w:tcW w:w="7740" w:type="dxa"/>
          </w:tcPr>
          <w:p w14:paraId="67DE15AA" w14:textId="55884F96" w:rsidR="009576AB" w:rsidRPr="004A49EF" w:rsidRDefault="009576AB" w:rsidP="0047427A">
            <w:pPr>
              <w:pStyle w:val="BlockText"/>
            </w:pPr>
            <w:r w:rsidRPr="004A49EF">
              <w:t xml:space="preserve">As required under </w:t>
            </w:r>
            <w:hyperlink r:id="rId129" w:history="1">
              <w:r w:rsidRPr="004A49EF">
                <w:rPr>
                  <w:rStyle w:val="Hyperlink"/>
                </w:rPr>
                <w:t>38 CFR 3.306(b)(1)</w:t>
              </w:r>
            </w:hyperlink>
            <w:r w:rsidRPr="004A49EF">
              <w:t xml:space="preserve">, unless a disease or injury that was incurred prior to service is otherwise aggravated by service, do </w:t>
            </w:r>
            <w:r w:rsidRPr="004A49EF">
              <w:rPr>
                <w:i/>
              </w:rPr>
              <w:t>not</w:t>
            </w:r>
            <w:r w:rsidRPr="004A49EF">
              <w:t xml:space="preserve"> establish </w:t>
            </w:r>
            <w:r w:rsidR="0047427A" w:rsidRPr="004A49EF">
              <w:t>SC</w:t>
            </w:r>
            <w:r w:rsidRPr="004A49EF">
              <w:t xml:space="preserve"> for the usual effect</w:t>
            </w:r>
            <w:r w:rsidR="00D30DBF" w:rsidRPr="004A49EF">
              <w:t>s</w:t>
            </w:r>
            <w:r w:rsidRPr="004A49EF">
              <w:t xml:space="preserve"> of medical or surgical treatment in service to correct or improve the condition, such as post</w:t>
            </w:r>
            <w:r w:rsidR="002C0173" w:rsidRPr="004A49EF">
              <w:t>-</w:t>
            </w:r>
            <w:r w:rsidRPr="004A49EF">
              <w:t>operative scars and/or absent or poorly functioning parts or organs.</w:t>
            </w:r>
          </w:p>
        </w:tc>
      </w:tr>
    </w:tbl>
    <w:p w14:paraId="70177296" w14:textId="77777777" w:rsidR="00D01FDC" w:rsidRPr="004A49EF" w:rsidRDefault="00D01FDC" w:rsidP="00D01FDC">
      <w:pPr>
        <w:pStyle w:val="BlockLine"/>
      </w:pPr>
    </w:p>
    <w:tbl>
      <w:tblPr>
        <w:tblW w:w="0" w:type="auto"/>
        <w:tblLayout w:type="fixed"/>
        <w:tblLook w:val="0000" w:firstRow="0" w:lastRow="0" w:firstColumn="0" w:lastColumn="0" w:noHBand="0" w:noVBand="0"/>
      </w:tblPr>
      <w:tblGrid>
        <w:gridCol w:w="1728"/>
        <w:gridCol w:w="7740"/>
      </w:tblGrid>
      <w:tr w:rsidR="009576AB" w:rsidRPr="004A49EF" w14:paraId="4E57BC4C" w14:textId="77777777" w:rsidTr="00982C01">
        <w:tc>
          <w:tcPr>
            <w:tcW w:w="1728" w:type="dxa"/>
          </w:tcPr>
          <w:p w14:paraId="238655BA" w14:textId="69621C4F" w:rsidR="009576AB" w:rsidRPr="004A49EF" w:rsidRDefault="00D61AAF" w:rsidP="0047427A">
            <w:pPr>
              <w:pStyle w:val="Heading5"/>
            </w:pPr>
            <w:r w:rsidRPr="004A49EF">
              <w:t>l</w:t>
            </w:r>
            <w:r w:rsidR="009576AB" w:rsidRPr="004A49EF">
              <w:t>.  Additional Considerations Under Splane v. West</w:t>
            </w:r>
          </w:p>
        </w:tc>
        <w:tc>
          <w:tcPr>
            <w:tcW w:w="7740" w:type="dxa"/>
          </w:tcPr>
          <w:p w14:paraId="73937E88" w14:textId="73E4F556" w:rsidR="009576AB" w:rsidRPr="004A49EF" w:rsidRDefault="009576AB">
            <w:pPr>
              <w:pStyle w:val="BlockText"/>
            </w:pPr>
            <w:r w:rsidRPr="004A49EF">
              <w:t xml:space="preserve">In </w:t>
            </w:r>
            <w:hyperlink r:id="rId130" w:anchor="bms" w:history="1">
              <w:r w:rsidRPr="004A49EF">
                <w:rPr>
                  <w:rStyle w:val="Hyperlink"/>
                  <w:i/>
                </w:rPr>
                <w:t>Splane v. West</w:t>
              </w:r>
            </w:hyperlink>
            <w:r w:rsidRPr="004A49EF">
              <w:t xml:space="preserve">, 216 F.3d 1058 (Fed. Cir. 2000), the U.S. Court of Appeals for the Federal Circuit held that </w:t>
            </w:r>
            <w:hyperlink r:id="rId131" w:history="1">
              <w:r w:rsidRPr="004A49EF">
                <w:rPr>
                  <w:rStyle w:val="Hyperlink"/>
                </w:rPr>
                <w:t>38 U.S.C. 1112(a)</w:t>
              </w:r>
            </w:hyperlink>
            <w:r w:rsidRPr="004A49EF">
              <w:t xml:space="preserve"> establishes a presumption of aggravation for chronic diseases that existed prior to service but first manifested to a degree of disability of 10 percent or more within the presumptive period after service.</w:t>
            </w:r>
          </w:p>
          <w:p w14:paraId="7C6A2FEC" w14:textId="77777777" w:rsidR="009576AB" w:rsidRPr="004A49EF" w:rsidRDefault="009576AB">
            <w:pPr>
              <w:pStyle w:val="BlockText"/>
            </w:pPr>
          </w:p>
          <w:p w14:paraId="10BD6EFE" w14:textId="77777777" w:rsidR="009576AB" w:rsidRPr="004A49EF" w:rsidRDefault="009576AB">
            <w:pPr>
              <w:pStyle w:val="BlockText"/>
            </w:pPr>
            <w:r w:rsidRPr="004A49EF">
              <w:t>Under</w:t>
            </w:r>
            <w:r w:rsidR="002C0173" w:rsidRPr="004A49EF">
              <w:t xml:space="preserve"> </w:t>
            </w:r>
            <w:hyperlink r:id="rId132" w:history="1">
              <w:r w:rsidR="002C0173" w:rsidRPr="004A49EF">
                <w:rPr>
                  <w:rStyle w:val="Hyperlink"/>
                </w:rPr>
                <w:t>38 CFR 3.307</w:t>
              </w:r>
            </w:hyperlink>
            <w:r w:rsidR="00D30DBF" w:rsidRPr="004A49EF">
              <w:t>,</w:t>
            </w:r>
            <w:r w:rsidRPr="004A49EF">
              <w:t xml:space="preserve"> this presumption may be rebutted by affirmative evidence to the contrary or evidence to establish that such disability is due to an intercurrent disease or injury suffered after separation from service.</w:t>
            </w:r>
          </w:p>
        </w:tc>
      </w:tr>
    </w:tbl>
    <w:p w14:paraId="2BE579AF" w14:textId="1D79E8A5" w:rsidR="00064DB8" w:rsidRPr="004A49EF" w:rsidRDefault="00064DB8" w:rsidP="00064DB8">
      <w:pPr>
        <w:pStyle w:val="BlockLine"/>
      </w:pPr>
    </w:p>
    <w:tbl>
      <w:tblPr>
        <w:tblW w:w="0" w:type="auto"/>
        <w:tblLayout w:type="fixed"/>
        <w:tblLook w:val="0000" w:firstRow="0" w:lastRow="0" w:firstColumn="0" w:lastColumn="0" w:noHBand="0" w:noVBand="0"/>
      </w:tblPr>
      <w:tblGrid>
        <w:gridCol w:w="1728"/>
        <w:gridCol w:w="7740"/>
      </w:tblGrid>
      <w:tr w:rsidR="00064DB8" w:rsidRPr="004A49EF" w14:paraId="3047B91C" w14:textId="77777777" w:rsidTr="00064DB8">
        <w:trPr>
          <w:trHeight w:val="1071"/>
        </w:trPr>
        <w:tc>
          <w:tcPr>
            <w:tcW w:w="1728" w:type="dxa"/>
            <w:shd w:val="clear" w:color="auto" w:fill="auto"/>
          </w:tcPr>
          <w:p w14:paraId="02331EC9" w14:textId="0F01B5C8" w:rsidR="00064DB8" w:rsidRPr="004A49EF" w:rsidRDefault="00064DB8" w:rsidP="00AE7E28">
            <w:pPr>
              <w:pStyle w:val="Heading5"/>
            </w:pPr>
            <w:bookmarkStart w:id="0" w:name="Topic4m"/>
            <w:bookmarkEnd w:id="0"/>
            <w:proofErr w:type="gramStart"/>
            <w:r w:rsidRPr="004A49EF">
              <w:lastRenderedPageBreak/>
              <w:t xml:space="preserve">m.  </w:t>
            </w:r>
            <w:r w:rsidR="00AE7E28" w:rsidRPr="004A49EF">
              <w:t>Aggravation</w:t>
            </w:r>
            <w:proofErr w:type="gramEnd"/>
            <w:r w:rsidR="00AE7E28" w:rsidRPr="004A49EF">
              <w:t xml:space="preserve"> of </w:t>
            </w:r>
            <w:r w:rsidR="001D001F" w:rsidRPr="004A49EF">
              <w:t xml:space="preserve">Pre-existing </w:t>
            </w:r>
            <w:r w:rsidR="00AE7E28" w:rsidRPr="004A49EF">
              <w:t>Disability Under Combat Conditions</w:t>
            </w:r>
          </w:p>
        </w:tc>
        <w:tc>
          <w:tcPr>
            <w:tcW w:w="7740" w:type="dxa"/>
            <w:shd w:val="clear" w:color="auto" w:fill="auto"/>
          </w:tcPr>
          <w:p w14:paraId="5F8BD320" w14:textId="77777777" w:rsidR="00F05818" w:rsidRPr="004A49EF" w:rsidRDefault="004A49EF" w:rsidP="00064DB8">
            <w:pPr>
              <w:pStyle w:val="BlockText"/>
            </w:pPr>
            <w:hyperlink r:id="rId133" w:history="1">
              <w:r w:rsidR="00DD03B8" w:rsidRPr="004A49EF">
                <w:rPr>
                  <w:rStyle w:val="Hyperlink"/>
                </w:rPr>
                <w:t>38 U.S.C. 1154(b)</w:t>
              </w:r>
            </w:hyperlink>
            <w:r w:rsidR="00DD03B8" w:rsidRPr="004A49EF">
              <w:t xml:space="preserve"> provides that for combat Veterans</w:t>
            </w:r>
            <w:r w:rsidR="00B40CC3" w:rsidRPr="004A49EF">
              <w:t>,</w:t>
            </w:r>
            <w:r w:rsidR="00DD03B8" w:rsidRPr="004A49EF">
              <w:t xml:space="preserve"> VA</w:t>
            </w:r>
            <w:r w:rsidR="0077569E" w:rsidRPr="004A49EF">
              <w:t xml:space="preserve"> must a</w:t>
            </w:r>
            <w:r w:rsidR="00DD03B8" w:rsidRPr="004A49EF">
              <w:t xml:space="preserve">ccept satisfactory lay or other evidence of service aggravation despite the lack of official records </w:t>
            </w:r>
            <w:r w:rsidR="0077569E" w:rsidRPr="004A49EF">
              <w:t>if</w:t>
            </w:r>
            <w:r w:rsidR="00DD03B8" w:rsidRPr="004A49EF">
              <w:t xml:space="preserve"> </w:t>
            </w:r>
            <w:r w:rsidR="00B40CC3" w:rsidRPr="004A49EF">
              <w:t xml:space="preserve">the lay or other evidence is </w:t>
            </w:r>
            <w:r w:rsidR="00DD03B8" w:rsidRPr="004A49EF">
              <w:t>consistent with the circumstances, conditions or ha</w:t>
            </w:r>
            <w:r w:rsidR="00C07E77" w:rsidRPr="004A49EF">
              <w:t xml:space="preserve">rdships of the combat service.  </w:t>
            </w:r>
          </w:p>
          <w:p w14:paraId="3D754D4E" w14:textId="77777777" w:rsidR="00F05818" w:rsidRPr="004A49EF" w:rsidRDefault="00F05818" w:rsidP="00064DB8">
            <w:pPr>
              <w:pStyle w:val="BlockText"/>
            </w:pPr>
          </w:p>
          <w:p w14:paraId="3223FA54" w14:textId="58C32D1D" w:rsidR="00F05818" w:rsidRPr="004A49EF" w:rsidRDefault="00F05818" w:rsidP="00064DB8">
            <w:pPr>
              <w:pStyle w:val="BlockText"/>
            </w:pPr>
            <w:r w:rsidRPr="004A49EF">
              <w:t xml:space="preserve">Unless there is clear and convincing evidence to the contrary, grant </w:t>
            </w:r>
            <w:r w:rsidR="004F76F0" w:rsidRPr="004A49EF">
              <w:t>SC</w:t>
            </w:r>
            <w:r w:rsidRPr="004A49EF">
              <w:t xml:space="preserve"> </w:t>
            </w:r>
            <w:r w:rsidRPr="004A49EF">
              <w:rPr>
                <w:b/>
                <w:i/>
              </w:rPr>
              <w:t>if</w:t>
            </w:r>
            <w:r w:rsidR="006B07C6" w:rsidRPr="004A49EF">
              <w:rPr>
                <w:b/>
                <w:i/>
              </w:rPr>
              <w:t xml:space="preserve"> </w:t>
            </w:r>
            <w:r w:rsidR="006B07C6" w:rsidRPr="004A49EF">
              <w:t>there is</w:t>
            </w:r>
          </w:p>
          <w:p w14:paraId="4586CE86" w14:textId="77777777" w:rsidR="000D3BC8" w:rsidRPr="004A49EF" w:rsidRDefault="000D3BC8" w:rsidP="00064DB8">
            <w:pPr>
              <w:pStyle w:val="BlockText"/>
            </w:pPr>
          </w:p>
          <w:p w14:paraId="5FADCB69" w14:textId="423FE498" w:rsidR="000D3BC8" w:rsidRPr="004A49EF" w:rsidRDefault="00C07E77" w:rsidP="000D3BC8">
            <w:pPr>
              <w:pStyle w:val="BlockText"/>
              <w:numPr>
                <w:ilvl w:val="0"/>
                <w:numId w:val="51"/>
              </w:numPr>
              <w:ind w:left="162" w:hanging="162"/>
            </w:pPr>
            <w:r w:rsidRPr="004A49EF">
              <w:t>satisfactory evidence</w:t>
            </w:r>
            <w:r w:rsidR="0077569E" w:rsidRPr="004A49EF">
              <w:t xml:space="preserve"> of aggravation consistent with the combat service</w:t>
            </w:r>
            <w:r w:rsidR="00AE7E28" w:rsidRPr="004A49EF">
              <w:t xml:space="preserve"> </w:t>
            </w:r>
          </w:p>
          <w:p w14:paraId="1A60EE3C" w14:textId="28316E8A" w:rsidR="00160853" w:rsidRPr="004A49EF" w:rsidRDefault="00AE7E28" w:rsidP="000D3BC8">
            <w:pPr>
              <w:pStyle w:val="BlockText"/>
              <w:numPr>
                <w:ilvl w:val="0"/>
                <w:numId w:val="51"/>
              </w:numPr>
              <w:ind w:left="162" w:hanging="162"/>
            </w:pPr>
            <w:r w:rsidRPr="004A49EF">
              <w:t>competent evidence of a nexus between the in-service aggravation and a current disab</w:t>
            </w:r>
            <w:r w:rsidR="006E2C38" w:rsidRPr="004A49EF">
              <w:t>i</w:t>
            </w:r>
            <w:r w:rsidRPr="004A49EF">
              <w:t>lity</w:t>
            </w:r>
            <w:r w:rsidR="00160853" w:rsidRPr="004A49EF">
              <w:t>, and</w:t>
            </w:r>
          </w:p>
          <w:p w14:paraId="7B636B7B" w14:textId="327E4B75" w:rsidR="00DD03B8" w:rsidRPr="004A49EF" w:rsidRDefault="00160853" w:rsidP="000D3BC8">
            <w:pPr>
              <w:pStyle w:val="BlockText"/>
              <w:numPr>
                <w:ilvl w:val="0"/>
                <w:numId w:val="51"/>
              </w:numPr>
              <w:ind w:left="162" w:hanging="162"/>
            </w:pPr>
            <w:r w:rsidRPr="004A49EF">
              <w:t>evidence of current disability</w:t>
            </w:r>
            <w:r w:rsidR="00C07E77" w:rsidRPr="004A49EF">
              <w:t xml:space="preserve">.  </w:t>
            </w:r>
          </w:p>
          <w:p w14:paraId="2BFC2C18" w14:textId="77777777" w:rsidR="00150FE3" w:rsidRPr="004A49EF" w:rsidRDefault="00150FE3" w:rsidP="00064DB8">
            <w:pPr>
              <w:pStyle w:val="BlockText"/>
            </w:pPr>
          </w:p>
          <w:p w14:paraId="2ECC9959" w14:textId="281EED30" w:rsidR="006E2C38" w:rsidRPr="004A49EF" w:rsidRDefault="004A49EF" w:rsidP="00064DB8">
            <w:pPr>
              <w:pStyle w:val="BlockText"/>
            </w:pPr>
            <w:hyperlink r:id="rId134" w:history="1">
              <w:r w:rsidR="00150FE3" w:rsidRPr="004A49EF">
                <w:rPr>
                  <w:rStyle w:val="Hyperlink"/>
                </w:rPr>
                <w:t>38 CFR 3.306</w:t>
              </w:r>
              <w:r w:rsidR="006E2C38" w:rsidRPr="004A49EF">
                <w:rPr>
                  <w:rStyle w:val="Hyperlink"/>
                </w:rPr>
                <w:t>(b</w:t>
              </w:r>
              <w:proofErr w:type="gramStart"/>
              <w:r w:rsidR="006E2C38" w:rsidRPr="004A49EF">
                <w:rPr>
                  <w:rStyle w:val="Hyperlink"/>
                </w:rPr>
                <w:t>)(</w:t>
              </w:r>
              <w:proofErr w:type="gramEnd"/>
              <w:r w:rsidR="006E2C38" w:rsidRPr="004A49EF">
                <w:rPr>
                  <w:rStyle w:val="Hyperlink"/>
                </w:rPr>
                <w:t>2)</w:t>
              </w:r>
            </w:hyperlink>
            <w:r w:rsidR="006E2C38" w:rsidRPr="004A49EF">
              <w:t xml:space="preserve"> directs that due regard will be given </w:t>
            </w:r>
            <w:r w:rsidR="00057E9E" w:rsidRPr="004A49EF">
              <w:t xml:space="preserve">to </w:t>
            </w:r>
            <w:r w:rsidR="006E2C38" w:rsidRPr="004A49EF">
              <w:t xml:space="preserve">the places, types, and circumstances of service and particular consideration will be accorded </w:t>
            </w:r>
            <w:r w:rsidR="00057E9E" w:rsidRPr="004A49EF">
              <w:t xml:space="preserve">to </w:t>
            </w:r>
            <w:r w:rsidR="006E2C38" w:rsidRPr="004A49EF">
              <w:t xml:space="preserve">combat duty and other hardships of service.  </w:t>
            </w:r>
            <w:r w:rsidR="00150FE3" w:rsidRPr="004A49EF">
              <w:t xml:space="preserve"> </w:t>
            </w:r>
          </w:p>
          <w:p w14:paraId="47B7CD05" w14:textId="77777777" w:rsidR="006E2C38" w:rsidRPr="004A49EF" w:rsidRDefault="006E2C38" w:rsidP="00064DB8">
            <w:pPr>
              <w:pStyle w:val="BlockText"/>
            </w:pPr>
          </w:p>
          <w:p w14:paraId="2547BD14" w14:textId="77777777" w:rsidR="00BF455F" w:rsidRPr="004A49EF" w:rsidRDefault="006E2C38" w:rsidP="00064DB8">
            <w:pPr>
              <w:pStyle w:val="BlockText"/>
            </w:pPr>
            <w:r w:rsidRPr="004A49EF">
              <w:rPr>
                <w:b/>
                <w:i/>
              </w:rPr>
              <w:t>Important</w:t>
            </w:r>
            <w:r w:rsidRPr="004A49EF">
              <w:t xml:space="preserve">:  </w:t>
            </w:r>
          </w:p>
          <w:p w14:paraId="704E3F2F" w14:textId="6D1D2330" w:rsidR="00BF455F" w:rsidRPr="004A49EF" w:rsidRDefault="00BF455F" w:rsidP="00B312EC">
            <w:pPr>
              <w:pStyle w:val="ListParagraph"/>
              <w:numPr>
                <w:ilvl w:val="0"/>
                <w:numId w:val="52"/>
              </w:numPr>
              <w:ind w:left="158" w:hanging="187"/>
            </w:pPr>
            <w:r w:rsidRPr="004A49EF">
              <w:t>A pre-existing disease or injury’s temporary or intermittent flare-up of symptoms does not trigger the presumption of aggravation unless there is an increase in the underlying disability.</w:t>
            </w:r>
          </w:p>
          <w:p w14:paraId="6B53B60F" w14:textId="1BE64E81" w:rsidR="005A02EC" w:rsidRPr="004A49EF" w:rsidRDefault="00BF455F" w:rsidP="00B312EC">
            <w:pPr>
              <w:pStyle w:val="ListParagraph"/>
              <w:numPr>
                <w:ilvl w:val="0"/>
                <w:numId w:val="52"/>
              </w:numPr>
              <w:ind w:left="158" w:hanging="187"/>
            </w:pPr>
            <w:r w:rsidRPr="004A49EF">
              <w:rPr>
                <w:i/>
              </w:rPr>
              <w:t>However</w:t>
            </w:r>
            <w:r w:rsidRPr="004A49EF">
              <w:t xml:space="preserve">, </w:t>
            </w:r>
            <w:hyperlink r:id="rId135" w:history="1">
              <w:r w:rsidRPr="004A49EF">
                <w:rPr>
                  <w:rStyle w:val="Hyperlink"/>
                </w:rPr>
                <w:t>38 CFR 3.306(b)(2)</w:t>
              </w:r>
            </w:hyperlink>
            <w:r w:rsidRPr="004A49EF">
              <w:t xml:space="preserve"> provides that </w:t>
            </w:r>
            <w:r w:rsidR="0077569E" w:rsidRPr="004A49EF">
              <w:t>d</w:t>
            </w:r>
            <w:r w:rsidR="00150FE3" w:rsidRPr="004A49EF">
              <w:t>evelopment of symptomatic manifestations of a preexisting injury or disease during or proximately following action with the enemy (or following status as a prisoner of war) will establish aggravation</w:t>
            </w:r>
            <w:r w:rsidR="0078163E" w:rsidRPr="004A49EF">
              <w:t xml:space="preserve"> </w:t>
            </w:r>
            <w:r w:rsidR="0078163E" w:rsidRPr="004A49EF">
              <w:rPr>
                <w:i/>
              </w:rPr>
              <w:t>unless</w:t>
            </w:r>
            <w:r w:rsidR="0078163E" w:rsidRPr="004A49EF">
              <w:t xml:space="preserve"> the</w:t>
            </w:r>
            <w:r w:rsidR="00B312EC" w:rsidRPr="004A49EF">
              <w:t>re is clear a</w:t>
            </w:r>
            <w:r w:rsidR="005A02EC" w:rsidRPr="004A49EF">
              <w:t xml:space="preserve">nd convincing </w:t>
            </w:r>
            <w:r w:rsidR="0078163E" w:rsidRPr="004A49EF">
              <w:t xml:space="preserve">evidence </w:t>
            </w:r>
            <w:r w:rsidR="005A02EC" w:rsidRPr="004A49EF">
              <w:t>of</w:t>
            </w:r>
          </w:p>
          <w:p w14:paraId="117A0B04" w14:textId="457E03E8" w:rsidR="005A02EC" w:rsidRPr="004A49EF" w:rsidRDefault="00C07E77" w:rsidP="005A02EC">
            <w:pPr>
              <w:pStyle w:val="ListParagraph"/>
              <w:numPr>
                <w:ilvl w:val="0"/>
                <w:numId w:val="53"/>
              </w:numPr>
              <w:ind w:left="346" w:hanging="187"/>
            </w:pPr>
            <w:r w:rsidRPr="004A49EF">
              <w:t>no increase in the preexisting condition</w:t>
            </w:r>
            <w:r w:rsidR="00563720" w:rsidRPr="004A49EF">
              <w:t>,</w:t>
            </w:r>
            <w:r w:rsidRPr="004A49EF">
              <w:t xml:space="preserve"> or</w:t>
            </w:r>
          </w:p>
          <w:p w14:paraId="77E3891E" w14:textId="1D56C81D" w:rsidR="00C07E77" w:rsidRPr="004A49EF" w:rsidRDefault="00C07E77" w:rsidP="005A02EC">
            <w:pPr>
              <w:pStyle w:val="ListParagraph"/>
              <w:numPr>
                <w:ilvl w:val="0"/>
                <w:numId w:val="53"/>
              </w:numPr>
              <w:ind w:left="346" w:hanging="187"/>
            </w:pPr>
            <w:r w:rsidRPr="004A49EF">
              <w:t xml:space="preserve">the increase was the result of natural progression.  </w:t>
            </w:r>
          </w:p>
          <w:p w14:paraId="01CD0D53" w14:textId="77777777" w:rsidR="00C07E77" w:rsidRPr="004A49EF" w:rsidRDefault="00C07E77" w:rsidP="00064DB8">
            <w:pPr>
              <w:pStyle w:val="BlockText"/>
            </w:pPr>
          </w:p>
          <w:p w14:paraId="59282F2C" w14:textId="4FA77E37" w:rsidR="00AD221B" w:rsidRPr="004A49EF" w:rsidRDefault="00556BF0" w:rsidP="00064DB8">
            <w:pPr>
              <w:pStyle w:val="BlockText"/>
            </w:pPr>
            <w:r w:rsidRPr="004A49EF">
              <w:rPr>
                <w:b/>
                <w:i/>
              </w:rPr>
              <w:t>Reference</w:t>
            </w:r>
            <w:r w:rsidR="00C13094" w:rsidRPr="004A49EF">
              <w:rPr>
                <w:b/>
                <w:i/>
              </w:rPr>
              <w:t>s</w:t>
            </w:r>
            <w:r w:rsidRPr="004A49EF">
              <w:t>:  For more information on</w:t>
            </w:r>
          </w:p>
          <w:p w14:paraId="6A4FA1A9" w14:textId="77777777" w:rsidR="00C13094" w:rsidRPr="004A49EF" w:rsidRDefault="00B312EC" w:rsidP="00C13094">
            <w:pPr>
              <w:pStyle w:val="ListParagraph"/>
              <w:numPr>
                <w:ilvl w:val="0"/>
                <w:numId w:val="50"/>
              </w:numPr>
              <w:ind w:left="158" w:hanging="187"/>
            </w:pPr>
            <w:r w:rsidRPr="004A49EF">
              <w:t>a</w:t>
            </w:r>
            <w:r w:rsidR="00556BF0" w:rsidRPr="004A49EF">
              <w:t xml:space="preserve">ggravation of a pre-existing disability during combat conditions, see </w:t>
            </w:r>
            <w:hyperlink r:id="rId136" w:anchor="bmj" w:history="1">
              <w:r w:rsidR="00556BF0" w:rsidRPr="004A49EF">
                <w:rPr>
                  <w:rStyle w:val="Hyperlink"/>
                  <w:i/>
                </w:rPr>
                <w:t>Jensen v. Brown</w:t>
              </w:r>
            </w:hyperlink>
            <w:r w:rsidR="00AD221B" w:rsidRPr="004A49EF">
              <w:t>, 19 F.3d 1413 (Fed. Cir. 1994), and</w:t>
            </w:r>
          </w:p>
          <w:p w14:paraId="7E30C6CE" w14:textId="0BF9C0B7" w:rsidR="00064DB8" w:rsidRPr="004A49EF" w:rsidRDefault="00B312EC" w:rsidP="00C13094">
            <w:pPr>
              <w:pStyle w:val="ListParagraph"/>
              <w:numPr>
                <w:ilvl w:val="0"/>
                <w:numId w:val="50"/>
              </w:numPr>
              <w:ind w:left="158" w:hanging="187"/>
            </w:pPr>
            <w:r w:rsidRPr="004A49EF">
              <w:t>r</w:t>
            </w:r>
            <w:r w:rsidR="00AD221B" w:rsidRPr="004A49EF">
              <w:t xml:space="preserve">equirement of </w:t>
            </w:r>
            <w:r w:rsidRPr="004A49EF">
              <w:t xml:space="preserve">a </w:t>
            </w:r>
            <w:r w:rsidR="00AD221B" w:rsidRPr="004A49EF">
              <w:t>nexus between current disability and injury or disease incurred or aggravated by combat service, see M21-1, Part IV, Subpart ii, 2.B.3.d.</w:t>
            </w:r>
            <w:r w:rsidR="00556BF0" w:rsidRPr="004A49EF">
              <w:t xml:space="preserve">  </w:t>
            </w:r>
          </w:p>
        </w:tc>
      </w:tr>
    </w:tbl>
    <w:p w14:paraId="68DED303" w14:textId="7A613E53" w:rsidR="00064DB8" w:rsidRPr="004A49EF" w:rsidRDefault="00064DB8" w:rsidP="00064DB8">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E2C38" w:rsidRPr="004A49EF" w14:paraId="053CE0FA" w14:textId="77777777" w:rsidTr="006E2C38">
        <w:tc>
          <w:tcPr>
            <w:tcW w:w="1728" w:type="dxa"/>
            <w:shd w:val="clear" w:color="auto" w:fill="auto"/>
          </w:tcPr>
          <w:p w14:paraId="2FA73BA9" w14:textId="112406AD" w:rsidR="006E2C38" w:rsidRPr="004A49EF" w:rsidRDefault="006E2C38" w:rsidP="006E2C38">
            <w:pPr>
              <w:rPr>
                <w:b/>
                <w:sz w:val="22"/>
              </w:rPr>
            </w:pPr>
            <w:bookmarkStart w:id="1" w:name="Topic4n"/>
            <w:bookmarkEnd w:id="1"/>
            <w:r w:rsidRPr="004A49EF">
              <w:rPr>
                <w:b/>
                <w:sz w:val="22"/>
              </w:rPr>
              <w:t xml:space="preserve">n.  Additional Considerations under Maxson v. </w:t>
            </w:r>
            <w:proofErr w:type="spellStart"/>
            <w:r w:rsidRPr="004A49EF">
              <w:rPr>
                <w:b/>
                <w:sz w:val="22"/>
              </w:rPr>
              <w:t>Gober</w:t>
            </w:r>
            <w:proofErr w:type="spellEnd"/>
          </w:p>
        </w:tc>
        <w:tc>
          <w:tcPr>
            <w:tcW w:w="7740" w:type="dxa"/>
            <w:shd w:val="clear" w:color="auto" w:fill="auto"/>
          </w:tcPr>
          <w:p w14:paraId="152E49EC" w14:textId="3AAD1373" w:rsidR="001C6685" w:rsidRPr="004A49EF" w:rsidRDefault="004A49EF" w:rsidP="00C5387E">
            <w:hyperlink r:id="rId137" w:anchor="bmm" w:history="1">
              <w:proofErr w:type="spellStart"/>
              <w:r w:rsidR="00C5387E" w:rsidRPr="004A49EF">
                <w:rPr>
                  <w:rStyle w:val="Hyperlink"/>
                  <w:i/>
                </w:rPr>
                <w:t>Maxson</w:t>
              </w:r>
              <w:proofErr w:type="spellEnd"/>
              <w:r w:rsidR="00C5387E" w:rsidRPr="004A49EF">
                <w:rPr>
                  <w:rStyle w:val="Hyperlink"/>
                  <w:i/>
                </w:rPr>
                <w:t xml:space="preserve"> v. </w:t>
              </w:r>
              <w:proofErr w:type="spellStart"/>
              <w:r w:rsidR="00C5387E" w:rsidRPr="004A49EF">
                <w:rPr>
                  <w:rStyle w:val="Hyperlink"/>
                  <w:i/>
                </w:rPr>
                <w:t>Gober</w:t>
              </w:r>
              <w:proofErr w:type="spellEnd"/>
            </w:hyperlink>
            <w:r w:rsidR="00C5387E" w:rsidRPr="004A49EF">
              <w:t xml:space="preserve">, 230 </w:t>
            </w:r>
            <w:proofErr w:type="spellStart"/>
            <w:r w:rsidR="00C5387E" w:rsidRPr="004A49EF">
              <w:t>F.3d</w:t>
            </w:r>
            <w:proofErr w:type="spellEnd"/>
            <w:r w:rsidR="00C5387E" w:rsidRPr="004A49EF">
              <w:t xml:space="preserve"> 1330 (Fed</w:t>
            </w:r>
            <w:proofErr w:type="gramStart"/>
            <w:r w:rsidR="00C5387E" w:rsidRPr="004A49EF">
              <w:t xml:space="preserve">. </w:t>
            </w:r>
            <w:proofErr w:type="gramEnd"/>
            <w:r w:rsidR="00C5387E" w:rsidRPr="004A49EF">
              <w:t>Cir. 2000)</w:t>
            </w:r>
            <w:r w:rsidR="00CF2686" w:rsidRPr="004A49EF">
              <w:t xml:space="preserve"> </w:t>
            </w:r>
            <w:r w:rsidR="00C5387E" w:rsidRPr="004A49EF">
              <w:t>held that</w:t>
            </w:r>
            <w:r w:rsidR="001C6685" w:rsidRPr="004A49EF">
              <w:t xml:space="preserve"> VA</w:t>
            </w:r>
            <w:r w:rsidR="00D076CD" w:rsidRPr="004A49EF">
              <w:t>, in deciding whether the presumption of aggravation</w:t>
            </w:r>
            <w:r w:rsidR="006E0704" w:rsidRPr="004A49EF">
              <w:t xml:space="preserve"> of a condition during combat has been rebutted, </w:t>
            </w:r>
            <w:r w:rsidR="001C6685" w:rsidRPr="004A49EF">
              <w:t xml:space="preserve">must consider a Veteran’s entire medical history, to include any lengthy period without medical complaint during </w:t>
            </w:r>
            <w:r w:rsidR="001C6685" w:rsidRPr="004A49EF">
              <w:rPr>
                <w:i/>
              </w:rPr>
              <w:t>and</w:t>
            </w:r>
            <w:r w:rsidR="001C6685" w:rsidRPr="004A49EF">
              <w:t xml:space="preserve"> after service</w:t>
            </w:r>
            <w:r w:rsidR="006E0704" w:rsidRPr="004A49EF">
              <w:t>.  VA must c</w:t>
            </w:r>
            <w:r w:rsidR="002F2DC0" w:rsidRPr="004A49EF">
              <w:t>onsider a</w:t>
            </w:r>
            <w:r w:rsidR="001C6685" w:rsidRPr="004A49EF">
              <w:t>ll relevant factors, to include</w:t>
            </w:r>
          </w:p>
          <w:p w14:paraId="0E29B15B" w14:textId="77777777" w:rsidR="00C10FD4" w:rsidRPr="004A49EF" w:rsidRDefault="00C10FD4" w:rsidP="00C5387E"/>
          <w:p w14:paraId="6006F8D4" w14:textId="7847B0F4" w:rsidR="001C6685" w:rsidRPr="004A49EF" w:rsidRDefault="001C6685" w:rsidP="001C6685">
            <w:pPr>
              <w:pStyle w:val="ListParagraph"/>
              <w:numPr>
                <w:ilvl w:val="0"/>
                <w:numId w:val="56"/>
              </w:numPr>
              <w:ind w:left="158" w:hanging="187"/>
            </w:pPr>
            <w:r w:rsidRPr="004A49EF">
              <w:t>availability of medical records</w:t>
            </w:r>
          </w:p>
          <w:p w14:paraId="6385C74F" w14:textId="72CE199A" w:rsidR="002F2DC0" w:rsidRPr="004A49EF" w:rsidRDefault="00C5387E" w:rsidP="001C6685">
            <w:pPr>
              <w:pStyle w:val="ListParagraph"/>
              <w:numPr>
                <w:ilvl w:val="0"/>
                <w:numId w:val="56"/>
              </w:numPr>
              <w:ind w:left="158" w:hanging="187"/>
            </w:pPr>
            <w:r w:rsidRPr="004A49EF">
              <w:t>nature and course of the disease or disability</w:t>
            </w:r>
            <w:r w:rsidR="002F2DC0" w:rsidRPr="004A49EF">
              <w:t>, and</w:t>
            </w:r>
          </w:p>
          <w:p w14:paraId="72A19B56" w14:textId="3A0AC41D" w:rsidR="00C5387E" w:rsidRPr="004A49EF" w:rsidRDefault="00C5387E" w:rsidP="001C6685">
            <w:pPr>
              <w:pStyle w:val="ListParagraph"/>
              <w:numPr>
                <w:ilvl w:val="0"/>
                <w:numId w:val="56"/>
              </w:numPr>
              <w:ind w:left="158" w:hanging="187"/>
            </w:pPr>
            <w:r w:rsidRPr="004A49EF">
              <w:t>amount of time that elapsed since mil</w:t>
            </w:r>
            <w:r w:rsidR="002F2DC0" w:rsidRPr="004A49EF">
              <w:t>itary service</w:t>
            </w:r>
            <w:r w:rsidRPr="004A49EF">
              <w:t xml:space="preserve">.  </w:t>
            </w:r>
          </w:p>
          <w:p w14:paraId="649D9F61" w14:textId="77777777" w:rsidR="00556BF0" w:rsidRPr="004A49EF" w:rsidRDefault="00556BF0" w:rsidP="00C5387E"/>
          <w:p w14:paraId="09007966" w14:textId="2693A7CE" w:rsidR="00556BF0" w:rsidRPr="004A49EF" w:rsidRDefault="00556BF0" w:rsidP="00556BF0">
            <w:pPr>
              <w:pStyle w:val="BlockText"/>
            </w:pPr>
            <w:r w:rsidRPr="004A49EF">
              <w:rPr>
                <w:b/>
                <w:i/>
              </w:rPr>
              <w:t>Important</w:t>
            </w:r>
            <w:r w:rsidRPr="004A49EF">
              <w:t xml:space="preserve">:  Do not merely dismiss the presence of disability because there is an absence of accompanying medical treatment records.  The absence of treatment records does not necessarily mean the absence of disability.  </w:t>
            </w:r>
            <w:r w:rsidRPr="004A49EF">
              <w:lastRenderedPageBreak/>
              <w:t>Moreover the absence of medical records during combat conditions does not necessarily establish the absence of disability.</w:t>
            </w:r>
          </w:p>
          <w:p w14:paraId="723DEE75" w14:textId="77777777" w:rsidR="00556BF0" w:rsidRPr="004A49EF" w:rsidRDefault="00556BF0" w:rsidP="00556BF0">
            <w:pPr>
              <w:pStyle w:val="BlockText"/>
            </w:pPr>
          </w:p>
          <w:p w14:paraId="4E6B9834" w14:textId="678EB3D8" w:rsidR="00DA3D65" w:rsidRPr="004A49EF" w:rsidRDefault="00556BF0" w:rsidP="002F2DC0">
            <w:pPr>
              <w:pStyle w:val="BlockText"/>
            </w:pPr>
            <w:r w:rsidRPr="004A49EF">
              <w:rPr>
                <w:b/>
                <w:i/>
              </w:rPr>
              <w:t>Reference</w:t>
            </w:r>
            <w:r w:rsidRPr="004A49EF">
              <w:t xml:space="preserve">:  </w:t>
            </w:r>
            <w:r w:rsidR="00DA3D65" w:rsidRPr="004A49EF">
              <w:t>For more information on</w:t>
            </w:r>
            <w:r w:rsidR="002F2DC0" w:rsidRPr="004A49EF">
              <w:t xml:space="preserve"> a</w:t>
            </w:r>
            <w:r w:rsidR="00DA3D65" w:rsidRPr="004A49EF">
              <w:t>ggravation of a pre-existing disability during combat conditions, see</w:t>
            </w:r>
          </w:p>
          <w:p w14:paraId="0B6BAB75" w14:textId="77777777" w:rsidR="00563720" w:rsidRPr="004A49EF" w:rsidRDefault="004A49EF" w:rsidP="00CF2686">
            <w:pPr>
              <w:pStyle w:val="ListParagraph"/>
              <w:numPr>
                <w:ilvl w:val="0"/>
                <w:numId w:val="58"/>
              </w:numPr>
              <w:ind w:left="158" w:hanging="187"/>
            </w:pPr>
            <w:hyperlink r:id="rId138" w:history="1">
              <w:r w:rsidR="00563720" w:rsidRPr="004A49EF">
                <w:rPr>
                  <w:rStyle w:val="Hyperlink"/>
                </w:rPr>
                <w:t>38 CFR 3.306(b)(2)</w:t>
              </w:r>
            </w:hyperlink>
          </w:p>
          <w:p w14:paraId="0DF83631" w14:textId="3C9D6505" w:rsidR="00556BF0" w:rsidRPr="004A49EF" w:rsidRDefault="004A49EF" w:rsidP="00CF2686">
            <w:pPr>
              <w:pStyle w:val="ListParagraph"/>
              <w:numPr>
                <w:ilvl w:val="0"/>
                <w:numId w:val="58"/>
              </w:numPr>
              <w:ind w:left="158" w:hanging="187"/>
            </w:pPr>
            <w:hyperlink r:id="rId139" w:anchor="bmm" w:history="1">
              <w:proofErr w:type="spellStart"/>
              <w:r w:rsidR="002F2DC0" w:rsidRPr="004A49EF">
                <w:rPr>
                  <w:rStyle w:val="Hyperlink"/>
                  <w:i/>
                </w:rPr>
                <w:t>Maxson</w:t>
              </w:r>
              <w:proofErr w:type="spellEnd"/>
              <w:r w:rsidR="002F2DC0" w:rsidRPr="004A49EF">
                <w:rPr>
                  <w:rStyle w:val="Hyperlink"/>
                  <w:i/>
                </w:rPr>
                <w:t xml:space="preserve"> v. </w:t>
              </w:r>
              <w:proofErr w:type="spellStart"/>
              <w:r w:rsidR="002F2DC0" w:rsidRPr="004A49EF">
                <w:rPr>
                  <w:rStyle w:val="Hyperlink"/>
                  <w:i/>
                </w:rPr>
                <w:t>Gober</w:t>
              </w:r>
              <w:proofErr w:type="spellEnd"/>
            </w:hyperlink>
            <w:r w:rsidR="002F2DC0" w:rsidRPr="004A49EF">
              <w:t xml:space="preserve">, 230 </w:t>
            </w:r>
            <w:proofErr w:type="spellStart"/>
            <w:r w:rsidR="002F2DC0" w:rsidRPr="004A49EF">
              <w:t>F.3d</w:t>
            </w:r>
            <w:proofErr w:type="spellEnd"/>
            <w:r w:rsidR="002F2DC0" w:rsidRPr="004A49EF">
              <w:t xml:space="preserve"> 1330 (Fed</w:t>
            </w:r>
            <w:proofErr w:type="gramStart"/>
            <w:r w:rsidR="002F2DC0" w:rsidRPr="004A49EF">
              <w:t xml:space="preserve">. </w:t>
            </w:r>
            <w:proofErr w:type="gramEnd"/>
            <w:r w:rsidR="002F2DC0" w:rsidRPr="004A49EF">
              <w:t>Cir. 2000),</w:t>
            </w:r>
            <w:r w:rsidR="00DA3D65" w:rsidRPr="004A49EF">
              <w:t xml:space="preserve"> and </w:t>
            </w:r>
          </w:p>
          <w:p w14:paraId="3DA88681" w14:textId="7D394F86" w:rsidR="006E2C38" w:rsidRPr="004A49EF" w:rsidRDefault="004A49EF" w:rsidP="00CF2686">
            <w:pPr>
              <w:pStyle w:val="ListParagraph"/>
              <w:numPr>
                <w:ilvl w:val="0"/>
                <w:numId w:val="49"/>
              </w:numPr>
              <w:ind w:left="158" w:hanging="187"/>
            </w:pPr>
            <w:hyperlink r:id="rId140" w:anchor="bmj" w:history="1">
              <w:r w:rsidR="00DA3D65" w:rsidRPr="004A49EF">
                <w:rPr>
                  <w:rStyle w:val="Hyperlink"/>
                  <w:i/>
                </w:rPr>
                <w:t>Jensen v. Brown</w:t>
              </w:r>
            </w:hyperlink>
            <w:r w:rsidR="00DA3D65" w:rsidRPr="004A49EF">
              <w:t xml:space="preserve">, 19 </w:t>
            </w:r>
            <w:proofErr w:type="spellStart"/>
            <w:r w:rsidR="00DA3D65" w:rsidRPr="004A49EF">
              <w:t>F.3d</w:t>
            </w:r>
            <w:proofErr w:type="spellEnd"/>
            <w:r w:rsidR="00DA3D65" w:rsidRPr="004A49EF">
              <w:t xml:space="preserve"> 1413 (Fed</w:t>
            </w:r>
            <w:proofErr w:type="gramStart"/>
            <w:r w:rsidR="00DA3D65" w:rsidRPr="004A49EF">
              <w:t>. Cir. 1994)</w:t>
            </w:r>
            <w:r w:rsidR="00563720" w:rsidRPr="004A49EF">
              <w:t>.</w:t>
            </w:r>
            <w:proofErr w:type="gramEnd"/>
          </w:p>
        </w:tc>
      </w:tr>
    </w:tbl>
    <w:p w14:paraId="6A258538" w14:textId="2BD6984F" w:rsidR="006E2C38" w:rsidRPr="004A49EF" w:rsidRDefault="006E2C38" w:rsidP="006E2C38"/>
    <w:p w14:paraId="187234E9" w14:textId="618AFBA9" w:rsidR="00D503B4" w:rsidRPr="004A49EF" w:rsidRDefault="00D503B4" w:rsidP="008B783A">
      <w:pPr>
        <w:rPr>
          <w:szCs w:val="20"/>
        </w:rPr>
      </w:pPr>
      <w:r w:rsidRPr="004A49EF">
        <w:br w:type="page"/>
      </w:r>
    </w:p>
    <w:p w14:paraId="7064833E" w14:textId="78566ED3" w:rsidR="009576AB" w:rsidRPr="004A49EF" w:rsidRDefault="002177C7">
      <w:pPr>
        <w:pStyle w:val="Heading4"/>
      </w:pPr>
      <w:r w:rsidRPr="004A49EF">
        <w:lastRenderedPageBreak/>
        <w:t>5</w:t>
      </w:r>
      <w:r w:rsidR="009576AB" w:rsidRPr="004A49EF">
        <w:t>.  Determining Secondary SC, Including by Aggravation</w:t>
      </w:r>
    </w:p>
    <w:p w14:paraId="5B0BCEFE" w14:textId="21C3276A"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758D7658" w14:textId="77777777">
        <w:trPr>
          <w:cantSplit/>
        </w:trPr>
        <w:tc>
          <w:tcPr>
            <w:tcW w:w="1728" w:type="dxa"/>
          </w:tcPr>
          <w:p w14:paraId="6F10CEA5" w14:textId="77777777" w:rsidR="009576AB" w:rsidRPr="004A49EF" w:rsidRDefault="009576AB">
            <w:pPr>
              <w:pStyle w:val="Heading5"/>
            </w:pPr>
            <w:r w:rsidRPr="004A49EF">
              <w:t>Introduction</w:t>
            </w:r>
          </w:p>
        </w:tc>
        <w:tc>
          <w:tcPr>
            <w:tcW w:w="7740" w:type="dxa"/>
          </w:tcPr>
          <w:p w14:paraId="72D4911D" w14:textId="08076B56" w:rsidR="009576AB" w:rsidRPr="004A49EF" w:rsidRDefault="009576AB">
            <w:pPr>
              <w:pStyle w:val="BlockText"/>
            </w:pPr>
            <w:r w:rsidRPr="004A49EF">
              <w:t xml:space="preserve">This topic contains information on determining secondary </w:t>
            </w:r>
            <w:r w:rsidR="00D24882" w:rsidRPr="004A49EF">
              <w:t>SC</w:t>
            </w:r>
            <w:r w:rsidRPr="004A49EF">
              <w:t>, including by aggravation, including</w:t>
            </w:r>
          </w:p>
          <w:p w14:paraId="5FD00B6E" w14:textId="77777777" w:rsidR="009576AB" w:rsidRPr="004A49EF" w:rsidRDefault="009576AB">
            <w:pPr>
              <w:pStyle w:val="BlockText"/>
            </w:pPr>
          </w:p>
          <w:p w14:paraId="4B536B94" w14:textId="1964C265" w:rsidR="009576AB" w:rsidRPr="004A49EF" w:rsidRDefault="009576AB" w:rsidP="00E15E03">
            <w:pPr>
              <w:pStyle w:val="BulletText1"/>
              <w:tabs>
                <w:tab w:val="clear" w:pos="443"/>
                <w:tab w:val="num" w:pos="162"/>
              </w:tabs>
              <w:ind w:left="162"/>
            </w:pPr>
            <w:r w:rsidRPr="004A49EF">
              <w:t xml:space="preserve">provisions for </w:t>
            </w:r>
            <w:r w:rsidR="00BE4E85" w:rsidRPr="004A49EF">
              <w:t>SC</w:t>
            </w:r>
            <w:r w:rsidRPr="004A49EF">
              <w:t xml:space="preserve"> under 38 CFR 3.310(a) and (b)</w:t>
            </w:r>
          </w:p>
          <w:p w14:paraId="5A52E6D4" w14:textId="77777777" w:rsidR="009576AB" w:rsidRPr="004A49EF" w:rsidRDefault="009576AB" w:rsidP="00E15E03">
            <w:pPr>
              <w:pStyle w:val="BulletText1"/>
              <w:tabs>
                <w:tab w:val="clear" w:pos="443"/>
                <w:tab w:val="num" w:pos="162"/>
              </w:tabs>
              <w:ind w:left="162"/>
            </w:pPr>
            <w:r w:rsidRPr="004A49EF">
              <w:t>medical evidence required to show a non</w:t>
            </w:r>
            <w:r w:rsidR="00705C6F" w:rsidRPr="004A49EF">
              <w:t>-</w:t>
            </w:r>
            <w:r w:rsidRPr="004A49EF">
              <w:t>service-connected (NSC) disability was aggravated by an</w:t>
            </w:r>
            <w:r w:rsidR="00D30DBF" w:rsidRPr="004A49EF">
              <w:t xml:space="preserve"> </w:t>
            </w:r>
            <w:r w:rsidRPr="004A49EF">
              <w:t>SC disability</w:t>
            </w:r>
          </w:p>
          <w:p w14:paraId="396E3998" w14:textId="77777777" w:rsidR="009576AB" w:rsidRPr="004A49EF" w:rsidRDefault="009576AB" w:rsidP="00E15E03">
            <w:pPr>
              <w:pStyle w:val="BulletText1"/>
              <w:tabs>
                <w:tab w:val="clear" w:pos="443"/>
                <w:tab w:val="num" w:pos="162"/>
              </w:tabs>
              <w:ind w:left="162"/>
            </w:pPr>
            <w:r w:rsidRPr="004A49EF">
              <w:t>developing claims based on aggravation of an NSC disability by an SC disability</w:t>
            </w:r>
          </w:p>
          <w:p w14:paraId="54A4493E" w14:textId="77777777" w:rsidR="009576AB" w:rsidRPr="004A49EF" w:rsidRDefault="009576AB" w:rsidP="00E15E03">
            <w:pPr>
              <w:pStyle w:val="BulletText1"/>
              <w:tabs>
                <w:tab w:val="clear" w:pos="443"/>
                <w:tab w:val="num" w:pos="162"/>
              </w:tabs>
              <w:ind w:left="162"/>
            </w:pPr>
            <w:r w:rsidRPr="004A49EF">
              <w:t>information that must be included in the examiner’s report</w:t>
            </w:r>
            <w:r w:rsidR="00F76C02" w:rsidRPr="004A49EF">
              <w:t xml:space="preserve"> for secondary SC based on aggravation</w:t>
            </w:r>
            <w:r w:rsidRPr="004A49EF">
              <w:t>, and</w:t>
            </w:r>
          </w:p>
          <w:p w14:paraId="3D9AC53C" w14:textId="77777777" w:rsidR="009576AB" w:rsidRPr="004A49EF" w:rsidRDefault="009576AB" w:rsidP="00E15E03">
            <w:pPr>
              <w:pStyle w:val="BulletText1"/>
              <w:tabs>
                <w:tab w:val="clear" w:pos="443"/>
                <w:tab w:val="num" w:pos="162"/>
              </w:tabs>
              <w:ind w:left="162"/>
            </w:pPr>
            <w:r w:rsidRPr="004A49EF">
              <w:t xml:space="preserve">determining the extent to which an NSC disability was aggravated by an SC disability. </w:t>
            </w:r>
          </w:p>
        </w:tc>
      </w:tr>
    </w:tbl>
    <w:p w14:paraId="4F020F38" w14:textId="77777777"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5700AF30" w14:textId="77777777">
        <w:trPr>
          <w:cantSplit/>
        </w:trPr>
        <w:tc>
          <w:tcPr>
            <w:tcW w:w="1728" w:type="dxa"/>
          </w:tcPr>
          <w:p w14:paraId="1D0EBDEC" w14:textId="77777777" w:rsidR="009576AB" w:rsidRPr="004A49EF" w:rsidRDefault="009576AB">
            <w:pPr>
              <w:pStyle w:val="Heading5"/>
            </w:pPr>
            <w:r w:rsidRPr="004A49EF">
              <w:t>Change Date</w:t>
            </w:r>
          </w:p>
        </w:tc>
        <w:tc>
          <w:tcPr>
            <w:tcW w:w="7740" w:type="dxa"/>
          </w:tcPr>
          <w:p w14:paraId="5998D3C2" w14:textId="1FAD7233" w:rsidR="009576AB" w:rsidRPr="004A49EF" w:rsidRDefault="00F4369A">
            <w:pPr>
              <w:pStyle w:val="BlockText"/>
            </w:pPr>
            <w:r w:rsidRPr="004A49EF">
              <w:t>January 20, 2016</w:t>
            </w:r>
          </w:p>
        </w:tc>
      </w:tr>
    </w:tbl>
    <w:p w14:paraId="504DABFD" w14:textId="4863BEBD"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35A7FB3D" w14:textId="77777777">
        <w:trPr>
          <w:cantSplit/>
        </w:trPr>
        <w:tc>
          <w:tcPr>
            <w:tcW w:w="1728" w:type="dxa"/>
          </w:tcPr>
          <w:p w14:paraId="4ECBE3CC" w14:textId="2683FC38" w:rsidR="009576AB" w:rsidRPr="004A49EF" w:rsidRDefault="009576AB" w:rsidP="00BE4E85">
            <w:pPr>
              <w:pStyle w:val="Heading5"/>
            </w:pPr>
            <w:r w:rsidRPr="004A49EF">
              <w:t xml:space="preserve">a. </w:t>
            </w:r>
            <w:r w:rsidR="00B84C57" w:rsidRPr="004A49EF">
              <w:t xml:space="preserve"> </w:t>
            </w:r>
            <w:r w:rsidRPr="004A49EF">
              <w:t>Provisions for SC Under 38 CFR 3.310(a) and (b)</w:t>
            </w:r>
          </w:p>
        </w:tc>
        <w:tc>
          <w:tcPr>
            <w:tcW w:w="7740" w:type="dxa"/>
          </w:tcPr>
          <w:p w14:paraId="7EEEEF9C" w14:textId="6B7F0257" w:rsidR="00483303" w:rsidRPr="004A49EF" w:rsidRDefault="00705C6F">
            <w:pPr>
              <w:pStyle w:val="BlockText"/>
            </w:pPr>
            <w:r w:rsidRPr="004A49EF">
              <w:t>Award</w:t>
            </w:r>
            <w:r w:rsidR="009576AB" w:rsidRPr="004A49EF">
              <w:t xml:space="preserve"> </w:t>
            </w:r>
            <w:r w:rsidR="0047427A" w:rsidRPr="004A49EF">
              <w:t>SC</w:t>
            </w:r>
            <w:r w:rsidR="009576AB" w:rsidRPr="004A49EF">
              <w:t xml:space="preserve"> for the following under the provisions of</w:t>
            </w:r>
            <w:r w:rsidR="00483303" w:rsidRPr="004A49EF">
              <w:t xml:space="preserve"> </w:t>
            </w:r>
            <w:hyperlink r:id="rId141" w:history="1">
              <w:r w:rsidR="00483303" w:rsidRPr="004A49EF">
                <w:rPr>
                  <w:rStyle w:val="Hyperlink"/>
                </w:rPr>
                <w:t>38 CFR 3.310(a)</w:t>
              </w:r>
            </w:hyperlink>
            <w:r w:rsidR="00483303" w:rsidRPr="004A49EF">
              <w:t xml:space="preserve"> and </w:t>
            </w:r>
            <w:hyperlink r:id="rId142" w:history="1">
              <w:r w:rsidR="00483303" w:rsidRPr="004A49EF">
                <w:rPr>
                  <w:rStyle w:val="Hyperlink"/>
                </w:rPr>
                <w:t>38 CFR 3.310(b)</w:t>
              </w:r>
            </w:hyperlink>
            <w:r w:rsidR="00483303" w:rsidRPr="004A49EF">
              <w:t>.</w:t>
            </w:r>
            <w:r w:rsidR="009576AB" w:rsidRPr="004A49EF">
              <w:t xml:space="preserve"> </w:t>
            </w:r>
          </w:p>
          <w:p w14:paraId="2F6B2018" w14:textId="77777777" w:rsidR="009576AB" w:rsidRPr="004A49EF" w:rsidRDefault="009576AB">
            <w:pPr>
              <w:pStyle w:val="BlockText"/>
            </w:pPr>
          </w:p>
          <w:p w14:paraId="3BBB0C44" w14:textId="77777777" w:rsidR="009576AB" w:rsidRPr="004A49EF" w:rsidRDefault="009576AB" w:rsidP="00E15E03">
            <w:pPr>
              <w:pStyle w:val="BulletText1"/>
              <w:tabs>
                <w:tab w:val="clear" w:pos="443"/>
                <w:tab w:val="num" w:pos="162"/>
              </w:tabs>
              <w:ind w:left="162"/>
            </w:pPr>
            <w:r w:rsidRPr="004A49EF">
              <w:t>disabilities that are proximately due to, or the result of, a</w:t>
            </w:r>
            <w:r w:rsidR="00705C6F" w:rsidRPr="004A49EF">
              <w:t>n</w:t>
            </w:r>
            <w:r w:rsidR="00937AB7" w:rsidRPr="004A49EF">
              <w:t xml:space="preserve"> </w:t>
            </w:r>
            <w:r w:rsidRPr="004A49EF">
              <w:t>SC condition, or</w:t>
            </w:r>
          </w:p>
          <w:p w14:paraId="11D2547D" w14:textId="77777777" w:rsidR="009576AB" w:rsidRPr="004A49EF" w:rsidRDefault="009576AB" w:rsidP="00E15E03">
            <w:pPr>
              <w:pStyle w:val="BulletText1"/>
              <w:tabs>
                <w:tab w:val="clear" w:pos="443"/>
                <w:tab w:val="num" w:pos="162"/>
              </w:tabs>
              <w:ind w:left="162"/>
            </w:pPr>
            <w:r w:rsidRPr="004A49EF">
              <w:t>the increase in severity of a non</w:t>
            </w:r>
            <w:r w:rsidR="00705C6F" w:rsidRPr="004A49EF">
              <w:t>-</w:t>
            </w:r>
            <w:r w:rsidRPr="004A49EF">
              <w:t>service-connected (NSC) disability that is attributable to aggravation by an SC disability, and not to the natural progress</w:t>
            </w:r>
            <w:r w:rsidR="00634C41" w:rsidRPr="004A49EF">
              <w:t>ion</w:t>
            </w:r>
            <w:r w:rsidRPr="004A49EF">
              <w:t xml:space="preserve"> of the NSC disability.</w:t>
            </w:r>
          </w:p>
          <w:p w14:paraId="4CFFF356" w14:textId="77777777" w:rsidR="009576AB" w:rsidRPr="004A49EF" w:rsidRDefault="009576AB">
            <w:pPr>
              <w:pStyle w:val="BlockText"/>
            </w:pPr>
          </w:p>
          <w:p w14:paraId="1226FF5D" w14:textId="0289B846" w:rsidR="009576AB" w:rsidRPr="004A49EF" w:rsidRDefault="009576AB">
            <w:pPr>
              <w:pStyle w:val="BlockText"/>
            </w:pPr>
            <w:r w:rsidRPr="004A49EF">
              <w:rPr>
                <w:b/>
                <w:i/>
              </w:rPr>
              <w:t>Reference</w:t>
            </w:r>
            <w:r w:rsidRPr="004A49EF">
              <w:t xml:space="preserve">:  For more information on </w:t>
            </w:r>
            <w:r w:rsidR="0047427A" w:rsidRPr="004A49EF">
              <w:t>SC</w:t>
            </w:r>
            <w:r w:rsidRPr="004A49EF">
              <w:t xml:space="preserve"> for aggravation of NSC disabilities by SC disabilities, see</w:t>
            </w:r>
          </w:p>
          <w:p w14:paraId="7D1F5372" w14:textId="77777777" w:rsidR="009576AB" w:rsidRPr="004A49EF" w:rsidRDefault="004A49EF" w:rsidP="00E15E03">
            <w:pPr>
              <w:pStyle w:val="BulletText1"/>
              <w:tabs>
                <w:tab w:val="clear" w:pos="443"/>
                <w:tab w:val="num" w:pos="162"/>
              </w:tabs>
              <w:ind w:left="162"/>
            </w:pPr>
            <w:hyperlink r:id="rId143" w:history="1">
              <w:r w:rsidR="009576AB" w:rsidRPr="004A49EF">
                <w:rPr>
                  <w:rStyle w:val="Hyperlink"/>
                </w:rPr>
                <w:t>38 CFR 3.310(b)</w:t>
              </w:r>
            </w:hyperlink>
            <w:r w:rsidR="009576AB" w:rsidRPr="004A49EF">
              <w:t>, and</w:t>
            </w:r>
          </w:p>
          <w:p w14:paraId="35D13340" w14:textId="07421712" w:rsidR="009576AB" w:rsidRPr="004A49EF" w:rsidRDefault="00C315F8" w:rsidP="00E15E03">
            <w:pPr>
              <w:pStyle w:val="BulletText1"/>
              <w:tabs>
                <w:tab w:val="clear" w:pos="443"/>
                <w:tab w:val="num" w:pos="162"/>
              </w:tabs>
              <w:ind w:left="162"/>
            </w:pPr>
            <w:hyperlink r:id="rId144" w:anchor="bma" w:history="1">
              <w:r w:rsidR="009576AB" w:rsidRPr="004A49EF">
                <w:rPr>
                  <w:rStyle w:val="Hyperlink"/>
                  <w:i/>
                </w:rPr>
                <w:t>Allen v. Brown</w:t>
              </w:r>
            </w:hyperlink>
            <w:r w:rsidR="003E4B48" w:rsidRPr="004A49EF">
              <w:t xml:space="preserve">, 7 </w:t>
            </w:r>
            <w:proofErr w:type="spellStart"/>
            <w:r w:rsidR="003E4B48" w:rsidRPr="004A49EF">
              <w:t>Vet.</w:t>
            </w:r>
            <w:r w:rsidR="009576AB" w:rsidRPr="004A49EF">
              <w:t>App</w:t>
            </w:r>
            <w:proofErr w:type="spellEnd"/>
            <w:proofErr w:type="gramStart"/>
            <w:r w:rsidR="009576AB" w:rsidRPr="004A49EF">
              <w:t xml:space="preserve">. </w:t>
            </w:r>
            <w:proofErr w:type="gramEnd"/>
            <w:r w:rsidR="009576AB" w:rsidRPr="004A49EF">
              <w:t>439 (1995).</w:t>
            </w:r>
          </w:p>
        </w:tc>
      </w:tr>
    </w:tbl>
    <w:p w14:paraId="085E1699" w14:textId="52E82D84"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57BCABDF" w14:textId="77777777">
        <w:trPr>
          <w:cantSplit/>
        </w:trPr>
        <w:tc>
          <w:tcPr>
            <w:tcW w:w="1728" w:type="dxa"/>
          </w:tcPr>
          <w:p w14:paraId="1C95B158" w14:textId="77777777" w:rsidR="009576AB" w:rsidRPr="004A49EF" w:rsidRDefault="009576AB">
            <w:pPr>
              <w:pStyle w:val="Heading5"/>
            </w:pPr>
            <w:r w:rsidRPr="004A49EF">
              <w:t xml:space="preserve">b.  Medical Evidence Required to Show </w:t>
            </w:r>
            <w:r w:rsidRPr="004A49EF">
              <w:rPr>
                <w:bCs/>
              </w:rPr>
              <w:t>an NSC Disability Was Aggravated by an SC Disability</w:t>
            </w:r>
          </w:p>
        </w:tc>
        <w:tc>
          <w:tcPr>
            <w:tcW w:w="7740" w:type="dxa"/>
          </w:tcPr>
          <w:p w14:paraId="35C13491" w14:textId="55A74A1C" w:rsidR="009576AB" w:rsidRPr="004A49EF" w:rsidRDefault="009576AB">
            <w:pPr>
              <w:pStyle w:val="BlockText"/>
            </w:pPr>
            <w:r w:rsidRPr="004A49EF">
              <w:t xml:space="preserve">Do not concede an NSC disability </w:t>
            </w:r>
            <w:r w:rsidR="00483303" w:rsidRPr="004A49EF">
              <w:t>i</w:t>
            </w:r>
            <w:r w:rsidRPr="004A49EF">
              <w:t xml:space="preserve">s aggravated by an SC disability unless the baseline level of severity of the NSC disease or injury </w:t>
            </w:r>
            <w:r w:rsidR="00483303" w:rsidRPr="004A49EF">
              <w:t>i</w:t>
            </w:r>
            <w:r w:rsidRPr="004A49EF">
              <w:t>s established by</w:t>
            </w:r>
          </w:p>
          <w:p w14:paraId="500A6FF9" w14:textId="77777777" w:rsidR="009576AB" w:rsidRPr="004A49EF" w:rsidRDefault="009576AB">
            <w:pPr>
              <w:pStyle w:val="BlockText"/>
            </w:pPr>
          </w:p>
          <w:p w14:paraId="3B76805E" w14:textId="77777777" w:rsidR="009576AB" w:rsidRPr="004A49EF" w:rsidRDefault="009576AB" w:rsidP="00E15E03">
            <w:pPr>
              <w:pStyle w:val="BulletText1"/>
              <w:tabs>
                <w:tab w:val="clear" w:pos="443"/>
                <w:tab w:val="num" w:pos="162"/>
              </w:tabs>
              <w:ind w:left="162"/>
            </w:pPr>
            <w:r w:rsidRPr="004A49EF">
              <w:t>medical evidence created before the onset of aggravation, or</w:t>
            </w:r>
          </w:p>
          <w:p w14:paraId="4C2778FA" w14:textId="77777777" w:rsidR="009576AB" w:rsidRPr="004A49EF" w:rsidRDefault="009576AB" w:rsidP="00E15E03">
            <w:pPr>
              <w:pStyle w:val="BulletText1"/>
              <w:tabs>
                <w:tab w:val="clear" w:pos="443"/>
                <w:tab w:val="num" w:pos="162"/>
              </w:tabs>
              <w:ind w:left="162"/>
            </w:pPr>
            <w:r w:rsidRPr="004A49EF">
              <w:t>the earliest medical evidence created between the</w:t>
            </w:r>
          </w:p>
          <w:p w14:paraId="2158FF11" w14:textId="77777777" w:rsidR="009576AB" w:rsidRPr="004A49EF" w:rsidRDefault="009576AB">
            <w:pPr>
              <w:pStyle w:val="BulletText2"/>
            </w:pPr>
            <w:r w:rsidRPr="004A49EF">
              <w:t>onset of aggravation, and</w:t>
            </w:r>
          </w:p>
          <w:p w14:paraId="6E3DE665" w14:textId="77777777" w:rsidR="009576AB" w:rsidRPr="004A49EF" w:rsidRDefault="009576AB">
            <w:pPr>
              <w:pStyle w:val="BulletText2"/>
            </w:pPr>
            <w:r w:rsidRPr="004A49EF">
              <w:t>receipt of medical evidence establishing the current level of severity of the NSC disability.</w:t>
            </w:r>
          </w:p>
        </w:tc>
      </w:tr>
    </w:tbl>
    <w:p w14:paraId="7C1A7B86" w14:textId="77777777" w:rsidR="009576AB" w:rsidRPr="004A49EF" w:rsidRDefault="009576AB" w:rsidP="00D503B4">
      <w:pPr>
        <w:pStyle w:val="BlockLine"/>
      </w:pPr>
    </w:p>
    <w:tbl>
      <w:tblPr>
        <w:tblW w:w="0" w:type="auto"/>
        <w:tblLayout w:type="fixed"/>
        <w:tblLook w:val="0000" w:firstRow="0" w:lastRow="0" w:firstColumn="0" w:lastColumn="0" w:noHBand="0" w:noVBand="0"/>
      </w:tblPr>
      <w:tblGrid>
        <w:gridCol w:w="1728"/>
        <w:gridCol w:w="7740"/>
      </w:tblGrid>
      <w:tr w:rsidR="009576AB" w:rsidRPr="004A49EF" w14:paraId="4B6EE790" w14:textId="77777777" w:rsidTr="0047427A">
        <w:tc>
          <w:tcPr>
            <w:tcW w:w="1728" w:type="dxa"/>
          </w:tcPr>
          <w:p w14:paraId="1F01CB01" w14:textId="77777777" w:rsidR="009576AB" w:rsidRPr="004A49EF" w:rsidRDefault="009576AB">
            <w:pPr>
              <w:pStyle w:val="Heading5"/>
            </w:pPr>
            <w:r w:rsidRPr="004A49EF">
              <w:t xml:space="preserve">c.  Developing Claims </w:t>
            </w:r>
          </w:p>
          <w:p w14:paraId="22D59A7D" w14:textId="77777777" w:rsidR="009576AB" w:rsidRPr="004A49EF" w:rsidRDefault="009576AB">
            <w:pPr>
              <w:pStyle w:val="Heading5"/>
            </w:pPr>
            <w:r w:rsidRPr="004A49EF">
              <w:rPr>
                <w:bCs/>
              </w:rPr>
              <w:t xml:space="preserve">Based on Aggravation of an NSC </w:t>
            </w:r>
            <w:r w:rsidRPr="004A49EF">
              <w:rPr>
                <w:bCs/>
              </w:rPr>
              <w:lastRenderedPageBreak/>
              <w:t>Disability by an SC Disability</w:t>
            </w:r>
          </w:p>
        </w:tc>
        <w:tc>
          <w:tcPr>
            <w:tcW w:w="7740" w:type="dxa"/>
          </w:tcPr>
          <w:p w14:paraId="77947EEE" w14:textId="0DD30864" w:rsidR="009576AB" w:rsidRPr="004A49EF" w:rsidRDefault="009576AB">
            <w:pPr>
              <w:pStyle w:val="BlockText"/>
            </w:pPr>
            <w:r w:rsidRPr="004A49EF">
              <w:lastRenderedPageBreak/>
              <w:t xml:space="preserve">When developing a claim for secondary </w:t>
            </w:r>
            <w:r w:rsidR="00F76C02" w:rsidRPr="004A49EF">
              <w:t>SC</w:t>
            </w:r>
            <w:r w:rsidRPr="004A49EF">
              <w:t xml:space="preserve"> based on aggravation of an NSC disability</w:t>
            </w:r>
            <w:r w:rsidR="00483303" w:rsidRPr="004A49EF">
              <w:t xml:space="preserve"> by an SC disability</w:t>
            </w:r>
            <w:r w:rsidRPr="004A49EF">
              <w:t xml:space="preserve">, ask the Veteran to furnish medical evidence showing the </w:t>
            </w:r>
          </w:p>
          <w:p w14:paraId="16D66248" w14:textId="77777777" w:rsidR="009576AB" w:rsidRPr="004A49EF" w:rsidRDefault="009576AB">
            <w:pPr>
              <w:pStyle w:val="BlockText"/>
            </w:pPr>
          </w:p>
          <w:p w14:paraId="39851456" w14:textId="77777777" w:rsidR="009576AB" w:rsidRPr="004A49EF" w:rsidRDefault="009576AB" w:rsidP="00E15E03">
            <w:pPr>
              <w:pStyle w:val="BulletText1"/>
              <w:tabs>
                <w:tab w:val="clear" w:pos="443"/>
                <w:tab w:val="num" w:pos="162"/>
              </w:tabs>
              <w:ind w:left="162"/>
            </w:pPr>
            <w:r w:rsidRPr="004A49EF">
              <w:lastRenderedPageBreak/>
              <w:t>current level of severity of the NSC disability, and</w:t>
            </w:r>
          </w:p>
          <w:p w14:paraId="4169F937" w14:textId="77777777" w:rsidR="009576AB" w:rsidRPr="004A49EF" w:rsidRDefault="009576AB" w:rsidP="00E15E03">
            <w:pPr>
              <w:pStyle w:val="BulletText1"/>
              <w:tabs>
                <w:tab w:val="clear" w:pos="443"/>
                <w:tab w:val="num" w:pos="162"/>
              </w:tabs>
              <w:ind w:left="162"/>
            </w:pPr>
            <w:r w:rsidRPr="004A49EF">
              <w:t>its level of severity</w:t>
            </w:r>
          </w:p>
          <w:p w14:paraId="198A81E2" w14:textId="77777777" w:rsidR="009576AB" w:rsidRPr="004A49EF" w:rsidRDefault="009576AB">
            <w:pPr>
              <w:pStyle w:val="BulletText2"/>
            </w:pPr>
            <w:r w:rsidRPr="004A49EF">
              <w:t>before aggravation by the SC disability, or</w:t>
            </w:r>
          </w:p>
          <w:p w14:paraId="71A578D7" w14:textId="77777777" w:rsidR="009576AB" w:rsidRPr="004A49EF" w:rsidRDefault="009576AB">
            <w:pPr>
              <w:pStyle w:val="BulletText2"/>
            </w:pPr>
            <w:r w:rsidRPr="004A49EF">
              <w:t>as soon as possible after aggravation.</w:t>
            </w:r>
          </w:p>
          <w:p w14:paraId="7419C3B8" w14:textId="77777777" w:rsidR="009576AB" w:rsidRPr="004A49EF" w:rsidRDefault="009576AB">
            <w:pPr>
              <w:pStyle w:val="BlockText"/>
            </w:pPr>
          </w:p>
          <w:p w14:paraId="1B764E2D" w14:textId="6E56D5E7" w:rsidR="009576AB" w:rsidRPr="004A49EF" w:rsidRDefault="001501D5">
            <w:pPr>
              <w:pStyle w:val="BlockText"/>
            </w:pPr>
            <w:r w:rsidRPr="004A49EF">
              <w:rPr>
                <w:b/>
                <w:bCs/>
                <w:i/>
                <w:iCs/>
              </w:rPr>
              <w:t>Important</w:t>
            </w:r>
            <w:r w:rsidR="009576AB" w:rsidRPr="004A49EF">
              <w:t xml:space="preserve">:  Enclose </w:t>
            </w:r>
            <w:r w:rsidR="009576AB" w:rsidRPr="004A49EF">
              <w:rPr>
                <w:i/>
                <w:iCs/>
              </w:rPr>
              <w:t xml:space="preserve">VA Form 21-4142, Authorization to </w:t>
            </w:r>
            <w:r w:rsidR="005463A1" w:rsidRPr="004A49EF">
              <w:rPr>
                <w:i/>
                <w:iCs/>
              </w:rPr>
              <w:t>Disclose</w:t>
            </w:r>
            <w:r w:rsidR="009576AB" w:rsidRPr="004A49EF">
              <w:rPr>
                <w:i/>
                <w:iCs/>
              </w:rPr>
              <w:t xml:space="preserve"> Information to the Department of Veterans Affairs</w:t>
            </w:r>
            <w:r w:rsidR="009576AB" w:rsidRPr="004A49EF">
              <w:rPr>
                <w:iCs/>
              </w:rPr>
              <w:t>,</w:t>
            </w:r>
            <w:r w:rsidR="00F76C02" w:rsidRPr="004A49EF">
              <w:t xml:space="preserve"> and </w:t>
            </w:r>
            <w:r w:rsidR="00F76C02" w:rsidRPr="004A49EF">
              <w:rPr>
                <w:i/>
              </w:rPr>
              <w:t>VA Form 21-4142a, General Release for Medical Provider Information to the Department of Veterans Affairs</w:t>
            </w:r>
            <w:r w:rsidR="00F76C02" w:rsidRPr="004A49EF">
              <w:t>,</w:t>
            </w:r>
            <w:r w:rsidR="009576AB" w:rsidRPr="004A49EF">
              <w:t xml:space="preserve"> in the request letter.</w:t>
            </w:r>
          </w:p>
          <w:p w14:paraId="24A1D038" w14:textId="77777777" w:rsidR="009576AB" w:rsidRPr="004A49EF" w:rsidRDefault="009576AB">
            <w:pPr>
              <w:pStyle w:val="BlockText"/>
            </w:pPr>
          </w:p>
          <w:p w14:paraId="6EBDACD6" w14:textId="77777777" w:rsidR="009576AB" w:rsidRPr="004A49EF" w:rsidRDefault="009576AB">
            <w:pPr>
              <w:pStyle w:val="BlockText"/>
            </w:pPr>
            <w:r w:rsidRPr="004A49EF">
              <w:t>Upon receipt of this evidence, request a medical examination and opinion, to include a review of the claims folder by the examiner, to establish whether increased manifestations of the NSC disability are proximately due to an SC disability.</w:t>
            </w:r>
          </w:p>
          <w:p w14:paraId="7D9C8C4B" w14:textId="77777777" w:rsidR="009576AB" w:rsidRPr="004A49EF" w:rsidRDefault="009576AB">
            <w:pPr>
              <w:pStyle w:val="BlockText"/>
            </w:pPr>
          </w:p>
          <w:p w14:paraId="79BF1181" w14:textId="77777777" w:rsidR="009576AB" w:rsidRPr="004A49EF" w:rsidRDefault="009576AB">
            <w:pPr>
              <w:pStyle w:val="BlockText"/>
            </w:pPr>
            <w:r w:rsidRPr="004A49EF">
              <w:rPr>
                <w:b/>
                <w:i/>
              </w:rPr>
              <w:t>Notes</w:t>
            </w:r>
            <w:r w:rsidRPr="004A49EF">
              <w:t xml:space="preserve">: </w:t>
            </w:r>
            <w:r w:rsidR="008A6BF7" w:rsidRPr="004A49EF">
              <w:t xml:space="preserve"> </w:t>
            </w:r>
          </w:p>
          <w:p w14:paraId="320F703C" w14:textId="77777777" w:rsidR="009576AB" w:rsidRPr="004A49EF" w:rsidRDefault="009576AB" w:rsidP="00E15E03">
            <w:pPr>
              <w:pStyle w:val="BulletText1"/>
              <w:tabs>
                <w:tab w:val="clear" w:pos="443"/>
                <w:tab w:val="num" w:pos="162"/>
              </w:tabs>
              <w:ind w:left="162"/>
            </w:pPr>
            <w:r w:rsidRPr="004A49EF">
              <w:t>Do not request an examination if the Veteran has failed to furnish medical evidence establishing a baseline level of the severity of the NSC disability.</w:t>
            </w:r>
          </w:p>
          <w:p w14:paraId="155176B4" w14:textId="77777777" w:rsidR="009576AB" w:rsidRPr="004A49EF" w:rsidRDefault="009576AB" w:rsidP="00E15E03">
            <w:pPr>
              <w:pStyle w:val="BulletText1"/>
              <w:tabs>
                <w:tab w:val="clear" w:pos="443"/>
                <w:tab w:val="num" w:pos="162"/>
              </w:tabs>
              <w:ind w:left="162"/>
            </w:pPr>
            <w:r w:rsidRPr="004A49EF">
              <w:t>The examiner must have all available evidence for review when providing an opinion on the issue of aggravation.</w:t>
            </w:r>
          </w:p>
          <w:p w14:paraId="7143A71D" w14:textId="77777777" w:rsidR="009576AB" w:rsidRPr="004A49EF" w:rsidRDefault="009576AB" w:rsidP="00E15E03">
            <w:pPr>
              <w:pStyle w:val="BulletText1"/>
              <w:tabs>
                <w:tab w:val="clear" w:pos="443"/>
                <w:tab w:val="num" w:pos="162"/>
              </w:tabs>
              <w:ind w:left="162"/>
            </w:pPr>
            <w:r w:rsidRPr="004A49EF">
              <w:t xml:space="preserve">Identify the evidence of particular relevance in the claims folder for the examiner.  </w:t>
            </w:r>
          </w:p>
        </w:tc>
      </w:tr>
    </w:tbl>
    <w:p w14:paraId="78B66C08" w14:textId="30270B0E"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3C56BF3A" w14:textId="77777777">
        <w:trPr>
          <w:cantSplit/>
        </w:trPr>
        <w:tc>
          <w:tcPr>
            <w:tcW w:w="1728" w:type="dxa"/>
          </w:tcPr>
          <w:p w14:paraId="095B5E41" w14:textId="77777777" w:rsidR="009576AB" w:rsidRPr="004A49EF" w:rsidRDefault="009576AB">
            <w:pPr>
              <w:pStyle w:val="Heading5"/>
            </w:pPr>
            <w:r w:rsidRPr="004A49EF">
              <w:t>d.  Information That Must Be Included in the Examiner’s Report</w:t>
            </w:r>
            <w:r w:rsidR="00F76C02" w:rsidRPr="004A49EF">
              <w:t xml:space="preserve"> for Secondary SC Based on Aggravation</w:t>
            </w:r>
          </w:p>
        </w:tc>
        <w:tc>
          <w:tcPr>
            <w:tcW w:w="7740" w:type="dxa"/>
          </w:tcPr>
          <w:p w14:paraId="113B93F2" w14:textId="32323D30" w:rsidR="009576AB" w:rsidRPr="004A49EF" w:rsidRDefault="009576AB">
            <w:pPr>
              <w:pStyle w:val="BlockText"/>
            </w:pPr>
            <w:r w:rsidRPr="004A49EF">
              <w:t xml:space="preserve">The examiner’s report must separately address all of the following medical issues in order to be considered adequate for rating a claim for secondary </w:t>
            </w:r>
            <w:r w:rsidR="00812112" w:rsidRPr="004A49EF">
              <w:t>SC</w:t>
            </w:r>
            <w:r w:rsidRPr="004A49EF">
              <w:t xml:space="preserve"> based on aggravation </w:t>
            </w:r>
          </w:p>
          <w:p w14:paraId="35A76476" w14:textId="77777777" w:rsidR="009576AB" w:rsidRPr="004A49EF" w:rsidRDefault="009576AB">
            <w:pPr>
              <w:pStyle w:val="BlockText"/>
            </w:pPr>
          </w:p>
          <w:p w14:paraId="71C5C986" w14:textId="77777777" w:rsidR="009576AB" w:rsidRPr="004A49EF" w:rsidRDefault="009576AB" w:rsidP="00E15E03">
            <w:pPr>
              <w:pStyle w:val="BulletText1"/>
              <w:tabs>
                <w:tab w:val="clear" w:pos="443"/>
                <w:tab w:val="num" w:pos="162"/>
              </w:tabs>
              <w:ind w:left="162"/>
            </w:pPr>
            <w:r w:rsidRPr="004A49EF">
              <w:t>the current level of severity of the NSC disease or injury</w:t>
            </w:r>
          </w:p>
          <w:p w14:paraId="4BD0FE88" w14:textId="77777777" w:rsidR="009576AB" w:rsidRPr="004A49EF" w:rsidRDefault="009576AB" w:rsidP="00E15E03">
            <w:pPr>
              <w:pStyle w:val="BulletText1"/>
              <w:tabs>
                <w:tab w:val="clear" w:pos="443"/>
                <w:tab w:val="num" w:pos="162"/>
              </w:tabs>
              <w:ind w:left="162"/>
            </w:pPr>
            <w:r w:rsidRPr="004A49EF">
              <w:t>an opinion as to whether an SC disability proximately caused the NSC disability to increase in severity, and</w:t>
            </w:r>
          </w:p>
          <w:p w14:paraId="2BC193FB" w14:textId="6AF8A1F1" w:rsidR="009576AB" w:rsidRPr="004A49EF" w:rsidRDefault="008472D0" w:rsidP="00E15E03">
            <w:pPr>
              <w:pStyle w:val="BulletText1"/>
              <w:tabs>
                <w:tab w:val="clear" w:pos="443"/>
                <w:tab w:val="num" w:pos="162"/>
              </w:tabs>
              <w:ind w:left="162"/>
            </w:pPr>
            <w:r w:rsidRPr="004A49EF">
              <w:t>an adequate analysis with</w:t>
            </w:r>
            <w:r w:rsidR="009576AB" w:rsidRPr="004A49EF">
              <w:t xml:space="preserve"> medical considerations supporting th</w:t>
            </w:r>
            <w:r w:rsidRPr="004A49EF">
              <w:t>e</w:t>
            </w:r>
            <w:r w:rsidR="009576AB" w:rsidRPr="004A49EF">
              <w:t xml:space="preserve"> opinion.</w:t>
            </w:r>
          </w:p>
        </w:tc>
      </w:tr>
    </w:tbl>
    <w:p w14:paraId="66F2F301" w14:textId="79BC1788"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0B3D0637" w14:textId="77777777" w:rsidTr="00C13594">
        <w:tc>
          <w:tcPr>
            <w:tcW w:w="1728" w:type="dxa"/>
          </w:tcPr>
          <w:p w14:paraId="11614C86" w14:textId="77777777" w:rsidR="009576AB" w:rsidRPr="004A49EF" w:rsidRDefault="009576AB">
            <w:pPr>
              <w:pStyle w:val="Heading5"/>
            </w:pPr>
            <w:r w:rsidRPr="004A49EF">
              <w:t xml:space="preserve">e.  Determining the Extent to Which an NSC Disability Was Aggravated by an SC Disability </w:t>
            </w:r>
          </w:p>
        </w:tc>
        <w:tc>
          <w:tcPr>
            <w:tcW w:w="7740" w:type="dxa"/>
          </w:tcPr>
          <w:p w14:paraId="5CC17E61" w14:textId="77777777" w:rsidR="009576AB" w:rsidRPr="004A49EF" w:rsidRDefault="009576AB">
            <w:pPr>
              <w:pStyle w:val="BlockText"/>
            </w:pPr>
            <w:r w:rsidRPr="004A49EF">
              <w:t>To determine the extent to which, if any, an NSC disability was aggravated by an SC disability</w:t>
            </w:r>
          </w:p>
          <w:p w14:paraId="061A36F1" w14:textId="77777777" w:rsidR="009576AB" w:rsidRPr="004A49EF" w:rsidRDefault="009576AB">
            <w:pPr>
              <w:pStyle w:val="BlockText"/>
            </w:pPr>
          </w:p>
          <w:p w14:paraId="36BA7E03" w14:textId="77777777" w:rsidR="009576AB" w:rsidRPr="004A49EF" w:rsidRDefault="009576AB" w:rsidP="00E15E03">
            <w:pPr>
              <w:pStyle w:val="BulletText1"/>
              <w:tabs>
                <w:tab w:val="clear" w:pos="443"/>
                <w:tab w:val="num" w:pos="162"/>
              </w:tabs>
              <w:ind w:left="162"/>
            </w:pPr>
            <w:r w:rsidRPr="004A49EF">
              <w:t xml:space="preserve">determine the baseline and current levels of severity of the NSC disability under </w:t>
            </w:r>
            <w:hyperlink r:id="rId145" w:history="1">
              <w:r w:rsidRPr="004A49EF">
                <w:rPr>
                  <w:rStyle w:val="Hyperlink"/>
                </w:rPr>
                <w:t>38 CFR Part 4</w:t>
              </w:r>
            </w:hyperlink>
            <w:r w:rsidRPr="004A49EF">
              <w:t xml:space="preserve">, </w:t>
            </w:r>
            <w:r w:rsidRPr="004A49EF">
              <w:rPr>
                <w:i/>
                <w:iCs/>
              </w:rPr>
              <w:t>Schedule for Rating Disabilities</w:t>
            </w:r>
            <w:r w:rsidRPr="004A49EF">
              <w:t>, and</w:t>
            </w:r>
          </w:p>
          <w:p w14:paraId="2B81175A" w14:textId="77777777" w:rsidR="009576AB" w:rsidRPr="004A49EF" w:rsidRDefault="009576AB" w:rsidP="00E15E03">
            <w:pPr>
              <w:pStyle w:val="BulletText1"/>
              <w:tabs>
                <w:tab w:val="clear" w:pos="443"/>
                <w:tab w:val="num" w:pos="162"/>
              </w:tabs>
              <w:ind w:left="162"/>
            </w:pPr>
            <w:r w:rsidRPr="004A49EF">
              <w:t>deduct the baseline level of severity of the NSC disability, as well as any increase of the disability due to natural progression, from the current level.</w:t>
            </w:r>
          </w:p>
          <w:p w14:paraId="6EE72794" w14:textId="77777777" w:rsidR="007570FD" w:rsidRPr="004A49EF" w:rsidRDefault="007570FD">
            <w:pPr>
              <w:pStyle w:val="BlockText"/>
            </w:pPr>
          </w:p>
          <w:p w14:paraId="4BC920E9" w14:textId="77777777" w:rsidR="009576AB" w:rsidRPr="004A49EF" w:rsidRDefault="009576AB">
            <w:pPr>
              <w:pStyle w:val="BlockText"/>
            </w:pPr>
            <w:r w:rsidRPr="004A49EF">
              <w:rPr>
                <w:b/>
                <w:bCs/>
                <w:i/>
                <w:iCs/>
              </w:rPr>
              <w:t>Note</w:t>
            </w:r>
            <w:r w:rsidRPr="004A49EF">
              <w:t>:  This policy applies even when the current level of severity of the NSC disability is 100 percent.</w:t>
            </w:r>
          </w:p>
          <w:p w14:paraId="7E0066E1" w14:textId="77777777" w:rsidR="007570FD" w:rsidRPr="004A49EF" w:rsidRDefault="007570FD">
            <w:pPr>
              <w:pStyle w:val="BlockText"/>
            </w:pPr>
          </w:p>
          <w:p w14:paraId="4FC5CDBA" w14:textId="25176837" w:rsidR="007570FD" w:rsidRPr="004A49EF" w:rsidRDefault="00C13594" w:rsidP="00C13594">
            <w:pPr>
              <w:pStyle w:val="BlockText"/>
              <w:rPr>
                <w:iCs/>
              </w:rPr>
            </w:pPr>
            <w:r w:rsidRPr="004A49EF">
              <w:rPr>
                <w:b/>
                <w:i/>
              </w:rPr>
              <w:t>Important</w:t>
            </w:r>
            <w:r w:rsidRPr="004A49EF">
              <w:t xml:space="preserve">: </w:t>
            </w:r>
            <w:r w:rsidR="00663E44" w:rsidRPr="004A49EF">
              <w:t xml:space="preserve"> Whenever</w:t>
            </w:r>
            <w:r w:rsidR="007570FD" w:rsidRPr="004A49EF">
              <w:t xml:space="preserve"> </w:t>
            </w:r>
            <w:r w:rsidRPr="004A49EF">
              <w:t>there is competent and credible evidence of an increase in severity of the disability from the baseline</w:t>
            </w:r>
            <w:r w:rsidR="00873DA4" w:rsidRPr="004A49EF">
              <w:t>, satisfying the guidance in this topic,</w:t>
            </w:r>
            <w:r w:rsidRPr="004A49EF">
              <w:t xml:space="preserve"> </w:t>
            </w:r>
            <w:r w:rsidR="007570FD" w:rsidRPr="004A49EF">
              <w:t xml:space="preserve">but the current and baseline disability would be assigned the same level of evaluation under </w:t>
            </w:r>
            <w:hyperlink r:id="rId146" w:history="1">
              <w:r w:rsidR="007570FD" w:rsidRPr="004A49EF">
                <w:rPr>
                  <w:rStyle w:val="Hyperlink"/>
                </w:rPr>
                <w:t>38 CFR Part 4</w:t>
              </w:r>
            </w:hyperlink>
            <w:r w:rsidR="007570FD" w:rsidRPr="004A49EF">
              <w:t xml:space="preserve">, </w:t>
            </w:r>
            <w:r w:rsidR="007570FD" w:rsidRPr="004A49EF">
              <w:rPr>
                <w:i/>
                <w:iCs/>
              </w:rPr>
              <w:t xml:space="preserve">Schedule for Rating </w:t>
            </w:r>
            <w:r w:rsidR="007570FD" w:rsidRPr="004A49EF">
              <w:rPr>
                <w:i/>
                <w:iCs/>
              </w:rPr>
              <w:lastRenderedPageBreak/>
              <w:t>Disabilities</w:t>
            </w:r>
            <w:r w:rsidR="00873DA4" w:rsidRPr="004A49EF">
              <w:rPr>
                <w:iCs/>
              </w:rPr>
              <w:t>,</w:t>
            </w:r>
            <w:r w:rsidR="007570FD" w:rsidRPr="004A49EF">
              <w:rPr>
                <w:iCs/>
              </w:rPr>
              <w:t xml:space="preserve"> </w:t>
            </w:r>
            <w:r w:rsidR="007570FD" w:rsidRPr="004A49EF">
              <w:t xml:space="preserve">grant </w:t>
            </w:r>
            <w:r w:rsidR="00873DA4" w:rsidRPr="004A49EF">
              <w:t>SC</w:t>
            </w:r>
            <w:r w:rsidR="007570FD" w:rsidRPr="004A49EF">
              <w:t xml:space="preserve"> and assign a noncompensable evaluation.  </w:t>
            </w:r>
            <w:r w:rsidRPr="004A49EF">
              <w:t>T</w:t>
            </w:r>
            <w:r w:rsidR="00873DA4" w:rsidRPr="004A49EF">
              <w:t>o</w:t>
            </w:r>
            <w:r w:rsidRPr="004A49EF">
              <w:t xml:space="preserve"> </w:t>
            </w:r>
            <w:r w:rsidR="00873DA4" w:rsidRPr="004A49EF">
              <w:t xml:space="preserve">justify SC, the degree of disability after </w:t>
            </w:r>
            <w:r w:rsidRPr="004A49EF">
              <w:t>aggravation does not have to be at least one</w:t>
            </w:r>
            <w:r w:rsidR="00873DA4" w:rsidRPr="004A49EF">
              <w:t xml:space="preserve"> </w:t>
            </w:r>
            <w:r w:rsidRPr="004A49EF">
              <w:t>level of evaluation</w:t>
            </w:r>
            <w:r w:rsidR="00873DA4" w:rsidRPr="004A49EF">
              <w:t xml:space="preserve"> higher than the baseline</w:t>
            </w:r>
            <w:r w:rsidRPr="004A49EF">
              <w:rPr>
                <w:iCs/>
              </w:rPr>
              <w:t>.</w:t>
            </w:r>
            <w:r w:rsidR="00873DA4" w:rsidRPr="004A49EF">
              <w:rPr>
                <w:iCs/>
              </w:rPr>
              <w:t xml:space="preserve">  </w:t>
            </w:r>
          </w:p>
          <w:p w14:paraId="727225E5" w14:textId="77777777" w:rsidR="00C13594" w:rsidRPr="004A49EF" w:rsidRDefault="00C13594" w:rsidP="00C13594">
            <w:pPr>
              <w:pStyle w:val="BlockText"/>
            </w:pPr>
          </w:p>
          <w:p w14:paraId="78F28749" w14:textId="5B864FE7" w:rsidR="00C13594" w:rsidRPr="004A49EF" w:rsidRDefault="00C13594" w:rsidP="00873DA4">
            <w:pPr>
              <w:pStyle w:val="BlockText"/>
            </w:pPr>
            <w:r w:rsidRPr="004A49EF">
              <w:rPr>
                <w:b/>
                <w:i/>
              </w:rPr>
              <w:t>Example</w:t>
            </w:r>
            <w:r w:rsidRPr="004A49EF">
              <w:t xml:space="preserve">:  </w:t>
            </w:r>
            <w:r w:rsidR="00873DA4" w:rsidRPr="004A49EF">
              <w:t>T</w:t>
            </w:r>
            <w:r w:rsidRPr="004A49EF">
              <w:t>he medical e</w:t>
            </w:r>
            <w:r w:rsidR="00873DA4" w:rsidRPr="004A49EF">
              <w:t xml:space="preserve">xaminer clearly states that the NSC disability </w:t>
            </w:r>
            <w:r w:rsidRPr="004A49EF">
              <w:t xml:space="preserve">was </w:t>
            </w:r>
            <w:r w:rsidR="00873DA4" w:rsidRPr="004A49EF">
              <w:t xml:space="preserve">aggravated by the SC </w:t>
            </w:r>
            <w:r w:rsidRPr="004A49EF">
              <w:t>disability</w:t>
            </w:r>
            <w:r w:rsidR="00873DA4" w:rsidRPr="004A49EF">
              <w:t>.</w:t>
            </w:r>
            <w:r w:rsidRPr="004A49EF">
              <w:t xml:space="preserve"> </w:t>
            </w:r>
            <w:r w:rsidR="00873DA4" w:rsidRPr="004A49EF">
              <w:t xml:space="preserve"> T</w:t>
            </w:r>
            <w:r w:rsidRPr="004A49EF">
              <w:t>he medical evidence shows that the baseline level of disability corresponds to 0 percent and the current level of severity after aggravation corresponds to 0</w:t>
            </w:r>
            <w:r w:rsidR="00873DA4" w:rsidRPr="004A49EF">
              <w:t xml:space="preserve"> percent under </w:t>
            </w:r>
            <w:hyperlink r:id="rId147" w:history="1">
              <w:r w:rsidR="00873DA4" w:rsidRPr="004A49EF">
                <w:rPr>
                  <w:rStyle w:val="Hyperlink"/>
                </w:rPr>
                <w:t>38 CFR Part 4</w:t>
              </w:r>
            </w:hyperlink>
            <w:r w:rsidR="00873DA4" w:rsidRPr="004A49EF">
              <w:t xml:space="preserve">, </w:t>
            </w:r>
            <w:r w:rsidR="00873DA4" w:rsidRPr="004A49EF">
              <w:rPr>
                <w:i/>
                <w:iCs/>
              </w:rPr>
              <w:t>Schedule for Rating Disabilities</w:t>
            </w:r>
            <w:r w:rsidR="00873DA4" w:rsidRPr="004A49EF">
              <w:t xml:space="preserve">.  It is appropriate to find that there was aggravation.  Grant SC and assign a noncompensable evaluation.  </w:t>
            </w:r>
          </w:p>
        </w:tc>
      </w:tr>
    </w:tbl>
    <w:p w14:paraId="3F2427D9" w14:textId="77777777" w:rsidR="009576AB" w:rsidRPr="004A49EF" w:rsidRDefault="009576AB">
      <w:pPr>
        <w:pStyle w:val="BlockLine"/>
      </w:pPr>
      <w:r w:rsidRPr="004A49EF">
        <w:lastRenderedPageBreak/>
        <w:t xml:space="preserve"> </w:t>
      </w:r>
    </w:p>
    <w:p w14:paraId="69198EB0" w14:textId="7249617B" w:rsidR="009576AB" w:rsidRPr="004A49EF" w:rsidRDefault="009576AB">
      <w:pPr>
        <w:pStyle w:val="Heading4"/>
      </w:pPr>
      <w:r w:rsidRPr="004A49EF">
        <w:br w:type="page"/>
      </w:r>
      <w:r w:rsidR="008472D0" w:rsidRPr="004A49EF">
        <w:lastRenderedPageBreak/>
        <w:t>6</w:t>
      </w:r>
      <w:r w:rsidRPr="004A49EF">
        <w:t>.  Determining SC for Congenital, Developmental, or Hereditary Disorders</w:t>
      </w:r>
    </w:p>
    <w:p w14:paraId="1483F47F" w14:textId="3FDFB591"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03421163" w14:textId="77777777">
        <w:trPr>
          <w:cantSplit/>
        </w:trPr>
        <w:tc>
          <w:tcPr>
            <w:tcW w:w="1728" w:type="dxa"/>
          </w:tcPr>
          <w:p w14:paraId="25475799" w14:textId="77777777" w:rsidR="009576AB" w:rsidRPr="004A49EF" w:rsidRDefault="009576AB">
            <w:pPr>
              <w:pStyle w:val="Heading5"/>
            </w:pPr>
            <w:r w:rsidRPr="004A49EF">
              <w:t>Introduction</w:t>
            </w:r>
          </w:p>
        </w:tc>
        <w:tc>
          <w:tcPr>
            <w:tcW w:w="7740" w:type="dxa"/>
          </w:tcPr>
          <w:p w14:paraId="3CF8498C" w14:textId="6F26A985" w:rsidR="009576AB" w:rsidRPr="004A49EF" w:rsidRDefault="009576AB">
            <w:pPr>
              <w:pStyle w:val="BlockText"/>
            </w:pPr>
            <w:r w:rsidRPr="004A49EF">
              <w:t xml:space="preserve">This topic contains information on determining </w:t>
            </w:r>
            <w:r w:rsidR="002B4723" w:rsidRPr="004A49EF">
              <w:t>SC</w:t>
            </w:r>
            <w:r w:rsidRPr="004A49EF">
              <w:t xml:space="preserve"> for congenital, developmental, or hereditary disorders, including</w:t>
            </w:r>
          </w:p>
          <w:p w14:paraId="1C2A45D8" w14:textId="77777777" w:rsidR="009576AB" w:rsidRPr="004A49EF" w:rsidRDefault="009576AB">
            <w:pPr>
              <w:pStyle w:val="BlockText"/>
            </w:pPr>
          </w:p>
          <w:p w14:paraId="1CC63BF9" w14:textId="77777777" w:rsidR="009576AB" w:rsidRPr="004A49EF" w:rsidRDefault="009576AB" w:rsidP="00E15E03">
            <w:pPr>
              <w:pStyle w:val="BulletText1"/>
              <w:tabs>
                <w:tab w:val="clear" w:pos="443"/>
                <w:tab w:val="num" w:pos="162"/>
              </w:tabs>
              <w:ind w:left="162"/>
            </w:pPr>
            <w:r w:rsidRPr="004A49EF">
              <w:t>the definition of congenital or developmental defects</w:t>
            </w:r>
          </w:p>
          <w:p w14:paraId="7BF78463" w14:textId="39423B2B" w:rsidR="009576AB" w:rsidRPr="004A49EF" w:rsidRDefault="009576AB" w:rsidP="00E15E03">
            <w:pPr>
              <w:pStyle w:val="BulletText1"/>
              <w:tabs>
                <w:tab w:val="clear" w:pos="443"/>
                <w:tab w:val="num" w:pos="162"/>
              </w:tabs>
              <w:ind w:left="162"/>
            </w:pPr>
            <w:r w:rsidRPr="004A49EF">
              <w:t xml:space="preserve">establishing </w:t>
            </w:r>
            <w:r w:rsidR="002B4723" w:rsidRPr="004A49EF">
              <w:t>SC</w:t>
            </w:r>
            <w:r w:rsidR="00550EB6" w:rsidRPr="004A49EF">
              <w:t xml:space="preserve"> for congenital, developmental, or hereditary disorders</w:t>
            </w:r>
          </w:p>
          <w:p w14:paraId="619ECE5D" w14:textId="77777777" w:rsidR="009576AB" w:rsidRPr="004A49EF" w:rsidRDefault="009576AB" w:rsidP="00E15E03">
            <w:pPr>
              <w:pStyle w:val="BulletText1"/>
              <w:tabs>
                <w:tab w:val="clear" w:pos="443"/>
                <w:tab w:val="num" w:pos="162"/>
              </w:tabs>
              <w:ind w:left="162"/>
            </w:pPr>
            <w:r w:rsidRPr="004A49EF">
              <w:t>considering the development of symptoms of hereditary disease in service, and</w:t>
            </w:r>
          </w:p>
          <w:p w14:paraId="245F9E21" w14:textId="77777777" w:rsidR="009576AB" w:rsidRPr="004A49EF" w:rsidRDefault="0079613C" w:rsidP="00523094">
            <w:pPr>
              <w:pStyle w:val="ListParagraph"/>
              <w:numPr>
                <w:ilvl w:val="0"/>
                <w:numId w:val="36"/>
              </w:numPr>
              <w:ind w:left="158" w:hanging="187"/>
            </w:pPr>
            <w:r w:rsidRPr="004A49EF">
              <w:t xml:space="preserve">considering the </w:t>
            </w:r>
            <w:r w:rsidR="009576AB" w:rsidRPr="004A49EF">
              <w:t>aggravation of a hereditary disease in service.</w:t>
            </w:r>
          </w:p>
        </w:tc>
      </w:tr>
    </w:tbl>
    <w:p w14:paraId="18A1BBB0" w14:textId="77777777"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3D517A4C" w14:textId="77777777">
        <w:trPr>
          <w:cantSplit/>
        </w:trPr>
        <w:tc>
          <w:tcPr>
            <w:tcW w:w="1728" w:type="dxa"/>
          </w:tcPr>
          <w:p w14:paraId="0FAA15AD" w14:textId="77777777" w:rsidR="009576AB" w:rsidRPr="004A49EF" w:rsidRDefault="009576AB">
            <w:pPr>
              <w:pStyle w:val="Heading5"/>
            </w:pPr>
            <w:r w:rsidRPr="004A49EF">
              <w:t>Change Date</w:t>
            </w:r>
          </w:p>
        </w:tc>
        <w:tc>
          <w:tcPr>
            <w:tcW w:w="7740" w:type="dxa"/>
          </w:tcPr>
          <w:p w14:paraId="0B0E43F3" w14:textId="158B811C" w:rsidR="009576AB" w:rsidRPr="004A49EF" w:rsidRDefault="00C7538A">
            <w:pPr>
              <w:pStyle w:val="BlockText"/>
            </w:pPr>
            <w:r w:rsidRPr="004A49EF">
              <w:t>July 8, 2015</w:t>
            </w:r>
          </w:p>
        </w:tc>
      </w:tr>
    </w:tbl>
    <w:p w14:paraId="79CD9836" w14:textId="04454A94"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63351ACD" w14:textId="77777777">
        <w:trPr>
          <w:cantSplit/>
        </w:trPr>
        <w:tc>
          <w:tcPr>
            <w:tcW w:w="1728" w:type="dxa"/>
          </w:tcPr>
          <w:p w14:paraId="5F555151" w14:textId="77777777" w:rsidR="009576AB" w:rsidRPr="004A49EF" w:rsidRDefault="009576AB">
            <w:pPr>
              <w:pStyle w:val="Heading5"/>
            </w:pPr>
            <w:r w:rsidRPr="004A49EF">
              <w:t>a.  Definition</w:t>
            </w:r>
            <w:r w:rsidR="005745F6" w:rsidRPr="004A49EF">
              <w:t>:</w:t>
            </w:r>
            <w:r w:rsidRPr="004A49EF">
              <w:t xml:space="preserve">  Congenital or Developmental Defects</w:t>
            </w:r>
          </w:p>
        </w:tc>
        <w:tc>
          <w:tcPr>
            <w:tcW w:w="7740" w:type="dxa"/>
          </w:tcPr>
          <w:p w14:paraId="671D7A72" w14:textId="569C36C3" w:rsidR="009576AB" w:rsidRPr="004A49EF" w:rsidRDefault="00D95B6C">
            <w:pPr>
              <w:pStyle w:val="BlockText"/>
            </w:pPr>
            <w:r w:rsidRPr="004A49EF">
              <w:rPr>
                <w:b/>
                <w:i/>
              </w:rPr>
              <w:t>C</w:t>
            </w:r>
            <w:r w:rsidR="009576AB" w:rsidRPr="004A49EF">
              <w:rPr>
                <w:b/>
                <w:i/>
              </w:rPr>
              <w:t xml:space="preserve">ongenital </w:t>
            </w:r>
            <w:r w:rsidR="009576AB" w:rsidRPr="004A49EF">
              <w:t>or</w:t>
            </w:r>
            <w:r w:rsidR="009576AB" w:rsidRPr="004A49EF">
              <w:rPr>
                <w:b/>
                <w:i/>
              </w:rPr>
              <w:t xml:space="preserve"> developmental defects</w:t>
            </w:r>
            <w:r w:rsidR="009576AB" w:rsidRPr="004A49EF">
              <w:t xml:space="preserve"> </w:t>
            </w:r>
            <w:r w:rsidR="00E82CF6" w:rsidRPr="004A49EF">
              <w:t>refer to</w:t>
            </w:r>
            <w:r w:rsidR="009576AB" w:rsidRPr="004A49EF">
              <w:t xml:space="preserve"> normally static</w:t>
            </w:r>
            <w:r w:rsidR="002B4723" w:rsidRPr="004A49EF">
              <w:t>,</w:t>
            </w:r>
            <w:r w:rsidR="009576AB" w:rsidRPr="004A49EF">
              <w:t xml:space="preserve"> </w:t>
            </w:r>
            <w:r w:rsidR="004B6722" w:rsidRPr="004A49EF">
              <w:t xml:space="preserve">structural or inherent body abnormalities </w:t>
            </w:r>
            <w:r w:rsidR="002B4723" w:rsidRPr="004A49EF">
              <w:t xml:space="preserve">which </w:t>
            </w:r>
            <w:r w:rsidR="00E82CF6" w:rsidRPr="004A49EF">
              <w:t>are typically present at</w:t>
            </w:r>
            <w:r w:rsidR="00AA0DF5" w:rsidRPr="004A49EF">
              <w:t xml:space="preserve"> birth </w:t>
            </w:r>
            <w:r w:rsidR="004B6722" w:rsidRPr="004A49EF">
              <w:t xml:space="preserve">and are generally </w:t>
            </w:r>
            <w:r w:rsidR="009576AB" w:rsidRPr="004A49EF">
              <w:t xml:space="preserve">incapable of improvement or deterioration. </w:t>
            </w:r>
            <w:r w:rsidR="00267DB6" w:rsidRPr="004A49EF">
              <w:t xml:space="preserve"> These include </w:t>
            </w:r>
            <w:r w:rsidR="003940EB" w:rsidRPr="004A49EF">
              <w:t>vertebral an</w:t>
            </w:r>
            <w:r w:rsidR="00CF46C8" w:rsidRPr="004A49EF">
              <w:t>o</w:t>
            </w:r>
            <w:r w:rsidR="003940EB" w:rsidRPr="004A49EF">
              <w:t>m</w:t>
            </w:r>
            <w:r w:rsidR="00CF46C8" w:rsidRPr="004A49EF">
              <w:t>a</w:t>
            </w:r>
            <w:r w:rsidR="003940EB" w:rsidRPr="004A49EF">
              <w:t xml:space="preserve">lies </w:t>
            </w:r>
            <w:r w:rsidR="00CF46C8" w:rsidRPr="004A49EF">
              <w:t>such as block (fused) vertebrae</w:t>
            </w:r>
            <w:r w:rsidR="00267DB6" w:rsidRPr="004A49EF">
              <w:t xml:space="preserve">, </w:t>
            </w:r>
            <w:r w:rsidR="003940EB" w:rsidRPr="004A49EF">
              <w:t xml:space="preserve">atrial septal defect, </w:t>
            </w:r>
            <w:r w:rsidR="00267DB6" w:rsidRPr="004A49EF">
              <w:t>pectus excavatum</w:t>
            </w:r>
            <w:r w:rsidR="00D30DBF" w:rsidRPr="004A49EF">
              <w:t>,</w:t>
            </w:r>
            <w:r w:rsidR="00267DB6" w:rsidRPr="004A49EF">
              <w:t xml:space="preserve"> and undescended testicle</w:t>
            </w:r>
            <w:r w:rsidR="00077769" w:rsidRPr="004A49EF">
              <w:t>s</w:t>
            </w:r>
            <w:r w:rsidR="00CF46C8" w:rsidRPr="004A49EF">
              <w:t>.</w:t>
            </w:r>
          </w:p>
          <w:p w14:paraId="70EF6870" w14:textId="77777777" w:rsidR="00AA0DF5" w:rsidRPr="004A49EF" w:rsidRDefault="00AA0DF5">
            <w:pPr>
              <w:pStyle w:val="BlockText"/>
            </w:pPr>
          </w:p>
          <w:p w14:paraId="2B8688A6" w14:textId="56B6D3D9" w:rsidR="009576AB" w:rsidRPr="004A49EF" w:rsidRDefault="00812112" w:rsidP="00577A9F">
            <w:pPr>
              <w:pStyle w:val="BlockText"/>
            </w:pPr>
            <w:r w:rsidRPr="004A49EF">
              <w:rPr>
                <w:b/>
                <w:i/>
              </w:rPr>
              <w:t>Note</w:t>
            </w:r>
            <w:r w:rsidRPr="004A49EF">
              <w:t xml:space="preserve">: A developmental or hereditary </w:t>
            </w:r>
            <w:r w:rsidRPr="004A49EF">
              <w:rPr>
                <w:i/>
              </w:rPr>
              <w:t>disease</w:t>
            </w:r>
            <w:r w:rsidR="004B6722" w:rsidRPr="004A49EF">
              <w:t>, such as retinitis pigmentosa, polycystic kidney disease, sickle cell disease, or Huntington’s chorea</w:t>
            </w:r>
            <w:r w:rsidR="00D30DBF" w:rsidRPr="004A49EF">
              <w:t>,</w:t>
            </w:r>
            <w:r w:rsidR="004B6722" w:rsidRPr="004A49EF">
              <w:t xml:space="preserve"> </w:t>
            </w:r>
            <w:r w:rsidR="00B13530" w:rsidRPr="004A49EF">
              <w:t xml:space="preserve">may appear in adulthood and </w:t>
            </w:r>
            <w:r w:rsidR="004B6722" w:rsidRPr="004A49EF">
              <w:t>are</w:t>
            </w:r>
            <w:r w:rsidR="00577A9F" w:rsidRPr="004A49EF">
              <w:t xml:space="preserve"> </w:t>
            </w:r>
            <w:r w:rsidR="004B6722" w:rsidRPr="004A49EF">
              <w:t xml:space="preserve">capable of improvement or deterioration. </w:t>
            </w:r>
            <w:r w:rsidR="00B13530" w:rsidRPr="004A49EF">
              <w:t xml:space="preserve"> </w:t>
            </w:r>
          </w:p>
        </w:tc>
      </w:tr>
    </w:tbl>
    <w:p w14:paraId="075203CA" w14:textId="714ACD81"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52AD3D5C" w14:textId="77777777" w:rsidTr="00B309E8">
        <w:tc>
          <w:tcPr>
            <w:tcW w:w="1728" w:type="dxa"/>
          </w:tcPr>
          <w:p w14:paraId="706823A3" w14:textId="33A6209F" w:rsidR="009576AB" w:rsidRPr="004A49EF" w:rsidRDefault="009576AB" w:rsidP="00B309E8">
            <w:pPr>
              <w:pStyle w:val="Heading5"/>
            </w:pPr>
            <w:r w:rsidRPr="004A49EF">
              <w:t>b.  Establishing SC</w:t>
            </w:r>
            <w:r w:rsidR="00550EB6" w:rsidRPr="004A49EF">
              <w:t xml:space="preserve"> for Congenital, Developmental, or Hereditary Disorders </w:t>
            </w:r>
          </w:p>
        </w:tc>
        <w:tc>
          <w:tcPr>
            <w:tcW w:w="7740" w:type="dxa"/>
          </w:tcPr>
          <w:p w14:paraId="662C1A73" w14:textId="38A798E4" w:rsidR="00AA0DF5" w:rsidRPr="004A49EF" w:rsidRDefault="00AA0DF5">
            <w:pPr>
              <w:pStyle w:val="BlockText"/>
            </w:pPr>
            <w:r w:rsidRPr="004A49EF">
              <w:t xml:space="preserve">Congenital or developmental </w:t>
            </w:r>
            <w:r w:rsidRPr="004A49EF">
              <w:rPr>
                <w:i/>
              </w:rPr>
              <w:t>defects</w:t>
            </w:r>
            <w:r w:rsidRPr="004A49EF">
              <w:t xml:space="preserve">, refractive error of the eye, personality disorders and mental deficiency are not </w:t>
            </w:r>
            <w:r w:rsidR="00B309E8" w:rsidRPr="004A49EF">
              <w:t xml:space="preserve">considered </w:t>
            </w:r>
            <w:r w:rsidRPr="004A49EF">
              <w:t xml:space="preserve">diseases or injuries </w:t>
            </w:r>
            <w:r w:rsidR="00D30DBF" w:rsidRPr="004A49EF">
              <w:t>under</w:t>
            </w:r>
            <w:r w:rsidRPr="004A49EF">
              <w:t xml:space="preserve"> </w:t>
            </w:r>
            <w:hyperlink r:id="rId148" w:history="1">
              <w:r w:rsidRPr="004A49EF">
                <w:rPr>
                  <w:rStyle w:val="Hyperlink"/>
                </w:rPr>
                <w:t>38 CFR 3.303(c).</w:t>
              </w:r>
            </w:hyperlink>
          </w:p>
          <w:p w14:paraId="44FF9FBE" w14:textId="77777777" w:rsidR="00AA0DF5" w:rsidRPr="004A49EF" w:rsidRDefault="00AA0DF5">
            <w:pPr>
              <w:pStyle w:val="BlockText"/>
            </w:pPr>
          </w:p>
          <w:p w14:paraId="2308DEB9" w14:textId="2972C524" w:rsidR="009576AB" w:rsidRPr="004A49EF" w:rsidRDefault="00AA0DF5">
            <w:pPr>
              <w:pStyle w:val="BlockText"/>
            </w:pPr>
            <w:r w:rsidRPr="004A49EF">
              <w:t>However,</w:t>
            </w:r>
            <w:r w:rsidR="00A55E37" w:rsidRPr="004A49EF">
              <w:t xml:space="preserve"> </w:t>
            </w:r>
            <w:r w:rsidR="00B309E8" w:rsidRPr="004A49EF">
              <w:t>establish SC</w:t>
            </w:r>
            <w:r w:rsidRPr="004A49EF">
              <w:t xml:space="preserve">, </w:t>
            </w:r>
            <w:r w:rsidR="009576AB" w:rsidRPr="004A49EF">
              <w:t>if warranted, for</w:t>
            </w:r>
          </w:p>
          <w:p w14:paraId="265532FB" w14:textId="77777777" w:rsidR="009576AB" w:rsidRPr="004A49EF" w:rsidRDefault="009576AB" w:rsidP="00E15E03">
            <w:pPr>
              <w:pStyle w:val="BulletText1"/>
              <w:tabs>
                <w:tab w:val="clear" w:pos="443"/>
                <w:tab w:val="num" w:pos="162"/>
              </w:tabs>
              <w:ind w:left="162"/>
            </w:pPr>
            <w:r w:rsidRPr="004A49EF">
              <w:t>diseases of congenital, developmental, or familial, hereditary origin that</w:t>
            </w:r>
          </w:p>
          <w:p w14:paraId="2D917D82" w14:textId="77777777" w:rsidR="009576AB" w:rsidRPr="004A49EF" w:rsidRDefault="009576AB">
            <w:pPr>
              <w:pStyle w:val="BulletText2"/>
            </w:pPr>
            <w:r w:rsidRPr="004A49EF">
              <w:t>first manifest themselves during service, or</w:t>
            </w:r>
          </w:p>
          <w:p w14:paraId="4188B227" w14:textId="6533B754" w:rsidR="009576AB" w:rsidRPr="004A49EF" w:rsidRDefault="009576AB">
            <w:pPr>
              <w:pStyle w:val="BulletText2"/>
            </w:pPr>
            <w:r w:rsidRPr="004A49EF">
              <w:t>pre</w:t>
            </w:r>
            <w:r w:rsidR="00FD15B0" w:rsidRPr="004A49EF">
              <w:t>-</w:t>
            </w:r>
            <w:r w:rsidRPr="004A49EF">
              <w:t>exist service and progress at an abnormally high rate during service</w:t>
            </w:r>
          </w:p>
          <w:p w14:paraId="0ACBFD37" w14:textId="26B2270A" w:rsidR="006A02A9" w:rsidRPr="004A49EF" w:rsidRDefault="009576AB" w:rsidP="00E15E03">
            <w:pPr>
              <w:pStyle w:val="BulletText1"/>
              <w:tabs>
                <w:tab w:val="clear" w:pos="443"/>
                <w:tab w:val="num" w:pos="162"/>
              </w:tabs>
              <w:ind w:left="162"/>
            </w:pPr>
            <w:r w:rsidRPr="004A49EF">
              <w:t xml:space="preserve">a hereditary or familial disease that first became manifest to a compensable degree within the presumptive period following discharge from service pursuant to </w:t>
            </w:r>
            <w:hyperlink r:id="rId149" w:history="1">
              <w:r w:rsidRPr="004A49EF">
                <w:rPr>
                  <w:rStyle w:val="Hyperlink"/>
                </w:rPr>
                <w:t>38 CFR 3.309(a)</w:t>
              </w:r>
            </w:hyperlink>
            <w:r w:rsidRPr="004A49EF">
              <w:t xml:space="preserve">, provided the rebuttable presumption provisions of </w:t>
            </w:r>
            <w:hyperlink r:id="rId150" w:history="1">
              <w:r w:rsidR="001D2897" w:rsidRPr="004A49EF">
                <w:rPr>
                  <w:rStyle w:val="Hyperlink"/>
                </w:rPr>
                <w:t>38 CFR 3.307</w:t>
              </w:r>
            </w:hyperlink>
            <w:r w:rsidRPr="004A49EF">
              <w:t xml:space="preserve"> are satisfied</w:t>
            </w:r>
            <w:r w:rsidR="006A02A9" w:rsidRPr="004A49EF">
              <w:t>, and</w:t>
            </w:r>
          </w:p>
          <w:p w14:paraId="34275869" w14:textId="50E97173" w:rsidR="009576AB" w:rsidRPr="004A49EF" w:rsidRDefault="006A02A9" w:rsidP="00E15E03">
            <w:pPr>
              <w:pStyle w:val="BulletText1"/>
              <w:tabs>
                <w:tab w:val="clear" w:pos="443"/>
                <w:tab w:val="num" w:pos="162"/>
              </w:tabs>
              <w:ind w:left="162"/>
            </w:pPr>
            <w:r w:rsidRPr="004A49EF">
              <w:t>disabilities resulting from an overlying injury or disease of a congenital defect</w:t>
            </w:r>
            <w:r w:rsidR="009576AB" w:rsidRPr="004A49EF">
              <w:t>.</w:t>
            </w:r>
          </w:p>
          <w:p w14:paraId="6477909B" w14:textId="4418B45C" w:rsidR="009576AB" w:rsidRPr="004A49EF" w:rsidRDefault="009576AB">
            <w:pPr>
              <w:pStyle w:val="BlockText"/>
            </w:pPr>
          </w:p>
          <w:p w14:paraId="7D92D89E" w14:textId="03B1A79F" w:rsidR="009720CA" w:rsidRPr="004A49EF" w:rsidRDefault="009720CA">
            <w:pPr>
              <w:pStyle w:val="BlockText"/>
            </w:pPr>
            <w:r w:rsidRPr="004A49EF">
              <w:rPr>
                <w:b/>
                <w:i/>
              </w:rPr>
              <w:t>Note</w:t>
            </w:r>
            <w:r w:rsidRPr="004A49EF">
              <w:t xml:space="preserve">:  </w:t>
            </w:r>
            <w:hyperlink r:id="rId151" w:history="1">
              <w:proofErr w:type="spellStart"/>
              <w:r w:rsidRPr="004A49EF">
                <w:rPr>
                  <w:rStyle w:val="Hyperlink"/>
                </w:rPr>
                <w:t>VAOPGCPREC</w:t>
              </w:r>
              <w:proofErr w:type="spellEnd"/>
              <w:r w:rsidRPr="004A49EF">
                <w:rPr>
                  <w:rStyle w:val="Hyperlink"/>
                </w:rPr>
                <w:t xml:space="preserve"> 11-99</w:t>
              </w:r>
            </w:hyperlink>
            <w:r w:rsidRPr="004A49EF">
              <w:t xml:space="preserve"> held that </w:t>
            </w:r>
            <w:proofErr w:type="spellStart"/>
            <w:r w:rsidRPr="004A49EF">
              <w:t>M21</w:t>
            </w:r>
            <w:proofErr w:type="spellEnd"/>
            <w:r w:rsidRPr="004A49EF">
              <w:t xml:space="preserve">-1 provisions created in 1964 did not preclude awarding </w:t>
            </w:r>
            <w:r w:rsidR="00F03DFD" w:rsidRPr="004A49EF">
              <w:t>SC</w:t>
            </w:r>
            <w:r w:rsidRPr="004A49EF">
              <w:t xml:space="preserve"> for in-service aggravation of pre-existing retinitis pigmentosa. </w:t>
            </w:r>
            <w:r w:rsidR="00D30DBF" w:rsidRPr="004A49EF">
              <w:t xml:space="preserve"> </w:t>
            </w:r>
            <w:r w:rsidRPr="004A49EF">
              <w:t xml:space="preserve">Therefore, subsequent VA GC </w:t>
            </w:r>
            <w:r w:rsidR="00C56953" w:rsidRPr="004A49EF">
              <w:t>P</w:t>
            </w:r>
            <w:r w:rsidRPr="004A49EF">
              <w:t xml:space="preserve">recedent </w:t>
            </w:r>
            <w:r w:rsidR="00C56953" w:rsidRPr="004A49EF">
              <w:t>O</w:t>
            </w:r>
            <w:r w:rsidRPr="004A49EF">
              <w:t xml:space="preserve">pinions and </w:t>
            </w:r>
            <w:proofErr w:type="spellStart"/>
            <w:r w:rsidRPr="004A49EF">
              <w:t>M21</w:t>
            </w:r>
            <w:proofErr w:type="spellEnd"/>
            <w:r w:rsidRPr="004A49EF">
              <w:t xml:space="preserve">-1 changes </w:t>
            </w:r>
            <w:proofErr w:type="gramStart"/>
            <w:r w:rsidRPr="004A49EF">
              <w:t>cannot be considered</w:t>
            </w:r>
            <w:proofErr w:type="gramEnd"/>
            <w:r w:rsidRPr="004A49EF">
              <w:t xml:space="preserve"> liberalizing changes.  </w:t>
            </w:r>
          </w:p>
          <w:p w14:paraId="058D0F5A" w14:textId="77777777" w:rsidR="009720CA" w:rsidRPr="004A49EF" w:rsidRDefault="009720CA">
            <w:pPr>
              <w:pStyle w:val="BlockText"/>
            </w:pPr>
          </w:p>
          <w:p w14:paraId="0F929D08" w14:textId="76EBE59A" w:rsidR="00CA05DC" w:rsidRPr="004A49EF" w:rsidRDefault="009576AB" w:rsidP="00004A68">
            <w:pPr>
              <w:pStyle w:val="BlockText"/>
            </w:pPr>
            <w:r w:rsidRPr="004A49EF">
              <w:rPr>
                <w:b/>
                <w:i/>
              </w:rPr>
              <w:lastRenderedPageBreak/>
              <w:t>Reference</w:t>
            </w:r>
            <w:r w:rsidRPr="004A49EF">
              <w:t>:  For more information on</w:t>
            </w:r>
            <w:r w:rsidR="00602A45" w:rsidRPr="004A49EF">
              <w:t xml:space="preserve"> claims for</w:t>
            </w:r>
            <w:r w:rsidRPr="004A49EF">
              <w:t xml:space="preserve"> </w:t>
            </w:r>
            <w:r w:rsidR="00F03DFD" w:rsidRPr="004A49EF">
              <w:t>SC</w:t>
            </w:r>
            <w:r w:rsidRPr="004A49EF">
              <w:t xml:space="preserve"> </w:t>
            </w:r>
            <w:r w:rsidR="00602A45" w:rsidRPr="004A49EF">
              <w:t>involving congenital and developmental defects and d</w:t>
            </w:r>
            <w:r w:rsidRPr="004A49EF">
              <w:t>iseases of familial or hereditary origin, see</w:t>
            </w:r>
          </w:p>
          <w:p w14:paraId="069EEB44" w14:textId="09EA2E52" w:rsidR="00F61144" w:rsidRPr="004A49EF" w:rsidRDefault="00C315F8" w:rsidP="00523094">
            <w:pPr>
              <w:pStyle w:val="ListParagraph"/>
              <w:numPr>
                <w:ilvl w:val="0"/>
                <w:numId w:val="37"/>
              </w:numPr>
              <w:ind w:left="158" w:hanging="187"/>
            </w:pPr>
            <w:hyperlink r:id="rId152" w:history="1">
              <w:proofErr w:type="spellStart"/>
              <w:r w:rsidR="009576AB" w:rsidRPr="004A49EF">
                <w:rPr>
                  <w:rStyle w:val="Hyperlink"/>
                  <w:iCs/>
                </w:rPr>
                <w:t>VAOPGCPREC</w:t>
              </w:r>
              <w:proofErr w:type="spellEnd"/>
              <w:r w:rsidR="009576AB" w:rsidRPr="004A49EF">
                <w:rPr>
                  <w:rStyle w:val="Hyperlink"/>
                  <w:iCs/>
                </w:rPr>
                <w:t xml:space="preserve"> 1-90</w:t>
              </w:r>
            </w:hyperlink>
          </w:p>
          <w:p w14:paraId="19B43B64" w14:textId="27A9C815" w:rsidR="009576AB" w:rsidRPr="004A49EF" w:rsidRDefault="00C315F8" w:rsidP="00523094">
            <w:pPr>
              <w:pStyle w:val="ListParagraph"/>
              <w:numPr>
                <w:ilvl w:val="0"/>
                <w:numId w:val="38"/>
              </w:numPr>
              <w:ind w:left="158" w:hanging="187"/>
            </w:pPr>
            <w:hyperlink r:id="rId153" w:history="1">
              <w:proofErr w:type="spellStart"/>
              <w:r w:rsidR="00F61144" w:rsidRPr="004A49EF">
                <w:rPr>
                  <w:rStyle w:val="Hyperlink"/>
                </w:rPr>
                <w:t>VAOPGCPREC</w:t>
              </w:r>
              <w:proofErr w:type="spellEnd"/>
              <w:r w:rsidR="00F61144" w:rsidRPr="004A49EF">
                <w:rPr>
                  <w:rStyle w:val="Hyperlink"/>
                </w:rPr>
                <w:t xml:space="preserve"> 67-90</w:t>
              </w:r>
            </w:hyperlink>
            <w:r w:rsidR="00A26E42" w:rsidRPr="004A49EF">
              <w:t>, and</w:t>
            </w:r>
          </w:p>
          <w:p w14:paraId="32571AD5" w14:textId="376DA42C" w:rsidR="00CA05DC" w:rsidRPr="004A49EF" w:rsidRDefault="00C315F8" w:rsidP="00523094">
            <w:pPr>
              <w:pStyle w:val="ListParagraph"/>
              <w:numPr>
                <w:ilvl w:val="0"/>
                <w:numId w:val="39"/>
              </w:numPr>
              <w:ind w:left="158" w:hanging="187"/>
            </w:pPr>
            <w:hyperlink r:id="rId154" w:history="1">
              <w:proofErr w:type="spellStart"/>
              <w:r w:rsidR="00602A45" w:rsidRPr="004A49EF">
                <w:rPr>
                  <w:rStyle w:val="Hyperlink"/>
                </w:rPr>
                <w:t>VAOPGCPREC</w:t>
              </w:r>
              <w:proofErr w:type="spellEnd"/>
              <w:r w:rsidR="00602A45" w:rsidRPr="004A49EF">
                <w:rPr>
                  <w:rStyle w:val="Hyperlink"/>
                </w:rPr>
                <w:t xml:space="preserve"> </w:t>
              </w:r>
              <w:r w:rsidR="00CA05DC" w:rsidRPr="004A49EF">
                <w:rPr>
                  <w:rStyle w:val="Hyperlink"/>
                </w:rPr>
                <w:t>82</w:t>
              </w:r>
              <w:r w:rsidR="00602A45" w:rsidRPr="004A49EF">
                <w:rPr>
                  <w:rStyle w:val="Hyperlink"/>
                </w:rPr>
                <w:t>-</w:t>
              </w:r>
              <w:r w:rsidR="00F61144" w:rsidRPr="004A49EF">
                <w:rPr>
                  <w:rStyle w:val="Hyperlink"/>
                </w:rPr>
                <w:t>9</w:t>
              </w:r>
              <w:r w:rsidR="00602A45" w:rsidRPr="004A49EF">
                <w:rPr>
                  <w:rStyle w:val="Hyperlink"/>
                </w:rPr>
                <w:t>0</w:t>
              </w:r>
            </w:hyperlink>
            <w:r w:rsidR="00602A45" w:rsidRPr="004A49EF">
              <w:t>.</w:t>
            </w:r>
          </w:p>
        </w:tc>
      </w:tr>
    </w:tbl>
    <w:p w14:paraId="5B17E669" w14:textId="31984660" w:rsidR="009576AB" w:rsidRPr="004A49EF" w:rsidRDefault="009576AB">
      <w:pPr>
        <w:pStyle w:val="BlockLine"/>
      </w:pPr>
    </w:p>
    <w:tbl>
      <w:tblPr>
        <w:tblW w:w="0" w:type="auto"/>
        <w:tblLayout w:type="fixed"/>
        <w:tblLook w:val="0000" w:firstRow="0" w:lastRow="0" w:firstColumn="0" w:lastColumn="0" w:noHBand="0" w:noVBand="0"/>
      </w:tblPr>
      <w:tblGrid>
        <w:gridCol w:w="1728"/>
        <w:gridCol w:w="7740"/>
      </w:tblGrid>
      <w:tr w:rsidR="009576AB" w:rsidRPr="004A49EF" w14:paraId="5931DE37" w14:textId="77777777">
        <w:trPr>
          <w:cantSplit/>
        </w:trPr>
        <w:tc>
          <w:tcPr>
            <w:tcW w:w="1728" w:type="dxa"/>
          </w:tcPr>
          <w:p w14:paraId="3EEF2AE1" w14:textId="77777777" w:rsidR="009576AB" w:rsidRPr="004A49EF" w:rsidRDefault="009576AB">
            <w:pPr>
              <w:pStyle w:val="Heading5"/>
            </w:pPr>
            <w:r w:rsidRPr="004A49EF">
              <w:t>c.  Considering the Development of Symptoms of Hereditary Disease in Service</w:t>
            </w:r>
          </w:p>
        </w:tc>
        <w:tc>
          <w:tcPr>
            <w:tcW w:w="7740" w:type="dxa"/>
          </w:tcPr>
          <w:p w14:paraId="784CC051" w14:textId="32BE67F4" w:rsidR="009576AB" w:rsidRPr="004A49EF" w:rsidRDefault="009576AB">
            <w:pPr>
              <w:pStyle w:val="BlockText"/>
            </w:pPr>
            <w:r w:rsidRPr="004A49EF">
              <w:t>Consider diseases of hereditary origin to be incurred in service if the pathological sign</w:t>
            </w:r>
            <w:r w:rsidR="00FD15B0" w:rsidRPr="004A49EF">
              <w:t>s</w:t>
            </w:r>
            <w:r w:rsidRPr="004A49EF">
              <w:t xml:space="preserve"> or symptoms </w:t>
            </w:r>
            <w:r w:rsidR="004B324A" w:rsidRPr="004A49EF">
              <w:t>developed</w:t>
            </w:r>
            <w:r w:rsidRPr="004A49EF">
              <w:t xml:space="preserve"> after entry </w:t>
            </w:r>
            <w:r w:rsidR="00FA269D" w:rsidRPr="004A49EF">
              <w:t>into active service</w:t>
            </w:r>
            <w:r w:rsidRPr="004A49EF">
              <w:t>.</w:t>
            </w:r>
          </w:p>
          <w:p w14:paraId="337AE7AD" w14:textId="77777777" w:rsidR="009576AB" w:rsidRPr="004A49EF" w:rsidRDefault="009576AB">
            <w:pPr>
              <w:pStyle w:val="BlockText"/>
            </w:pPr>
          </w:p>
          <w:p w14:paraId="0D16A241" w14:textId="1039B0D2" w:rsidR="009576AB" w:rsidRPr="004A49EF" w:rsidRDefault="009576AB">
            <w:pPr>
              <w:pStyle w:val="BlockText"/>
            </w:pPr>
            <w:r w:rsidRPr="004A49EF">
              <w:t xml:space="preserve">Even if the </w:t>
            </w:r>
            <w:r w:rsidR="00B77DFB" w:rsidRPr="004A49EF">
              <w:t>Veteran</w:t>
            </w:r>
            <w:r w:rsidRPr="004A49EF">
              <w:t xml:space="preserve"> is almost certain to eventually develop a disease, a genetic or other familial predisposition does not constitute having the disease.</w:t>
            </w:r>
            <w:r w:rsidR="00705C6F" w:rsidRPr="004A49EF">
              <w:t xml:space="preserve">  </w:t>
            </w:r>
            <w:r w:rsidRPr="004A49EF">
              <w:t xml:space="preserve">Only when </w:t>
            </w:r>
            <w:r w:rsidR="00AB6D6C" w:rsidRPr="004A49EF">
              <w:t xml:space="preserve">the evidence shows </w:t>
            </w:r>
            <w:r w:rsidRPr="004A49EF">
              <w:t xml:space="preserve">actual </w:t>
            </w:r>
            <w:r w:rsidR="00CA31BE" w:rsidRPr="004A49EF">
              <w:t xml:space="preserve">manifestation of </w:t>
            </w:r>
            <w:r w:rsidRPr="004A49EF">
              <w:t>symptom</w:t>
            </w:r>
            <w:r w:rsidR="00AB6D6C" w:rsidRPr="004A49EF">
              <w:t xml:space="preserve">s </w:t>
            </w:r>
            <w:r w:rsidRPr="004A49EF">
              <w:t xml:space="preserve">or signs of pathology </w:t>
            </w:r>
            <w:r w:rsidR="00AB6D6C" w:rsidRPr="004A49EF">
              <w:t>followed by a diagnosis,</w:t>
            </w:r>
            <w:r w:rsidRPr="004A49EF">
              <w:t xml:space="preserve"> may he/she be said to have developed the disease.</w:t>
            </w:r>
          </w:p>
          <w:p w14:paraId="385B5940" w14:textId="77777777" w:rsidR="009576AB" w:rsidRPr="004A49EF" w:rsidRDefault="009576AB">
            <w:pPr>
              <w:pStyle w:val="BlockText"/>
            </w:pPr>
          </w:p>
          <w:p w14:paraId="237BCA96" w14:textId="10412B94" w:rsidR="009576AB" w:rsidRPr="004A49EF" w:rsidRDefault="009576AB">
            <w:pPr>
              <w:pStyle w:val="BlockText"/>
            </w:pPr>
            <w:r w:rsidRPr="004A49EF">
              <w:rPr>
                <w:b/>
                <w:i/>
              </w:rPr>
              <w:t>Note</w:t>
            </w:r>
            <w:r w:rsidRPr="004A49EF">
              <w:t xml:space="preserve">:  At what point the </w:t>
            </w:r>
            <w:r w:rsidR="00B77DFB" w:rsidRPr="004A49EF">
              <w:t>Veteran</w:t>
            </w:r>
            <w:r w:rsidRPr="004A49EF">
              <w:t xml:space="preserve"> starts to manifest signs or symptoms is a factual, medical determination that </w:t>
            </w:r>
            <w:r w:rsidRPr="004A49EF">
              <w:rPr>
                <w:i/>
              </w:rPr>
              <w:t>must</w:t>
            </w:r>
            <w:r w:rsidRPr="004A49EF">
              <w:t xml:space="preserve"> be based upon</w:t>
            </w:r>
          </w:p>
          <w:p w14:paraId="5F17AA44" w14:textId="77777777" w:rsidR="009576AB" w:rsidRPr="004A49EF" w:rsidRDefault="009576AB" w:rsidP="00E15E03">
            <w:pPr>
              <w:pStyle w:val="BulletText1"/>
              <w:tabs>
                <w:tab w:val="clear" w:pos="443"/>
                <w:tab w:val="num" w:pos="162"/>
              </w:tabs>
              <w:ind w:left="162"/>
            </w:pPr>
            <w:r w:rsidRPr="004A49EF">
              <w:t>the medical evidence of record in each case, and</w:t>
            </w:r>
          </w:p>
          <w:p w14:paraId="29EBE160" w14:textId="77777777" w:rsidR="009576AB" w:rsidRPr="004A49EF" w:rsidRDefault="009576AB" w:rsidP="00E15E03">
            <w:pPr>
              <w:pStyle w:val="BulletText1"/>
              <w:tabs>
                <w:tab w:val="clear" w:pos="443"/>
                <w:tab w:val="num" w:pos="162"/>
              </w:tabs>
              <w:ind w:left="162"/>
            </w:pPr>
            <w:r w:rsidRPr="004A49EF">
              <w:t>sound medical judgment.</w:t>
            </w:r>
          </w:p>
        </w:tc>
      </w:tr>
    </w:tbl>
    <w:p w14:paraId="6926C29D" w14:textId="51CC9C62" w:rsidR="009576AB" w:rsidRPr="004A49EF" w:rsidRDefault="009576AB" w:rsidP="00B51FF7">
      <w:pPr>
        <w:pStyle w:val="BlockLine"/>
      </w:pPr>
    </w:p>
    <w:tbl>
      <w:tblPr>
        <w:tblW w:w="0" w:type="auto"/>
        <w:tblLayout w:type="fixed"/>
        <w:tblLook w:val="0000" w:firstRow="0" w:lastRow="0" w:firstColumn="0" w:lastColumn="0" w:noHBand="0" w:noVBand="0"/>
      </w:tblPr>
      <w:tblGrid>
        <w:gridCol w:w="1728"/>
        <w:gridCol w:w="7740"/>
      </w:tblGrid>
      <w:tr w:rsidR="009576AB" w:rsidRPr="00A34B72" w14:paraId="19ECA26F" w14:textId="77777777">
        <w:trPr>
          <w:cantSplit/>
        </w:trPr>
        <w:tc>
          <w:tcPr>
            <w:tcW w:w="1728" w:type="dxa"/>
          </w:tcPr>
          <w:p w14:paraId="0F04EAB0" w14:textId="77777777" w:rsidR="009576AB" w:rsidRPr="004A49EF" w:rsidRDefault="009576AB">
            <w:pPr>
              <w:pStyle w:val="Heading5"/>
            </w:pPr>
            <w:r w:rsidRPr="004A49EF">
              <w:t>d.  Considering</w:t>
            </w:r>
            <w:r w:rsidR="005745F6" w:rsidRPr="004A49EF">
              <w:t xml:space="preserve"> the</w:t>
            </w:r>
            <w:r w:rsidRPr="004A49EF">
              <w:t xml:space="preserve"> Aggravation of a Hereditary Disease in Service</w:t>
            </w:r>
          </w:p>
        </w:tc>
        <w:tc>
          <w:tcPr>
            <w:tcW w:w="7740" w:type="dxa"/>
          </w:tcPr>
          <w:p w14:paraId="4AAC19C2" w14:textId="2F318497" w:rsidR="009576AB" w:rsidRPr="004A49EF" w:rsidRDefault="009576AB">
            <w:pPr>
              <w:pStyle w:val="BlockText"/>
            </w:pPr>
            <w:r w:rsidRPr="004A49EF">
              <w:t xml:space="preserve">A hereditary disease that manifests some symptoms before entry </w:t>
            </w:r>
            <w:r w:rsidR="00AB6D6C" w:rsidRPr="004A49EF">
              <w:t>into active service</w:t>
            </w:r>
            <w:r w:rsidRPr="004A49EF">
              <w:t xml:space="preserve"> may be found to have been aggravated during service if it progresses during service at a rate greater than normally expected according to accepted medical authority.</w:t>
            </w:r>
          </w:p>
          <w:p w14:paraId="47650DAE" w14:textId="77777777" w:rsidR="009576AB" w:rsidRPr="004A49EF" w:rsidRDefault="009576AB">
            <w:pPr>
              <w:pStyle w:val="BlockText"/>
            </w:pPr>
          </w:p>
          <w:p w14:paraId="0ACA9CC3" w14:textId="77777777" w:rsidR="009576AB" w:rsidRPr="00A34B72" w:rsidRDefault="009576AB">
            <w:pPr>
              <w:pStyle w:val="BlockText"/>
            </w:pPr>
            <w:r w:rsidRPr="004A49EF">
              <w:rPr>
                <w:b/>
                <w:bCs/>
                <w:i/>
                <w:iCs/>
              </w:rPr>
              <w:t>Note</w:t>
            </w:r>
            <w:r w:rsidRPr="004A49EF">
              <w:t>:  This is a factual, medical determination that must be based upon the evidence of record and sound medical judgment.</w:t>
            </w:r>
            <w:bookmarkStart w:id="2" w:name="_GoBack"/>
            <w:bookmarkEnd w:id="2"/>
          </w:p>
        </w:tc>
      </w:tr>
    </w:tbl>
    <w:p w14:paraId="26203BA4" w14:textId="77777777" w:rsidR="009576AB" w:rsidRPr="00A34B72" w:rsidRDefault="009576AB">
      <w:pPr>
        <w:pStyle w:val="BlockLine"/>
      </w:pPr>
    </w:p>
    <w:p w14:paraId="3D9CC8B6" w14:textId="06C18BFD" w:rsidR="009576AB" w:rsidRDefault="009576AB"/>
    <w:sectPr w:rsidR="009576AB" w:rsidSect="007931BD">
      <w:headerReference w:type="even" r:id="rId155"/>
      <w:headerReference w:type="default" r:id="rId156"/>
      <w:footerReference w:type="even" r:id="rId157"/>
      <w:footerReference w:type="default" r:id="rId158"/>
      <w:headerReference w:type="first" r:id="rId159"/>
      <w:footerReference w:type="first" r:id="rId160"/>
      <w:pgSz w:w="12240" w:h="15840"/>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F68AC" w14:textId="77777777" w:rsidR="004F40F6" w:rsidRDefault="004F40F6">
      <w:r>
        <w:separator/>
      </w:r>
    </w:p>
  </w:endnote>
  <w:endnote w:type="continuationSeparator" w:id="0">
    <w:p w14:paraId="34051B5B" w14:textId="77777777" w:rsidR="004F40F6" w:rsidRDefault="004F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8389" w14:textId="77777777" w:rsidR="004F40F6" w:rsidRDefault="004F40F6">
    <w:pPr>
      <w:pStyle w:val="Footer"/>
      <w:tabs>
        <w:tab w:val="left" w:pos="0"/>
        <w:tab w:val="right" w:pos="9274"/>
      </w:tabs>
      <w:ind w:right="360"/>
      <w:rPr>
        <w:b/>
        <w:sz w:val="20"/>
      </w:rPr>
    </w:pPr>
    <w:r>
      <w:rPr>
        <w:b/>
        <w:sz w:val="20"/>
      </w:rPr>
      <w:t>2-B-</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16</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F354" w14:textId="77777777" w:rsidR="004F40F6" w:rsidRDefault="004F40F6">
    <w:pPr>
      <w:pStyle w:val="Footer"/>
      <w:tabs>
        <w:tab w:val="left" w:pos="0"/>
        <w:tab w:val="right" w:pos="9274"/>
      </w:tabs>
      <w:rPr>
        <w:b/>
        <w:sz w:val="20"/>
      </w:rPr>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32C7" w14:textId="77777777" w:rsidR="004F40F6" w:rsidRDefault="004F40F6">
    <w:pPr>
      <w:pStyle w:val="Footer"/>
      <w:tabs>
        <w:tab w:val="left" w:pos="0"/>
        <w:tab w:val="right" w:pos="9274"/>
      </w:tabs>
      <w:rPr>
        <w:b/>
        <w:sz w:val="20"/>
      </w:rPr>
    </w:pPr>
    <w:r>
      <w:rPr>
        <w:b/>
        <w:sz w:val="20"/>
      </w:rPr>
      <w:t>Unproofed CV Draft</w:t>
    </w:r>
    <w:r>
      <w:rPr>
        <w:b/>
        <w:sz w:val="20"/>
      </w:rPr>
      <w:tab/>
    </w:r>
    <w:r>
      <w:rPr>
        <w:b/>
        <w:sz w:val="20"/>
      </w:rPr>
      <w:tab/>
      <w:t>2-K-</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CCAEB" w14:textId="77777777" w:rsidR="004F40F6" w:rsidRDefault="004F40F6">
      <w:r>
        <w:separator/>
      </w:r>
    </w:p>
  </w:footnote>
  <w:footnote w:type="continuationSeparator" w:id="0">
    <w:p w14:paraId="6EE6052E" w14:textId="77777777" w:rsidR="004F40F6" w:rsidRDefault="004F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81F90" w14:textId="77777777" w:rsidR="004F40F6" w:rsidRDefault="004F40F6">
    <w:pPr>
      <w:pStyle w:val="Header"/>
      <w:tabs>
        <w:tab w:val="left" w:pos="0"/>
      </w:tabs>
      <w:rPr>
        <w:b/>
        <w:sz w:val="20"/>
      </w:rPr>
    </w:pPr>
    <w:r>
      <w:rPr>
        <w:b/>
        <w:sz w:val="20"/>
      </w:rPr>
      <w:t>M21-1MR, Part IV, Subpart ii, Chapter 2, Section B</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864AE" w14:textId="77777777" w:rsidR="004F40F6" w:rsidRDefault="004F40F6">
    <w:pPr>
      <w:pStyle w:val="Header"/>
      <w:tabs>
        <w:tab w:val="left" w:pos="0"/>
      </w:tabs>
      <w:rPr>
        <w:b/>
        <w:sz w:val="20"/>
      </w:rPr>
    </w:pPr>
    <w:r>
      <w:rPr>
        <w:b/>
        <w:sz w:val="20"/>
      </w:rPr>
      <w:tab/>
    </w:r>
    <w:r>
      <w:rPr>
        <w:b/>
        <w:sz w:val="20"/>
      </w:rPr>
      <w:tab/>
      <w:t>M21-1, Part IV, Subpart ii, Chapter 2, Section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BABD" w14:textId="77777777" w:rsidR="004F40F6" w:rsidRDefault="004F40F6">
    <w:pPr>
      <w:pStyle w:val="Header"/>
      <w:tabs>
        <w:tab w:val="left" w:pos="0"/>
      </w:tabs>
      <w:rPr>
        <w:b/>
        <w:sz w:val="20"/>
      </w:rPr>
    </w:pPr>
    <w:r>
      <w:rPr>
        <w:b/>
        <w:sz w:val="20"/>
      </w:rPr>
      <w:t>11/26/02</w:t>
    </w:r>
    <w:r>
      <w:rPr>
        <w:b/>
        <w:sz w:val="20"/>
      </w:rPr>
      <w:tab/>
      <w:t>M21-1MR,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E403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42043F"/>
    <w:multiLevelType w:val="hybridMultilevel"/>
    <w:tmpl w:val="437445C0"/>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52E49"/>
    <w:multiLevelType w:val="hybridMultilevel"/>
    <w:tmpl w:val="DBFA8D76"/>
    <w:lvl w:ilvl="0" w:tplc="28B035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191A60"/>
    <w:multiLevelType w:val="hybridMultilevel"/>
    <w:tmpl w:val="39F49452"/>
    <w:lvl w:ilvl="0" w:tplc="2C0AD8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3B68BD"/>
    <w:multiLevelType w:val="hybridMultilevel"/>
    <w:tmpl w:val="C5EC6C00"/>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9B5A08"/>
    <w:multiLevelType w:val="hybridMultilevel"/>
    <w:tmpl w:val="628C0BDE"/>
    <w:lvl w:ilvl="0" w:tplc="7C72A1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D47AB7"/>
    <w:multiLevelType w:val="hybridMultilevel"/>
    <w:tmpl w:val="3D58A430"/>
    <w:lvl w:ilvl="0" w:tplc="398AAAB4">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7073B6"/>
    <w:multiLevelType w:val="hybridMultilevel"/>
    <w:tmpl w:val="C83653A0"/>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5427F"/>
    <w:multiLevelType w:val="hybridMultilevel"/>
    <w:tmpl w:val="8EAE3566"/>
    <w:lvl w:ilvl="0" w:tplc="355428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BA4827"/>
    <w:multiLevelType w:val="hybridMultilevel"/>
    <w:tmpl w:val="AE404416"/>
    <w:lvl w:ilvl="0" w:tplc="2C0AD8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0F406F"/>
    <w:multiLevelType w:val="hybridMultilevel"/>
    <w:tmpl w:val="50B6B080"/>
    <w:lvl w:ilvl="0" w:tplc="B538C7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9D7286"/>
    <w:multiLevelType w:val="hybridMultilevel"/>
    <w:tmpl w:val="B4E2E01C"/>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D6549D"/>
    <w:multiLevelType w:val="hybridMultilevel"/>
    <w:tmpl w:val="CA0E0100"/>
    <w:lvl w:ilvl="0" w:tplc="6E6A5A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881A20"/>
    <w:multiLevelType w:val="hybridMultilevel"/>
    <w:tmpl w:val="08D88DAA"/>
    <w:lvl w:ilvl="0" w:tplc="FF3EB4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D340A1"/>
    <w:multiLevelType w:val="hybridMultilevel"/>
    <w:tmpl w:val="4ABC5BB4"/>
    <w:lvl w:ilvl="0" w:tplc="CED44D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01098F"/>
    <w:multiLevelType w:val="hybridMultilevel"/>
    <w:tmpl w:val="CE0638F0"/>
    <w:lvl w:ilvl="0" w:tplc="7C72A1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705443"/>
    <w:multiLevelType w:val="hybridMultilevel"/>
    <w:tmpl w:val="C29C5D26"/>
    <w:lvl w:ilvl="0" w:tplc="B538C7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B6184F"/>
    <w:multiLevelType w:val="hybridMultilevel"/>
    <w:tmpl w:val="661CA66E"/>
    <w:lvl w:ilvl="0" w:tplc="7EB437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9A222D"/>
    <w:multiLevelType w:val="hybridMultilevel"/>
    <w:tmpl w:val="842C2520"/>
    <w:lvl w:ilvl="0" w:tplc="B538C7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8A4719"/>
    <w:multiLevelType w:val="hybridMultilevel"/>
    <w:tmpl w:val="93C0B352"/>
    <w:lvl w:ilvl="0" w:tplc="0DB8C8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C746FE"/>
    <w:multiLevelType w:val="hybridMultilevel"/>
    <w:tmpl w:val="A8181C72"/>
    <w:lvl w:ilvl="0" w:tplc="6E6A5A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A7798A"/>
    <w:multiLevelType w:val="hybridMultilevel"/>
    <w:tmpl w:val="D81E801C"/>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C05AC3"/>
    <w:multiLevelType w:val="hybridMultilevel"/>
    <w:tmpl w:val="65DE8212"/>
    <w:lvl w:ilvl="0" w:tplc="1D7092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7D12FA"/>
    <w:multiLevelType w:val="hybridMultilevel"/>
    <w:tmpl w:val="8EB096C2"/>
    <w:lvl w:ilvl="0" w:tplc="1842E9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A103A2"/>
    <w:multiLevelType w:val="hybridMultilevel"/>
    <w:tmpl w:val="0B202B18"/>
    <w:lvl w:ilvl="0" w:tplc="1CA2D0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FE4BDB"/>
    <w:multiLevelType w:val="hybridMultilevel"/>
    <w:tmpl w:val="9050D66E"/>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4635A7"/>
    <w:multiLevelType w:val="hybridMultilevel"/>
    <w:tmpl w:val="2FBEF53E"/>
    <w:lvl w:ilvl="0" w:tplc="B538C7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F60FBC"/>
    <w:multiLevelType w:val="hybridMultilevel"/>
    <w:tmpl w:val="F9B64E2E"/>
    <w:lvl w:ilvl="0" w:tplc="0B1A3E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29137E"/>
    <w:multiLevelType w:val="hybridMultilevel"/>
    <w:tmpl w:val="FF3C6BD4"/>
    <w:lvl w:ilvl="0" w:tplc="2C0AD8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B63043"/>
    <w:multiLevelType w:val="hybridMultilevel"/>
    <w:tmpl w:val="5F162D5C"/>
    <w:lvl w:ilvl="0" w:tplc="7B2CAD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9B034E"/>
    <w:multiLevelType w:val="hybridMultilevel"/>
    <w:tmpl w:val="EC52A448"/>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256574"/>
    <w:multiLevelType w:val="hybridMultilevel"/>
    <w:tmpl w:val="BEE8654A"/>
    <w:lvl w:ilvl="0" w:tplc="2910C1A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3B2B3277"/>
    <w:multiLevelType w:val="hybridMultilevel"/>
    <w:tmpl w:val="73EC8CCA"/>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56161E"/>
    <w:multiLevelType w:val="hybridMultilevel"/>
    <w:tmpl w:val="68D415FA"/>
    <w:lvl w:ilvl="0" w:tplc="98F0B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5C17E6"/>
    <w:multiLevelType w:val="hybridMultilevel"/>
    <w:tmpl w:val="24D420F0"/>
    <w:lvl w:ilvl="0" w:tplc="46185E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375625"/>
    <w:multiLevelType w:val="hybridMultilevel"/>
    <w:tmpl w:val="4336F754"/>
    <w:lvl w:ilvl="0" w:tplc="B538C7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723C33"/>
    <w:multiLevelType w:val="hybridMultilevel"/>
    <w:tmpl w:val="6A3E30CA"/>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4008F8"/>
    <w:multiLevelType w:val="hybridMultilevel"/>
    <w:tmpl w:val="9D02DA24"/>
    <w:lvl w:ilvl="0" w:tplc="E08859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B56B96"/>
    <w:multiLevelType w:val="hybridMultilevel"/>
    <w:tmpl w:val="4CF2524E"/>
    <w:lvl w:ilvl="0" w:tplc="1CA2D0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CF189F"/>
    <w:multiLevelType w:val="hybridMultilevel"/>
    <w:tmpl w:val="6AD8510C"/>
    <w:lvl w:ilvl="0" w:tplc="1CA2D0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282338"/>
    <w:multiLevelType w:val="hybridMultilevel"/>
    <w:tmpl w:val="BA0CEFF6"/>
    <w:lvl w:ilvl="0" w:tplc="98F0B4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BC367B"/>
    <w:multiLevelType w:val="hybridMultilevel"/>
    <w:tmpl w:val="71EA7D14"/>
    <w:lvl w:ilvl="0" w:tplc="1CA2D0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CA3174"/>
    <w:multiLevelType w:val="hybridMultilevel"/>
    <w:tmpl w:val="D298B526"/>
    <w:lvl w:ilvl="0" w:tplc="355428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6E28CE"/>
    <w:multiLevelType w:val="hybridMultilevel"/>
    <w:tmpl w:val="3844FA36"/>
    <w:lvl w:ilvl="0" w:tplc="A6022E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305AC1"/>
    <w:multiLevelType w:val="hybridMultilevel"/>
    <w:tmpl w:val="CAD01C58"/>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1F0EE0"/>
    <w:multiLevelType w:val="hybridMultilevel"/>
    <w:tmpl w:val="B198C740"/>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141720"/>
    <w:multiLevelType w:val="hybridMultilevel"/>
    <w:tmpl w:val="A1DC17CE"/>
    <w:lvl w:ilvl="0" w:tplc="9AC27D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DB3D68"/>
    <w:multiLevelType w:val="hybridMultilevel"/>
    <w:tmpl w:val="CBC6FE0C"/>
    <w:lvl w:ilvl="0" w:tplc="21D42084">
      <w:start w:val="1"/>
      <w:numFmt w:val="bullet"/>
      <w:pStyle w:val="BulletText1"/>
      <w:lvlText w:val=""/>
      <w:lvlJc w:val="left"/>
      <w:pPr>
        <w:tabs>
          <w:tab w:val="num" w:pos="443"/>
        </w:tabs>
        <w:ind w:left="44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3601358"/>
    <w:multiLevelType w:val="hybridMultilevel"/>
    <w:tmpl w:val="B8CC13B6"/>
    <w:lvl w:ilvl="0" w:tplc="DD9073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EA53EF"/>
    <w:multiLevelType w:val="hybridMultilevel"/>
    <w:tmpl w:val="A2B44FF8"/>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0B3424"/>
    <w:multiLevelType w:val="hybridMultilevel"/>
    <w:tmpl w:val="F866F3EC"/>
    <w:lvl w:ilvl="0" w:tplc="7C72A1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1B56DD4"/>
    <w:multiLevelType w:val="hybridMultilevel"/>
    <w:tmpl w:val="4926853E"/>
    <w:lvl w:ilvl="0" w:tplc="B538C7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796FA6"/>
    <w:multiLevelType w:val="hybridMultilevel"/>
    <w:tmpl w:val="566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A513E5"/>
    <w:multiLevelType w:val="hybridMultilevel"/>
    <w:tmpl w:val="DE588960"/>
    <w:lvl w:ilvl="0" w:tplc="1842E964">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nsid w:val="76515EBF"/>
    <w:multiLevelType w:val="hybridMultilevel"/>
    <w:tmpl w:val="28DC0D56"/>
    <w:lvl w:ilvl="0" w:tplc="1CA2D0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3E52A0"/>
    <w:multiLevelType w:val="hybridMultilevel"/>
    <w:tmpl w:val="332EB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A584F24"/>
    <w:multiLevelType w:val="hybridMultilevel"/>
    <w:tmpl w:val="DC960C3E"/>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52"/>
  </w:num>
  <w:num w:numId="4">
    <w:abstractNumId w:val="1"/>
  </w:num>
  <w:num w:numId="5">
    <w:abstractNumId w:val="30"/>
  </w:num>
  <w:num w:numId="6">
    <w:abstractNumId w:val="28"/>
  </w:num>
  <w:num w:numId="7">
    <w:abstractNumId w:val="42"/>
  </w:num>
  <w:num w:numId="8">
    <w:abstractNumId w:val="25"/>
  </w:num>
  <w:num w:numId="9">
    <w:abstractNumId w:val="40"/>
  </w:num>
  <w:num w:numId="10">
    <w:abstractNumId w:val="56"/>
  </w:num>
  <w:num w:numId="11">
    <w:abstractNumId w:val="39"/>
  </w:num>
  <w:num w:numId="12">
    <w:abstractNumId w:val="15"/>
  </w:num>
  <w:num w:numId="13">
    <w:abstractNumId w:val="34"/>
  </w:num>
  <w:num w:numId="14">
    <w:abstractNumId w:val="41"/>
  </w:num>
  <w:num w:numId="15">
    <w:abstractNumId w:val="51"/>
  </w:num>
  <w:num w:numId="16">
    <w:abstractNumId w:val="6"/>
  </w:num>
  <w:num w:numId="17">
    <w:abstractNumId w:val="16"/>
  </w:num>
  <w:num w:numId="18">
    <w:abstractNumId w:val="20"/>
  </w:num>
  <w:num w:numId="19">
    <w:abstractNumId w:val="38"/>
  </w:num>
  <w:num w:numId="20">
    <w:abstractNumId w:val="31"/>
  </w:num>
  <w:num w:numId="21">
    <w:abstractNumId w:val="22"/>
  </w:num>
  <w:num w:numId="22">
    <w:abstractNumId w:val="46"/>
  </w:num>
  <w:num w:numId="23">
    <w:abstractNumId w:val="7"/>
  </w:num>
  <w:num w:numId="24">
    <w:abstractNumId w:val="37"/>
  </w:num>
  <w:num w:numId="25">
    <w:abstractNumId w:val="8"/>
  </w:num>
  <w:num w:numId="26">
    <w:abstractNumId w:val="50"/>
  </w:num>
  <w:num w:numId="27">
    <w:abstractNumId w:val="58"/>
  </w:num>
  <w:num w:numId="28">
    <w:abstractNumId w:val="33"/>
  </w:num>
  <w:num w:numId="29">
    <w:abstractNumId w:val="26"/>
  </w:num>
  <w:num w:numId="30">
    <w:abstractNumId w:val="2"/>
  </w:num>
  <w:num w:numId="31">
    <w:abstractNumId w:val="12"/>
  </w:num>
  <w:num w:numId="32">
    <w:abstractNumId w:val="5"/>
  </w:num>
  <w:num w:numId="33">
    <w:abstractNumId w:val="45"/>
  </w:num>
  <w:num w:numId="34">
    <w:abstractNumId w:val="9"/>
  </w:num>
  <w:num w:numId="35">
    <w:abstractNumId w:val="43"/>
  </w:num>
  <w:num w:numId="36">
    <w:abstractNumId w:val="3"/>
  </w:num>
  <w:num w:numId="37">
    <w:abstractNumId w:val="10"/>
  </w:num>
  <w:num w:numId="38">
    <w:abstractNumId w:val="29"/>
  </w:num>
  <w:num w:numId="39">
    <w:abstractNumId w:val="4"/>
  </w:num>
  <w:num w:numId="40">
    <w:abstractNumId w:val="32"/>
  </w:num>
  <w:num w:numId="41">
    <w:abstractNumId w:val="35"/>
  </w:num>
  <w:num w:numId="42">
    <w:abstractNumId w:val="13"/>
  </w:num>
  <w:num w:numId="43">
    <w:abstractNumId w:val="21"/>
  </w:num>
  <w:num w:numId="44">
    <w:abstractNumId w:val="18"/>
  </w:num>
  <w:num w:numId="45">
    <w:abstractNumId w:val="23"/>
  </w:num>
  <w:num w:numId="46">
    <w:abstractNumId w:val="54"/>
  </w:num>
  <w:num w:numId="47">
    <w:abstractNumId w:val="49"/>
  </w:num>
  <w:num w:numId="48">
    <w:abstractNumId w:val="47"/>
  </w:num>
  <w:num w:numId="49">
    <w:abstractNumId w:val="24"/>
  </w:num>
  <w:num w:numId="50">
    <w:abstractNumId w:val="55"/>
  </w:num>
  <w:num w:numId="51">
    <w:abstractNumId w:val="57"/>
  </w:num>
  <w:num w:numId="52">
    <w:abstractNumId w:val="44"/>
  </w:num>
  <w:num w:numId="53">
    <w:abstractNumId w:val="14"/>
  </w:num>
  <w:num w:numId="54">
    <w:abstractNumId w:val="53"/>
  </w:num>
  <w:num w:numId="55">
    <w:abstractNumId w:val="17"/>
  </w:num>
  <w:num w:numId="56">
    <w:abstractNumId w:val="36"/>
  </w:num>
  <w:num w:numId="57">
    <w:abstractNumId w:val="19"/>
  </w:num>
  <w:num w:numId="58">
    <w:abstractNumId w:val="27"/>
  </w:num>
  <w:num w:numId="59">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0\StyleSheets\"/>
    <w:docVar w:name="XSLstylesheet" w:val="Basic.xsl"/>
  </w:docVars>
  <w:rsids>
    <w:rsidRoot w:val="00142460"/>
    <w:rsid w:val="00001B53"/>
    <w:rsid w:val="00003CA7"/>
    <w:rsid w:val="00004725"/>
    <w:rsid w:val="00004A68"/>
    <w:rsid w:val="000162F4"/>
    <w:rsid w:val="00016E5C"/>
    <w:rsid w:val="00020A72"/>
    <w:rsid w:val="00022D02"/>
    <w:rsid w:val="00025C20"/>
    <w:rsid w:val="00026F17"/>
    <w:rsid w:val="00035BDD"/>
    <w:rsid w:val="00036AF5"/>
    <w:rsid w:val="00044DB2"/>
    <w:rsid w:val="000466A5"/>
    <w:rsid w:val="00051AB8"/>
    <w:rsid w:val="0005347D"/>
    <w:rsid w:val="000575C2"/>
    <w:rsid w:val="00057E9E"/>
    <w:rsid w:val="0006127E"/>
    <w:rsid w:val="00063CCB"/>
    <w:rsid w:val="00064DB8"/>
    <w:rsid w:val="0007063A"/>
    <w:rsid w:val="00077769"/>
    <w:rsid w:val="00081AA0"/>
    <w:rsid w:val="00084B00"/>
    <w:rsid w:val="00085987"/>
    <w:rsid w:val="0008785F"/>
    <w:rsid w:val="00097CA5"/>
    <w:rsid w:val="00097CF9"/>
    <w:rsid w:val="000A4618"/>
    <w:rsid w:val="000A515D"/>
    <w:rsid w:val="000A7138"/>
    <w:rsid w:val="000B2B61"/>
    <w:rsid w:val="000B38CA"/>
    <w:rsid w:val="000B3AD8"/>
    <w:rsid w:val="000B3D26"/>
    <w:rsid w:val="000B4BAF"/>
    <w:rsid w:val="000B5C70"/>
    <w:rsid w:val="000B644F"/>
    <w:rsid w:val="000C08A8"/>
    <w:rsid w:val="000C1160"/>
    <w:rsid w:val="000D0CDD"/>
    <w:rsid w:val="000D1906"/>
    <w:rsid w:val="000D39B6"/>
    <w:rsid w:val="000D3BC8"/>
    <w:rsid w:val="000D3E6E"/>
    <w:rsid w:val="000D4742"/>
    <w:rsid w:val="000E0BBC"/>
    <w:rsid w:val="000E7480"/>
    <w:rsid w:val="000F0EA0"/>
    <w:rsid w:val="000F53E1"/>
    <w:rsid w:val="000F5B14"/>
    <w:rsid w:val="001040AA"/>
    <w:rsid w:val="00104125"/>
    <w:rsid w:val="00104514"/>
    <w:rsid w:val="00113B1A"/>
    <w:rsid w:val="0011491F"/>
    <w:rsid w:val="001210D5"/>
    <w:rsid w:val="00122C48"/>
    <w:rsid w:val="0012547F"/>
    <w:rsid w:val="00127C9E"/>
    <w:rsid w:val="0013092C"/>
    <w:rsid w:val="0013262B"/>
    <w:rsid w:val="00133C8C"/>
    <w:rsid w:val="00137B2B"/>
    <w:rsid w:val="00140261"/>
    <w:rsid w:val="00141D3C"/>
    <w:rsid w:val="00142460"/>
    <w:rsid w:val="001501D5"/>
    <w:rsid w:val="00150FE3"/>
    <w:rsid w:val="00151A30"/>
    <w:rsid w:val="00154649"/>
    <w:rsid w:val="00156B36"/>
    <w:rsid w:val="00156BD6"/>
    <w:rsid w:val="00160496"/>
    <w:rsid w:val="00160853"/>
    <w:rsid w:val="0017012C"/>
    <w:rsid w:val="00171014"/>
    <w:rsid w:val="00175B78"/>
    <w:rsid w:val="001765A2"/>
    <w:rsid w:val="0018018F"/>
    <w:rsid w:val="00181732"/>
    <w:rsid w:val="0018186D"/>
    <w:rsid w:val="00183EA4"/>
    <w:rsid w:val="00185373"/>
    <w:rsid w:val="00186D2A"/>
    <w:rsid w:val="00190D7B"/>
    <w:rsid w:val="001950E0"/>
    <w:rsid w:val="001B345F"/>
    <w:rsid w:val="001B4052"/>
    <w:rsid w:val="001B5F4C"/>
    <w:rsid w:val="001B6F28"/>
    <w:rsid w:val="001C4D54"/>
    <w:rsid w:val="001C51DA"/>
    <w:rsid w:val="001C645A"/>
    <w:rsid w:val="001C6685"/>
    <w:rsid w:val="001D001F"/>
    <w:rsid w:val="001D116F"/>
    <w:rsid w:val="001D2897"/>
    <w:rsid w:val="001D74D7"/>
    <w:rsid w:val="001E462A"/>
    <w:rsid w:val="001E57F7"/>
    <w:rsid w:val="001F03AB"/>
    <w:rsid w:val="001F2374"/>
    <w:rsid w:val="001F30B8"/>
    <w:rsid w:val="001F6F37"/>
    <w:rsid w:val="002012FC"/>
    <w:rsid w:val="00203C65"/>
    <w:rsid w:val="0020693D"/>
    <w:rsid w:val="002145D8"/>
    <w:rsid w:val="002162C2"/>
    <w:rsid w:val="002177C7"/>
    <w:rsid w:val="0021787F"/>
    <w:rsid w:val="0022075A"/>
    <w:rsid w:val="0023342F"/>
    <w:rsid w:val="002355EC"/>
    <w:rsid w:val="00241781"/>
    <w:rsid w:val="002427FB"/>
    <w:rsid w:val="00243387"/>
    <w:rsid w:val="0024523C"/>
    <w:rsid w:val="002475A0"/>
    <w:rsid w:val="00250EEF"/>
    <w:rsid w:val="002565D2"/>
    <w:rsid w:val="002617F9"/>
    <w:rsid w:val="00263B16"/>
    <w:rsid w:val="00267DB6"/>
    <w:rsid w:val="0027614C"/>
    <w:rsid w:val="0028269E"/>
    <w:rsid w:val="00283BEB"/>
    <w:rsid w:val="00293ED6"/>
    <w:rsid w:val="00294D18"/>
    <w:rsid w:val="00295F2B"/>
    <w:rsid w:val="00296B3F"/>
    <w:rsid w:val="00297B66"/>
    <w:rsid w:val="002A59F4"/>
    <w:rsid w:val="002A5BD1"/>
    <w:rsid w:val="002B0A92"/>
    <w:rsid w:val="002B4723"/>
    <w:rsid w:val="002B4FD3"/>
    <w:rsid w:val="002B71DD"/>
    <w:rsid w:val="002C0173"/>
    <w:rsid w:val="002C2AFB"/>
    <w:rsid w:val="002D0EB5"/>
    <w:rsid w:val="002D2108"/>
    <w:rsid w:val="002D3944"/>
    <w:rsid w:val="002D45B7"/>
    <w:rsid w:val="002D5D74"/>
    <w:rsid w:val="002D7371"/>
    <w:rsid w:val="002D7E09"/>
    <w:rsid w:val="002E10E7"/>
    <w:rsid w:val="002E1EAC"/>
    <w:rsid w:val="002E2C16"/>
    <w:rsid w:val="002F104F"/>
    <w:rsid w:val="002F2DC0"/>
    <w:rsid w:val="002F3BB0"/>
    <w:rsid w:val="002F5DB0"/>
    <w:rsid w:val="00305122"/>
    <w:rsid w:val="00306994"/>
    <w:rsid w:val="003108B8"/>
    <w:rsid w:val="00312072"/>
    <w:rsid w:val="003153F4"/>
    <w:rsid w:val="0032524B"/>
    <w:rsid w:val="00336728"/>
    <w:rsid w:val="003465DC"/>
    <w:rsid w:val="00346E11"/>
    <w:rsid w:val="00350AC3"/>
    <w:rsid w:val="00354CC7"/>
    <w:rsid w:val="00357A69"/>
    <w:rsid w:val="00372DF4"/>
    <w:rsid w:val="00375081"/>
    <w:rsid w:val="003763D8"/>
    <w:rsid w:val="003940EB"/>
    <w:rsid w:val="003A2437"/>
    <w:rsid w:val="003B01F4"/>
    <w:rsid w:val="003B1110"/>
    <w:rsid w:val="003B4E4D"/>
    <w:rsid w:val="003C2AC2"/>
    <w:rsid w:val="003C3278"/>
    <w:rsid w:val="003C4883"/>
    <w:rsid w:val="003D26DD"/>
    <w:rsid w:val="003D593A"/>
    <w:rsid w:val="003D7E3A"/>
    <w:rsid w:val="003E2844"/>
    <w:rsid w:val="003E381F"/>
    <w:rsid w:val="003E4B48"/>
    <w:rsid w:val="003E61C1"/>
    <w:rsid w:val="003F0914"/>
    <w:rsid w:val="00412AC4"/>
    <w:rsid w:val="0041462C"/>
    <w:rsid w:val="00415FC8"/>
    <w:rsid w:val="004214AC"/>
    <w:rsid w:val="004273BE"/>
    <w:rsid w:val="0043199A"/>
    <w:rsid w:val="00432F91"/>
    <w:rsid w:val="00434A58"/>
    <w:rsid w:val="0044245C"/>
    <w:rsid w:val="00444051"/>
    <w:rsid w:val="004453B1"/>
    <w:rsid w:val="00445722"/>
    <w:rsid w:val="00451A77"/>
    <w:rsid w:val="00455E33"/>
    <w:rsid w:val="00456586"/>
    <w:rsid w:val="0045717F"/>
    <w:rsid w:val="00461B78"/>
    <w:rsid w:val="004653A1"/>
    <w:rsid w:val="00466D5D"/>
    <w:rsid w:val="0047199F"/>
    <w:rsid w:val="00473193"/>
    <w:rsid w:val="0047427A"/>
    <w:rsid w:val="00475052"/>
    <w:rsid w:val="00476289"/>
    <w:rsid w:val="004772A4"/>
    <w:rsid w:val="00483303"/>
    <w:rsid w:val="004845B8"/>
    <w:rsid w:val="00490CAE"/>
    <w:rsid w:val="00493805"/>
    <w:rsid w:val="00494B04"/>
    <w:rsid w:val="004952CF"/>
    <w:rsid w:val="004A196C"/>
    <w:rsid w:val="004A278C"/>
    <w:rsid w:val="004A49EF"/>
    <w:rsid w:val="004A7584"/>
    <w:rsid w:val="004B324A"/>
    <w:rsid w:val="004B37BA"/>
    <w:rsid w:val="004B6722"/>
    <w:rsid w:val="004D1295"/>
    <w:rsid w:val="004D1AEC"/>
    <w:rsid w:val="004D2DA3"/>
    <w:rsid w:val="004D6CA8"/>
    <w:rsid w:val="004D7016"/>
    <w:rsid w:val="004E156B"/>
    <w:rsid w:val="004E3E47"/>
    <w:rsid w:val="004F0628"/>
    <w:rsid w:val="004F0CFB"/>
    <w:rsid w:val="004F40F6"/>
    <w:rsid w:val="004F48EB"/>
    <w:rsid w:val="004F638E"/>
    <w:rsid w:val="004F6AC3"/>
    <w:rsid w:val="004F76F0"/>
    <w:rsid w:val="004F7BFE"/>
    <w:rsid w:val="005033C0"/>
    <w:rsid w:val="00513DF8"/>
    <w:rsid w:val="005152AF"/>
    <w:rsid w:val="005152DF"/>
    <w:rsid w:val="005156C5"/>
    <w:rsid w:val="005167D6"/>
    <w:rsid w:val="00516EB9"/>
    <w:rsid w:val="0052034D"/>
    <w:rsid w:val="005203FB"/>
    <w:rsid w:val="00523094"/>
    <w:rsid w:val="00523EF5"/>
    <w:rsid w:val="0052604F"/>
    <w:rsid w:val="00526568"/>
    <w:rsid w:val="0052726C"/>
    <w:rsid w:val="00531597"/>
    <w:rsid w:val="0053176B"/>
    <w:rsid w:val="005346E6"/>
    <w:rsid w:val="00540275"/>
    <w:rsid w:val="005445E5"/>
    <w:rsid w:val="005447D5"/>
    <w:rsid w:val="005463A1"/>
    <w:rsid w:val="00550C71"/>
    <w:rsid w:val="00550EB6"/>
    <w:rsid w:val="00552E2C"/>
    <w:rsid w:val="00556BF0"/>
    <w:rsid w:val="00561F68"/>
    <w:rsid w:val="00563720"/>
    <w:rsid w:val="00563C22"/>
    <w:rsid w:val="00566B6F"/>
    <w:rsid w:val="0056726D"/>
    <w:rsid w:val="005706FD"/>
    <w:rsid w:val="00573128"/>
    <w:rsid w:val="005745F6"/>
    <w:rsid w:val="00577A9F"/>
    <w:rsid w:val="00581EDB"/>
    <w:rsid w:val="00582EB6"/>
    <w:rsid w:val="00593602"/>
    <w:rsid w:val="00595040"/>
    <w:rsid w:val="00595194"/>
    <w:rsid w:val="0059716B"/>
    <w:rsid w:val="005A02EC"/>
    <w:rsid w:val="005A37DD"/>
    <w:rsid w:val="005B1E61"/>
    <w:rsid w:val="005B4AA6"/>
    <w:rsid w:val="005B50B4"/>
    <w:rsid w:val="005B63E6"/>
    <w:rsid w:val="005B721C"/>
    <w:rsid w:val="005B74D9"/>
    <w:rsid w:val="005B7A89"/>
    <w:rsid w:val="005C0EF0"/>
    <w:rsid w:val="005C0F54"/>
    <w:rsid w:val="005C2E56"/>
    <w:rsid w:val="005C4ED6"/>
    <w:rsid w:val="005C4FFF"/>
    <w:rsid w:val="005C5697"/>
    <w:rsid w:val="005C71A4"/>
    <w:rsid w:val="005D3AF6"/>
    <w:rsid w:val="005D4B6C"/>
    <w:rsid w:val="005E1631"/>
    <w:rsid w:val="005E4752"/>
    <w:rsid w:val="005E606C"/>
    <w:rsid w:val="005F5E38"/>
    <w:rsid w:val="005F6EDE"/>
    <w:rsid w:val="005F7F3F"/>
    <w:rsid w:val="0060086E"/>
    <w:rsid w:val="00602A45"/>
    <w:rsid w:val="00602B95"/>
    <w:rsid w:val="006061AF"/>
    <w:rsid w:val="0061614C"/>
    <w:rsid w:val="006179FF"/>
    <w:rsid w:val="00634C41"/>
    <w:rsid w:val="00637943"/>
    <w:rsid w:val="006444C3"/>
    <w:rsid w:val="00644F04"/>
    <w:rsid w:val="00650DDC"/>
    <w:rsid w:val="0065480A"/>
    <w:rsid w:val="006631B7"/>
    <w:rsid w:val="00663E44"/>
    <w:rsid w:val="0067267D"/>
    <w:rsid w:val="00674085"/>
    <w:rsid w:val="00683F1E"/>
    <w:rsid w:val="0069607E"/>
    <w:rsid w:val="00697980"/>
    <w:rsid w:val="006A02A9"/>
    <w:rsid w:val="006A0609"/>
    <w:rsid w:val="006A6C50"/>
    <w:rsid w:val="006B07C6"/>
    <w:rsid w:val="006B1CA2"/>
    <w:rsid w:val="006B75F9"/>
    <w:rsid w:val="006C0C72"/>
    <w:rsid w:val="006C4BA0"/>
    <w:rsid w:val="006C69A7"/>
    <w:rsid w:val="006C6C9F"/>
    <w:rsid w:val="006D2590"/>
    <w:rsid w:val="006D4992"/>
    <w:rsid w:val="006D7BAB"/>
    <w:rsid w:val="006E0704"/>
    <w:rsid w:val="006E072A"/>
    <w:rsid w:val="006E13A8"/>
    <w:rsid w:val="006E2C38"/>
    <w:rsid w:val="006E33CF"/>
    <w:rsid w:val="006E4907"/>
    <w:rsid w:val="006E4C6E"/>
    <w:rsid w:val="006E4EF1"/>
    <w:rsid w:val="006E667F"/>
    <w:rsid w:val="006F0EED"/>
    <w:rsid w:val="00701D95"/>
    <w:rsid w:val="00705C6F"/>
    <w:rsid w:val="00714498"/>
    <w:rsid w:val="00716321"/>
    <w:rsid w:val="00720E90"/>
    <w:rsid w:val="00723F76"/>
    <w:rsid w:val="007243FC"/>
    <w:rsid w:val="00727405"/>
    <w:rsid w:val="00744C38"/>
    <w:rsid w:val="00751803"/>
    <w:rsid w:val="00754B57"/>
    <w:rsid w:val="007570FD"/>
    <w:rsid w:val="0075754F"/>
    <w:rsid w:val="007579E7"/>
    <w:rsid w:val="00760437"/>
    <w:rsid w:val="00762D03"/>
    <w:rsid w:val="00764D38"/>
    <w:rsid w:val="00764DB2"/>
    <w:rsid w:val="007657BD"/>
    <w:rsid w:val="00771B3F"/>
    <w:rsid w:val="00771B71"/>
    <w:rsid w:val="00772377"/>
    <w:rsid w:val="0077569E"/>
    <w:rsid w:val="0078163E"/>
    <w:rsid w:val="00784CD5"/>
    <w:rsid w:val="007931BD"/>
    <w:rsid w:val="00794005"/>
    <w:rsid w:val="0079613C"/>
    <w:rsid w:val="00796CBE"/>
    <w:rsid w:val="007A0987"/>
    <w:rsid w:val="007A3977"/>
    <w:rsid w:val="007A4B64"/>
    <w:rsid w:val="007A63C5"/>
    <w:rsid w:val="007B3B0B"/>
    <w:rsid w:val="007B4C88"/>
    <w:rsid w:val="007B5E72"/>
    <w:rsid w:val="007C40B4"/>
    <w:rsid w:val="007C5C0A"/>
    <w:rsid w:val="007C6A3E"/>
    <w:rsid w:val="007C6E30"/>
    <w:rsid w:val="007D2AA2"/>
    <w:rsid w:val="007D312E"/>
    <w:rsid w:val="007D5D3E"/>
    <w:rsid w:val="007E5037"/>
    <w:rsid w:val="007E59FD"/>
    <w:rsid w:val="007F1594"/>
    <w:rsid w:val="00800977"/>
    <w:rsid w:val="00800FBF"/>
    <w:rsid w:val="0080731F"/>
    <w:rsid w:val="00807A2C"/>
    <w:rsid w:val="00812112"/>
    <w:rsid w:val="00812674"/>
    <w:rsid w:val="008163CE"/>
    <w:rsid w:val="008242D1"/>
    <w:rsid w:val="0083547F"/>
    <w:rsid w:val="0083628A"/>
    <w:rsid w:val="00843129"/>
    <w:rsid w:val="00844854"/>
    <w:rsid w:val="0084519C"/>
    <w:rsid w:val="008472D0"/>
    <w:rsid w:val="008473EB"/>
    <w:rsid w:val="00855629"/>
    <w:rsid w:val="0085716A"/>
    <w:rsid w:val="00857FC9"/>
    <w:rsid w:val="008613DF"/>
    <w:rsid w:val="0086778F"/>
    <w:rsid w:val="00867DEB"/>
    <w:rsid w:val="008726C7"/>
    <w:rsid w:val="00872A94"/>
    <w:rsid w:val="00873DA4"/>
    <w:rsid w:val="0088022C"/>
    <w:rsid w:val="00887096"/>
    <w:rsid w:val="0088719A"/>
    <w:rsid w:val="00891F7E"/>
    <w:rsid w:val="008976D8"/>
    <w:rsid w:val="008A6BF7"/>
    <w:rsid w:val="008A73C6"/>
    <w:rsid w:val="008B4739"/>
    <w:rsid w:val="008B5FF5"/>
    <w:rsid w:val="008B783A"/>
    <w:rsid w:val="008C0BB8"/>
    <w:rsid w:val="008C3A3F"/>
    <w:rsid w:val="008C5578"/>
    <w:rsid w:val="008C5CD7"/>
    <w:rsid w:val="008D0684"/>
    <w:rsid w:val="008D1EDE"/>
    <w:rsid w:val="008E121E"/>
    <w:rsid w:val="008E2E51"/>
    <w:rsid w:val="008E49CC"/>
    <w:rsid w:val="008E51AB"/>
    <w:rsid w:val="008F0560"/>
    <w:rsid w:val="008F124E"/>
    <w:rsid w:val="008F22B9"/>
    <w:rsid w:val="008F398E"/>
    <w:rsid w:val="008F540A"/>
    <w:rsid w:val="0090123B"/>
    <w:rsid w:val="009052CA"/>
    <w:rsid w:val="00905CE1"/>
    <w:rsid w:val="00911C40"/>
    <w:rsid w:val="00920999"/>
    <w:rsid w:val="0092209C"/>
    <w:rsid w:val="009264DE"/>
    <w:rsid w:val="009333C9"/>
    <w:rsid w:val="00937AB7"/>
    <w:rsid w:val="00941868"/>
    <w:rsid w:val="009442E7"/>
    <w:rsid w:val="00951105"/>
    <w:rsid w:val="0095710E"/>
    <w:rsid w:val="009576AB"/>
    <w:rsid w:val="00960D42"/>
    <w:rsid w:val="00961D81"/>
    <w:rsid w:val="00963F48"/>
    <w:rsid w:val="009657DC"/>
    <w:rsid w:val="00965C8E"/>
    <w:rsid w:val="00966A21"/>
    <w:rsid w:val="009715E8"/>
    <w:rsid w:val="009720CA"/>
    <w:rsid w:val="00975106"/>
    <w:rsid w:val="00976C39"/>
    <w:rsid w:val="009774C1"/>
    <w:rsid w:val="00981556"/>
    <w:rsid w:val="00982C01"/>
    <w:rsid w:val="00983937"/>
    <w:rsid w:val="009845C8"/>
    <w:rsid w:val="00984982"/>
    <w:rsid w:val="009861EC"/>
    <w:rsid w:val="00986807"/>
    <w:rsid w:val="00986B05"/>
    <w:rsid w:val="00987BBC"/>
    <w:rsid w:val="0099225A"/>
    <w:rsid w:val="00997478"/>
    <w:rsid w:val="009A0A69"/>
    <w:rsid w:val="009A3FBA"/>
    <w:rsid w:val="009A6B27"/>
    <w:rsid w:val="009B09EA"/>
    <w:rsid w:val="009B2C25"/>
    <w:rsid w:val="009C0881"/>
    <w:rsid w:val="009C2C2B"/>
    <w:rsid w:val="009C3034"/>
    <w:rsid w:val="009D055D"/>
    <w:rsid w:val="009D0790"/>
    <w:rsid w:val="009D3EB8"/>
    <w:rsid w:val="009D6CF2"/>
    <w:rsid w:val="009E224B"/>
    <w:rsid w:val="009E5381"/>
    <w:rsid w:val="009E7184"/>
    <w:rsid w:val="009F087A"/>
    <w:rsid w:val="00A04C50"/>
    <w:rsid w:val="00A07F8D"/>
    <w:rsid w:val="00A1010F"/>
    <w:rsid w:val="00A15F51"/>
    <w:rsid w:val="00A2033F"/>
    <w:rsid w:val="00A20AE5"/>
    <w:rsid w:val="00A21040"/>
    <w:rsid w:val="00A22145"/>
    <w:rsid w:val="00A22F99"/>
    <w:rsid w:val="00A23AB8"/>
    <w:rsid w:val="00A259D9"/>
    <w:rsid w:val="00A26395"/>
    <w:rsid w:val="00A26E42"/>
    <w:rsid w:val="00A3296C"/>
    <w:rsid w:val="00A331CF"/>
    <w:rsid w:val="00A34B72"/>
    <w:rsid w:val="00A34B88"/>
    <w:rsid w:val="00A35819"/>
    <w:rsid w:val="00A363A8"/>
    <w:rsid w:val="00A36610"/>
    <w:rsid w:val="00A55E37"/>
    <w:rsid w:val="00A6499C"/>
    <w:rsid w:val="00A66E76"/>
    <w:rsid w:val="00A75685"/>
    <w:rsid w:val="00A84B6D"/>
    <w:rsid w:val="00A84E0B"/>
    <w:rsid w:val="00A90A31"/>
    <w:rsid w:val="00A950AA"/>
    <w:rsid w:val="00A95B6C"/>
    <w:rsid w:val="00AA0731"/>
    <w:rsid w:val="00AA0DF5"/>
    <w:rsid w:val="00AA28F6"/>
    <w:rsid w:val="00AA69F7"/>
    <w:rsid w:val="00AB1BDD"/>
    <w:rsid w:val="00AB2D8F"/>
    <w:rsid w:val="00AB6D6C"/>
    <w:rsid w:val="00AD008C"/>
    <w:rsid w:val="00AD221B"/>
    <w:rsid w:val="00AD3A1F"/>
    <w:rsid w:val="00AD673D"/>
    <w:rsid w:val="00AE283E"/>
    <w:rsid w:val="00AE5323"/>
    <w:rsid w:val="00AE7E28"/>
    <w:rsid w:val="00AF07F6"/>
    <w:rsid w:val="00AF0895"/>
    <w:rsid w:val="00AF1884"/>
    <w:rsid w:val="00AF2DD3"/>
    <w:rsid w:val="00AF52DA"/>
    <w:rsid w:val="00AF546B"/>
    <w:rsid w:val="00AF57B0"/>
    <w:rsid w:val="00AF7DAF"/>
    <w:rsid w:val="00B00ABC"/>
    <w:rsid w:val="00B102AD"/>
    <w:rsid w:val="00B11B3F"/>
    <w:rsid w:val="00B13530"/>
    <w:rsid w:val="00B17F2D"/>
    <w:rsid w:val="00B21D1C"/>
    <w:rsid w:val="00B22F8E"/>
    <w:rsid w:val="00B25439"/>
    <w:rsid w:val="00B267F5"/>
    <w:rsid w:val="00B309E8"/>
    <w:rsid w:val="00B312EC"/>
    <w:rsid w:val="00B31DAA"/>
    <w:rsid w:val="00B347FD"/>
    <w:rsid w:val="00B40C18"/>
    <w:rsid w:val="00B40CC3"/>
    <w:rsid w:val="00B41179"/>
    <w:rsid w:val="00B43210"/>
    <w:rsid w:val="00B464E5"/>
    <w:rsid w:val="00B51FF7"/>
    <w:rsid w:val="00B54BF3"/>
    <w:rsid w:val="00B56028"/>
    <w:rsid w:val="00B5612B"/>
    <w:rsid w:val="00B7271B"/>
    <w:rsid w:val="00B7697C"/>
    <w:rsid w:val="00B77DFB"/>
    <w:rsid w:val="00B84C57"/>
    <w:rsid w:val="00B8595C"/>
    <w:rsid w:val="00B874A4"/>
    <w:rsid w:val="00B91F9C"/>
    <w:rsid w:val="00B92F40"/>
    <w:rsid w:val="00B94390"/>
    <w:rsid w:val="00B944BA"/>
    <w:rsid w:val="00BA569A"/>
    <w:rsid w:val="00BA5F84"/>
    <w:rsid w:val="00BB121E"/>
    <w:rsid w:val="00BB1B30"/>
    <w:rsid w:val="00BC06A6"/>
    <w:rsid w:val="00BC6693"/>
    <w:rsid w:val="00BC6709"/>
    <w:rsid w:val="00BC79BE"/>
    <w:rsid w:val="00BD10A2"/>
    <w:rsid w:val="00BD19AA"/>
    <w:rsid w:val="00BE2944"/>
    <w:rsid w:val="00BE3510"/>
    <w:rsid w:val="00BE3C83"/>
    <w:rsid w:val="00BE4E85"/>
    <w:rsid w:val="00BE563C"/>
    <w:rsid w:val="00BF455F"/>
    <w:rsid w:val="00BF57E4"/>
    <w:rsid w:val="00C01AD2"/>
    <w:rsid w:val="00C0535E"/>
    <w:rsid w:val="00C07E77"/>
    <w:rsid w:val="00C10FD4"/>
    <w:rsid w:val="00C11685"/>
    <w:rsid w:val="00C123C9"/>
    <w:rsid w:val="00C12F8D"/>
    <w:rsid w:val="00C13094"/>
    <w:rsid w:val="00C13594"/>
    <w:rsid w:val="00C146D3"/>
    <w:rsid w:val="00C1495F"/>
    <w:rsid w:val="00C15044"/>
    <w:rsid w:val="00C172A1"/>
    <w:rsid w:val="00C26914"/>
    <w:rsid w:val="00C315F8"/>
    <w:rsid w:val="00C36720"/>
    <w:rsid w:val="00C37935"/>
    <w:rsid w:val="00C41281"/>
    <w:rsid w:val="00C43BBC"/>
    <w:rsid w:val="00C4723F"/>
    <w:rsid w:val="00C51B85"/>
    <w:rsid w:val="00C5387E"/>
    <w:rsid w:val="00C56953"/>
    <w:rsid w:val="00C56AFA"/>
    <w:rsid w:val="00C56EB0"/>
    <w:rsid w:val="00C60196"/>
    <w:rsid w:val="00C662C5"/>
    <w:rsid w:val="00C72BF0"/>
    <w:rsid w:val="00C7538A"/>
    <w:rsid w:val="00C7570A"/>
    <w:rsid w:val="00C80B79"/>
    <w:rsid w:val="00C87A83"/>
    <w:rsid w:val="00C91409"/>
    <w:rsid w:val="00C93A1F"/>
    <w:rsid w:val="00C93D57"/>
    <w:rsid w:val="00C96C2F"/>
    <w:rsid w:val="00CA05DC"/>
    <w:rsid w:val="00CA21FE"/>
    <w:rsid w:val="00CA31BE"/>
    <w:rsid w:val="00CA7983"/>
    <w:rsid w:val="00CB0BF8"/>
    <w:rsid w:val="00CC613B"/>
    <w:rsid w:val="00CD2DCC"/>
    <w:rsid w:val="00CD3623"/>
    <w:rsid w:val="00CD4930"/>
    <w:rsid w:val="00CE5075"/>
    <w:rsid w:val="00CE5989"/>
    <w:rsid w:val="00CE6B04"/>
    <w:rsid w:val="00CE7522"/>
    <w:rsid w:val="00CE7D07"/>
    <w:rsid w:val="00CF07C5"/>
    <w:rsid w:val="00CF104A"/>
    <w:rsid w:val="00CF21BB"/>
    <w:rsid w:val="00CF2686"/>
    <w:rsid w:val="00CF29E8"/>
    <w:rsid w:val="00CF46C8"/>
    <w:rsid w:val="00D01FDC"/>
    <w:rsid w:val="00D0237E"/>
    <w:rsid w:val="00D02A52"/>
    <w:rsid w:val="00D04C0B"/>
    <w:rsid w:val="00D076CD"/>
    <w:rsid w:val="00D13D66"/>
    <w:rsid w:val="00D167FC"/>
    <w:rsid w:val="00D16E52"/>
    <w:rsid w:val="00D21BBC"/>
    <w:rsid w:val="00D24882"/>
    <w:rsid w:val="00D30DBF"/>
    <w:rsid w:val="00D31AD1"/>
    <w:rsid w:val="00D32C6B"/>
    <w:rsid w:val="00D330B4"/>
    <w:rsid w:val="00D40E37"/>
    <w:rsid w:val="00D42A28"/>
    <w:rsid w:val="00D438E7"/>
    <w:rsid w:val="00D46FC4"/>
    <w:rsid w:val="00D503B4"/>
    <w:rsid w:val="00D559D9"/>
    <w:rsid w:val="00D61AAF"/>
    <w:rsid w:val="00D66D41"/>
    <w:rsid w:val="00D741CC"/>
    <w:rsid w:val="00D75BA3"/>
    <w:rsid w:val="00D7608B"/>
    <w:rsid w:val="00D776E4"/>
    <w:rsid w:val="00D815AA"/>
    <w:rsid w:val="00D833F7"/>
    <w:rsid w:val="00D83E84"/>
    <w:rsid w:val="00D85A1B"/>
    <w:rsid w:val="00D9005A"/>
    <w:rsid w:val="00D90468"/>
    <w:rsid w:val="00D9086A"/>
    <w:rsid w:val="00D95B6C"/>
    <w:rsid w:val="00DA18A2"/>
    <w:rsid w:val="00DA2AAA"/>
    <w:rsid w:val="00DA3D65"/>
    <w:rsid w:val="00DA3DFF"/>
    <w:rsid w:val="00DB130C"/>
    <w:rsid w:val="00DB3864"/>
    <w:rsid w:val="00DB569D"/>
    <w:rsid w:val="00DB59E7"/>
    <w:rsid w:val="00DB7FC8"/>
    <w:rsid w:val="00DD03B8"/>
    <w:rsid w:val="00DD0A25"/>
    <w:rsid w:val="00DD36F3"/>
    <w:rsid w:val="00DE1535"/>
    <w:rsid w:val="00DE1554"/>
    <w:rsid w:val="00DE2198"/>
    <w:rsid w:val="00DE4CDE"/>
    <w:rsid w:val="00DF5CDA"/>
    <w:rsid w:val="00DF62BA"/>
    <w:rsid w:val="00DF63D9"/>
    <w:rsid w:val="00E072EE"/>
    <w:rsid w:val="00E10FB0"/>
    <w:rsid w:val="00E13B69"/>
    <w:rsid w:val="00E15E03"/>
    <w:rsid w:val="00E16BBC"/>
    <w:rsid w:val="00E21BBB"/>
    <w:rsid w:val="00E25C8E"/>
    <w:rsid w:val="00E31332"/>
    <w:rsid w:val="00E356D2"/>
    <w:rsid w:val="00E417B4"/>
    <w:rsid w:val="00E427B1"/>
    <w:rsid w:val="00E43675"/>
    <w:rsid w:val="00E444C8"/>
    <w:rsid w:val="00E47E05"/>
    <w:rsid w:val="00E504B6"/>
    <w:rsid w:val="00E5149C"/>
    <w:rsid w:val="00E51B9D"/>
    <w:rsid w:val="00E53D40"/>
    <w:rsid w:val="00E53DCD"/>
    <w:rsid w:val="00E576CE"/>
    <w:rsid w:val="00E61C40"/>
    <w:rsid w:val="00E705EE"/>
    <w:rsid w:val="00E75237"/>
    <w:rsid w:val="00E7578E"/>
    <w:rsid w:val="00E761D7"/>
    <w:rsid w:val="00E825F4"/>
    <w:rsid w:val="00E82CF6"/>
    <w:rsid w:val="00E83D04"/>
    <w:rsid w:val="00E903E7"/>
    <w:rsid w:val="00E93D40"/>
    <w:rsid w:val="00E93FC8"/>
    <w:rsid w:val="00E958E0"/>
    <w:rsid w:val="00E96971"/>
    <w:rsid w:val="00EA0655"/>
    <w:rsid w:val="00EA3E2D"/>
    <w:rsid w:val="00EA61F3"/>
    <w:rsid w:val="00EB07BE"/>
    <w:rsid w:val="00EB0D2A"/>
    <w:rsid w:val="00EB14B5"/>
    <w:rsid w:val="00EB27F1"/>
    <w:rsid w:val="00EB37CD"/>
    <w:rsid w:val="00EB45FB"/>
    <w:rsid w:val="00EC4849"/>
    <w:rsid w:val="00EC50C3"/>
    <w:rsid w:val="00EC55BF"/>
    <w:rsid w:val="00ED0B01"/>
    <w:rsid w:val="00ED3A72"/>
    <w:rsid w:val="00ED3B2E"/>
    <w:rsid w:val="00ED45FE"/>
    <w:rsid w:val="00ED6AB9"/>
    <w:rsid w:val="00ED6F77"/>
    <w:rsid w:val="00EE0E8D"/>
    <w:rsid w:val="00EE13C6"/>
    <w:rsid w:val="00EE3563"/>
    <w:rsid w:val="00EE7598"/>
    <w:rsid w:val="00EF1C5F"/>
    <w:rsid w:val="00EF4474"/>
    <w:rsid w:val="00EF5E4F"/>
    <w:rsid w:val="00EF6600"/>
    <w:rsid w:val="00F03D94"/>
    <w:rsid w:val="00F03DFD"/>
    <w:rsid w:val="00F05818"/>
    <w:rsid w:val="00F1003D"/>
    <w:rsid w:val="00F14A01"/>
    <w:rsid w:val="00F15768"/>
    <w:rsid w:val="00F204FA"/>
    <w:rsid w:val="00F22DB9"/>
    <w:rsid w:val="00F274EC"/>
    <w:rsid w:val="00F31FCC"/>
    <w:rsid w:val="00F334D6"/>
    <w:rsid w:val="00F36FDB"/>
    <w:rsid w:val="00F42908"/>
    <w:rsid w:val="00F4369A"/>
    <w:rsid w:val="00F44689"/>
    <w:rsid w:val="00F45182"/>
    <w:rsid w:val="00F45559"/>
    <w:rsid w:val="00F50CC3"/>
    <w:rsid w:val="00F51D87"/>
    <w:rsid w:val="00F5269F"/>
    <w:rsid w:val="00F53824"/>
    <w:rsid w:val="00F53EA0"/>
    <w:rsid w:val="00F54B72"/>
    <w:rsid w:val="00F57D5C"/>
    <w:rsid w:val="00F61144"/>
    <w:rsid w:val="00F64E33"/>
    <w:rsid w:val="00F65C27"/>
    <w:rsid w:val="00F6678C"/>
    <w:rsid w:val="00F66C7E"/>
    <w:rsid w:val="00F67F4C"/>
    <w:rsid w:val="00F7190B"/>
    <w:rsid w:val="00F73453"/>
    <w:rsid w:val="00F75AFF"/>
    <w:rsid w:val="00F766C2"/>
    <w:rsid w:val="00F76C02"/>
    <w:rsid w:val="00F76DB8"/>
    <w:rsid w:val="00F8057D"/>
    <w:rsid w:val="00F826D8"/>
    <w:rsid w:val="00F86DD5"/>
    <w:rsid w:val="00F97139"/>
    <w:rsid w:val="00FA0AE4"/>
    <w:rsid w:val="00FA269D"/>
    <w:rsid w:val="00FA2D37"/>
    <w:rsid w:val="00FA633C"/>
    <w:rsid w:val="00FB5CC7"/>
    <w:rsid w:val="00FC2C50"/>
    <w:rsid w:val="00FC5B9B"/>
    <w:rsid w:val="00FD06CE"/>
    <w:rsid w:val="00FD15B0"/>
    <w:rsid w:val="00FD1AB8"/>
    <w:rsid w:val="00FD5262"/>
    <w:rsid w:val="00FE10BD"/>
    <w:rsid w:val="00FE13A0"/>
    <w:rsid w:val="00FF165A"/>
    <w:rsid w:val="00FF28DD"/>
    <w:rsid w:val="00FF569C"/>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3A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72"/>
    <w:rPr>
      <w:color w:val="000000"/>
      <w:sz w:val="24"/>
      <w:szCs w:val="24"/>
    </w:rPr>
  </w:style>
  <w:style w:type="paragraph" w:styleId="Heading1">
    <w:name w:val="heading 1"/>
    <w:aliases w:val="Part Title"/>
    <w:basedOn w:val="Normal"/>
    <w:next w:val="Heading4"/>
    <w:link w:val="Heading1Char"/>
    <w:qFormat/>
    <w:rsid w:val="00ED3A72"/>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ED3A72"/>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D3A7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D3A72"/>
    <w:pPr>
      <w:spacing w:after="240"/>
      <w:outlineLvl w:val="3"/>
    </w:pPr>
    <w:rPr>
      <w:rFonts w:ascii="Arial" w:hAnsi="Arial" w:cs="Arial"/>
      <w:b/>
      <w:sz w:val="32"/>
      <w:szCs w:val="20"/>
    </w:rPr>
  </w:style>
  <w:style w:type="paragraph" w:styleId="Heading5">
    <w:name w:val="heading 5"/>
    <w:aliases w:val="Block Label"/>
    <w:basedOn w:val="Normal"/>
    <w:qFormat/>
    <w:rsid w:val="00ED3A72"/>
    <w:pPr>
      <w:outlineLvl w:val="4"/>
    </w:pPr>
    <w:rPr>
      <w:b/>
      <w:sz w:val="22"/>
      <w:szCs w:val="20"/>
    </w:rPr>
  </w:style>
  <w:style w:type="paragraph" w:styleId="Heading6">
    <w:name w:val="heading 6"/>
    <w:aliases w:val="Sub Label"/>
    <w:basedOn w:val="Heading5"/>
    <w:next w:val="BlockText"/>
    <w:link w:val="Heading6Char"/>
    <w:qFormat/>
    <w:rsid w:val="00ED3A7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qFormat/>
    <w:rsid w:val="00ED3A72"/>
    <w:pPr>
      <w:numPr>
        <w:numId w:val="2"/>
      </w:numPr>
    </w:pPr>
    <w:rPr>
      <w:szCs w:val="20"/>
    </w:rPr>
  </w:style>
  <w:style w:type="paragraph" w:customStyle="1" w:styleId="BulletText2">
    <w:name w:val="Bullet Text 2"/>
    <w:basedOn w:val="Normal"/>
    <w:rsid w:val="00ED3A72"/>
    <w:pPr>
      <w:numPr>
        <w:numId w:val="4"/>
      </w:numPr>
    </w:pPr>
    <w:rPr>
      <w:szCs w:val="20"/>
    </w:rPr>
  </w:style>
  <w:style w:type="paragraph" w:styleId="ListBullet">
    <w:name w:val="List Bullet"/>
    <w:basedOn w:val="Normal"/>
    <w:autoRedefine/>
    <w:semiHidden/>
    <w:rsid w:val="007931BD"/>
    <w:pPr>
      <w:numPr>
        <w:numId w:val="1"/>
      </w:numPr>
    </w:pPr>
  </w:style>
  <w:style w:type="paragraph" w:customStyle="1" w:styleId="BulletText3">
    <w:name w:val="Bullet Text 3"/>
    <w:basedOn w:val="Normal"/>
    <w:rsid w:val="00ED3A72"/>
    <w:pPr>
      <w:numPr>
        <w:numId w:val="3"/>
      </w:numPr>
      <w:tabs>
        <w:tab w:val="clear" w:pos="173"/>
      </w:tabs>
      <w:ind w:left="533" w:hanging="173"/>
    </w:pPr>
    <w:rPr>
      <w:szCs w:val="20"/>
    </w:rPr>
  </w:style>
  <w:style w:type="paragraph" w:customStyle="1" w:styleId="BlockLine">
    <w:name w:val="Block Line"/>
    <w:basedOn w:val="Normal"/>
    <w:next w:val="Normal"/>
    <w:rsid w:val="00ED3A72"/>
    <w:pPr>
      <w:pBdr>
        <w:top w:val="single" w:sz="6" w:space="1" w:color="000000"/>
        <w:between w:val="single" w:sz="6" w:space="1" w:color="auto"/>
      </w:pBdr>
      <w:spacing w:before="240"/>
      <w:ind w:left="1728"/>
    </w:pPr>
    <w:rPr>
      <w:szCs w:val="20"/>
    </w:rPr>
  </w:style>
  <w:style w:type="paragraph" w:styleId="BlockText">
    <w:name w:val="Block Text"/>
    <w:basedOn w:val="Normal"/>
    <w:qFormat/>
    <w:rsid w:val="00ED3A72"/>
  </w:style>
  <w:style w:type="paragraph" w:customStyle="1" w:styleId="TableHeaderText">
    <w:name w:val="Table Header Text"/>
    <w:basedOn w:val="Normal"/>
    <w:rsid w:val="00ED3A72"/>
    <w:pPr>
      <w:jc w:val="center"/>
    </w:pPr>
    <w:rPr>
      <w:b/>
      <w:szCs w:val="20"/>
    </w:rPr>
  </w:style>
  <w:style w:type="paragraph" w:customStyle="1" w:styleId="TableText">
    <w:name w:val="Table Text"/>
    <w:basedOn w:val="Normal"/>
    <w:rsid w:val="00ED3A72"/>
    <w:rPr>
      <w:szCs w:val="20"/>
    </w:rPr>
  </w:style>
  <w:style w:type="character" w:styleId="Hyperlink">
    <w:name w:val="Hyperlink"/>
    <w:uiPriority w:val="99"/>
    <w:rsid w:val="00ED3A72"/>
    <w:rPr>
      <w:color w:val="0000FF"/>
      <w:u w:val="single"/>
    </w:rPr>
  </w:style>
  <w:style w:type="paragraph" w:customStyle="1" w:styleId="ContinuedOnNextPa">
    <w:name w:val="Continued On Next Pa"/>
    <w:basedOn w:val="Normal"/>
    <w:next w:val="Normal"/>
    <w:rsid w:val="00ED3A72"/>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ED3A72"/>
    <w:pPr>
      <w:spacing w:after="240"/>
    </w:pPr>
    <w:rPr>
      <w:rFonts w:ascii="Arial" w:hAnsi="Arial" w:cs="Arial"/>
      <w:b/>
      <w:sz w:val="32"/>
      <w:szCs w:val="20"/>
    </w:rPr>
  </w:style>
  <w:style w:type="paragraph" w:customStyle="1" w:styleId="NoteText">
    <w:name w:val="Note Text"/>
    <w:basedOn w:val="Normal"/>
    <w:rsid w:val="00ED3A72"/>
    <w:rPr>
      <w:szCs w:val="20"/>
    </w:rPr>
  </w:style>
  <w:style w:type="character" w:styleId="Emphasis">
    <w:name w:val="Emphasis"/>
    <w:basedOn w:val="DefaultParagraphFont"/>
    <w:uiPriority w:val="20"/>
    <w:qFormat/>
    <w:rsid w:val="007931BD"/>
    <w:rPr>
      <w:i/>
      <w:sz w:val="20"/>
    </w:rPr>
  </w:style>
  <w:style w:type="paragraph" w:styleId="Header">
    <w:name w:val="header"/>
    <w:basedOn w:val="Normal"/>
    <w:link w:val="HeaderChar"/>
    <w:rsid w:val="00ED3A72"/>
    <w:pPr>
      <w:tabs>
        <w:tab w:val="center" w:pos="4680"/>
        <w:tab w:val="right" w:pos="9360"/>
      </w:tabs>
    </w:pPr>
    <w:rPr>
      <w:color w:val="auto"/>
    </w:rPr>
  </w:style>
  <w:style w:type="character" w:styleId="PageNumber">
    <w:name w:val="page number"/>
    <w:basedOn w:val="DefaultParagraphFont"/>
    <w:semiHidden/>
    <w:rsid w:val="007931BD"/>
  </w:style>
  <w:style w:type="paragraph" w:styleId="Footer">
    <w:name w:val="footer"/>
    <w:basedOn w:val="Normal"/>
    <w:link w:val="FooterChar"/>
    <w:rsid w:val="00ED3A72"/>
    <w:pPr>
      <w:tabs>
        <w:tab w:val="center" w:pos="4680"/>
        <w:tab w:val="right" w:pos="9360"/>
      </w:tabs>
    </w:pPr>
    <w:rPr>
      <w:color w:val="auto"/>
    </w:rPr>
  </w:style>
  <w:style w:type="character" w:customStyle="1" w:styleId="Heading1Char">
    <w:name w:val="Heading 1 Char"/>
    <w:aliases w:val="Part Title Char"/>
    <w:basedOn w:val="DefaultParagraphFont"/>
    <w:link w:val="Heading1"/>
    <w:rsid w:val="00F53824"/>
    <w:rPr>
      <w:rFonts w:ascii="Arial" w:hAnsi="Arial" w:cs="Arial"/>
      <w:b/>
      <w:color w:val="000000"/>
      <w:sz w:val="32"/>
    </w:rPr>
  </w:style>
  <w:style w:type="character" w:customStyle="1" w:styleId="Heading2Char">
    <w:name w:val="Heading 2 Char"/>
    <w:aliases w:val="Chapter Title Char"/>
    <w:basedOn w:val="DefaultParagraphFont"/>
    <w:link w:val="Heading2"/>
    <w:rsid w:val="00F53824"/>
    <w:rPr>
      <w:rFonts w:ascii="Arial" w:hAnsi="Arial" w:cs="Arial"/>
      <w:b/>
      <w:color w:val="000000"/>
      <w:sz w:val="32"/>
    </w:rPr>
  </w:style>
  <w:style w:type="character" w:customStyle="1" w:styleId="Heading6Char">
    <w:name w:val="Heading 6 Char"/>
    <w:aliases w:val="Sub Label Char"/>
    <w:basedOn w:val="DefaultParagraphFont"/>
    <w:link w:val="Heading6"/>
    <w:rsid w:val="00F53824"/>
    <w:rPr>
      <w:b/>
      <w:i/>
      <w:color w:val="000000"/>
      <w:sz w:val="22"/>
    </w:rPr>
  </w:style>
  <w:style w:type="paragraph" w:styleId="BalloonText">
    <w:name w:val="Balloon Text"/>
    <w:basedOn w:val="Normal"/>
    <w:semiHidden/>
    <w:rsid w:val="00ED3A72"/>
    <w:rPr>
      <w:rFonts w:ascii="Tahoma" w:hAnsi="Tahoma" w:cs="Tahoma"/>
      <w:sz w:val="16"/>
      <w:szCs w:val="16"/>
    </w:rPr>
  </w:style>
  <w:style w:type="character" w:customStyle="1" w:styleId="FooterChar">
    <w:name w:val="Footer Char"/>
    <w:link w:val="Footer"/>
    <w:rsid w:val="00ED3A72"/>
    <w:rPr>
      <w:sz w:val="24"/>
      <w:szCs w:val="24"/>
    </w:rPr>
  </w:style>
  <w:style w:type="paragraph" w:customStyle="1" w:styleId="ContinuedBlockLabel">
    <w:name w:val="Continued Block Label"/>
    <w:basedOn w:val="Normal"/>
    <w:next w:val="Normal"/>
    <w:rsid w:val="00ED3A72"/>
    <w:pPr>
      <w:spacing w:after="240"/>
    </w:pPr>
    <w:rPr>
      <w:b/>
      <w:sz w:val="22"/>
      <w:szCs w:val="20"/>
    </w:rPr>
  </w:style>
  <w:style w:type="paragraph" w:customStyle="1" w:styleId="ContinuedTableLabe">
    <w:name w:val="Continued Table Labe"/>
    <w:basedOn w:val="Normal"/>
    <w:next w:val="Normal"/>
    <w:rsid w:val="00ED3A72"/>
    <w:pPr>
      <w:spacing w:after="240"/>
    </w:pPr>
    <w:rPr>
      <w:b/>
      <w:sz w:val="22"/>
      <w:szCs w:val="20"/>
    </w:rPr>
  </w:style>
  <w:style w:type="paragraph" w:customStyle="1" w:styleId="EmbeddedText">
    <w:name w:val="Embedded Text"/>
    <w:basedOn w:val="Normal"/>
    <w:rsid w:val="00ED3A72"/>
    <w:rPr>
      <w:szCs w:val="20"/>
    </w:rPr>
  </w:style>
  <w:style w:type="character" w:styleId="HTMLAcronym">
    <w:name w:val="HTML Acronym"/>
    <w:basedOn w:val="DefaultParagraphFont"/>
    <w:rsid w:val="00ED3A72"/>
  </w:style>
  <w:style w:type="paragraph" w:customStyle="1" w:styleId="IMTOC">
    <w:name w:val="IMTOC"/>
    <w:rsid w:val="00ED3A72"/>
    <w:rPr>
      <w:sz w:val="24"/>
    </w:rPr>
  </w:style>
  <w:style w:type="paragraph" w:customStyle="1" w:styleId="MemoLine">
    <w:name w:val="Memo Line"/>
    <w:basedOn w:val="BlockLine"/>
    <w:next w:val="Normal"/>
    <w:rsid w:val="00ED3A72"/>
  </w:style>
  <w:style w:type="paragraph" w:customStyle="1" w:styleId="PublicationTitle">
    <w:name w:val="Publication Title"/>
    <w:basedOn w:val="Normal"/>
    <w:next w:val="Heading4"/>
    <w:rsid w:val="00ED3A72"/>
    <w:pPr>
      <w:spacing w:after="240"/>
      <w:jc w:val="center"/>
    </w:pPr>
    <w:rPr>
      <w:rFonts w:ascii="Arial" w:hAnsi="Arial" w:cs="Arial"/>
      <w:b/>
      <w:sz w:val="32"/>
      <w:szCs w:val="20"/>
    </w:rPr>
  </w:style>
  <w:style w:type="table" w:styleId="TableGrid">
    <w:name w:val="Table Grid"/>
    <w:basedOn w:val="TableNormal"/>
    <w:rsid w:val="00ED3A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ED3A72"/>
    <w:pPr>
      <w:widowControl w:val="0"/>
    </w:pPr>
    <w:rPr>
      <w:rFonts w:ascii="Arial" w:hAnsi="Arial" w:cs="Arial"/>
      <w:b/>
      <w:sz w:val="32"/>
      <w:szCs w:val="20"/>
    </w:rPr>
  </w:style>
  <w:style w:type="paragraph" w:customStyle="1" w:styleId="TOCItem">
    <w:name w:val="TOCItem"/>
    <w:basedOn w:val="Normal"/>
    <w:rsid w:val="00ED3A72"/>
    <w:pPr>
      <w:tabs>
        <w:tab w:val="left" w:leader="dot" w:pos="7061"/>
        <w:tab w:val="right" w:pos="7524"/>
      </w:tabs>
      <w:spacing w:before="60" w:after="60"/>
      <w:ind w:right="465"/>
    </w:pPr>
    <w:rPr>
      <w:szCs w:val="20"/>
    </w:rPr>
  </w:style>
  <w:style w:type="paragraph" w:customStyle="1" w:styleId="TOCStem">
    <w:name w:val="TOCStem"/>
    <w:basedOn w:val="Normal"/>
    <w:rsid w:val="00ED3A72"/>
    <w:rPr>
      <w:szCs w:val="20"/>
    </w:rPr>
  </w:style>
  <w:style w:type="character" w:customStyle="1" w:styleId="CharChar2">
    <w:name w:val="Char Char2"/>
    <w:rsid w:val="003D593A"/>
    <w:rPr>
      <w:sz w:val="24"/>
      <w:szCs w:val="24"/>
    </w:rPr>
  </w:style>
  <w:style w:type="character" w:customStyle="1" w:styleId="HeaderChar">
    <w:name w:val="Header Char"/>
    <w:link w:val="Header"/>
    <w:rsid w:val="00ED3A72"/>
    <w:rPr>
      <w:sz w:val="24"/>
      <w:szCs w:val="24"/>
    </w:rPr>
  </w:style>
  <w:style w:type="character" w:styleId="FollowedHyperlink">
    <w:name w:val="FollowedHyperlink"/>
    <w:rsid w:val="00ED3A72"/>
    <w:rPr>
      <w:color w:val="800080"/>
      <w:u w:val="single"/>
    </w:rPr>
  </w:style>
  <w:style w:type="paragraph" w:styleId="TOC3">
    <w:name w:val="toc 3"/>
    <w:basedOn w:val="Normal"/>
    <w:next w:val="Normal"/>
    <w:autoRedefine/>
    <w:uiPriority w:val="39"/>
    <w:rsid w:val="00ED3A72"/>
    <w:pPr>
      <w:ind w:left="480"/>
    </w:pPr>
  </w:style>
  <w:style w:type="paragraph" w:styleId="TOC4">
    <w:name w:val="toc 4"/>
    <w:basedOn w:val="Normal"/>
    <w:next w:val="Normal"/>
    <w:autoRedefine/>
    <w:uiPriority w:val="39"/>
    <w:rsid w:val="00ED3A72"/>
    <w:pPr>
      <w:ind w:left="720"/>
    </w:pPr>
  </w:style>
  <w:style w:type="character" w:styleId="CommentReference">
    <w:name w:val="annotation reference"/>
    <w:basedOn w:val="DefaultParagraphFont"/>
    <w:uiPriority w:val="99"/>
    <w:unhideWhenUsed/>
    <w:rsid w:val="00986807"/>
    <w:rPr>
      <w:sz w:val="16"/>
      <w:szCs w:val="16"/>
    </w:rPr>
  </w:style>
  <w:style w:type="paragraph" w:styleId="CommentText">
    <w:name w:val="annotation text"/>
    <w:basedOn w:val="Normal"/>
    <w:link w:val="CommentTextChar"/>
    <w:uiPriority w:val="99"/>
    <w:unhideWhenUsed/>
    <w:rsid w:val="00986807"/>
    <w:rPr>
      <w:sz w:val="20"/>
      <w:szCs w:val="20"/>
    </w:rPr>
  </w:style>
  <w:style w:type="character" w:customStyle="1" w:styleId="CommentTextChar">
    <w:name w:val="Comment Text Char"/>
    <w:basedOn w:val="DefaultParagraphFont"/>
    <w:link w:val="CommentText"/>
    <w:uiPriority w:val="99"/>
    <w:rsid w:val="00986807"/>
    <w:rPr>
      <w:color w:val="000000"/>
    </w:rPr>
  </w:style>
  <w:style w:type="paragraph" w:styleId="CommentSubject">
    <w:name w:val="annotation subject"/>
    <w:basedOn w:val="CommentText"/>
    <w:next w:val="CommentText"/>
    <w:link w:val="CommentSubjectChar"/>
    <w:uiPriority w:val="99"/>
    <w:semiHidden/>
    <w:unhideWhenUsed/>
    <w:rsid w:val="00986807"/>
    <w:rPr>
      <w:b/>
      <w:bCs/>
    </w:rPr>
  </w:style>
  <w:style w:type="character" w:customStyle="1" w:styleId="CommentSubjectChar">
    <w:name w:val="Comment Subject Char"/>
    <w:basedOn w:val="CommentTextChar"/>
    <w:link w:val="CommentSubject"/>
    <w:uiPriority w:val="99"/>
    <w:semiHidden/>
    <w:rsid w:val="00986807"/>
    <w:rPr>
      <w:b/>
      <w:bCs/>
      <w:color w:val="000000"/>
    </w:rPr>
  </w:style>
  <w:style w:type="paragraph" w:styleId="ListParagraph">
    <w:name w:val="List Paragraph"/>
    <w:basedOn w:val="Normal"/>
    <w:uiPriority w:val="34"/>
    <w:qFormat/>
    <w:rsid w:val="00751803"/>
    <w:pPr>
      <w:ind w:left="720"/>
      <w:contextualSpacing/>
    </w:pPr>
  </w:style>
  <w:style w:type="paragraph" w:styleId="Revision">
    <w:name w:val="Revision"/>
    <w:hidden/>
    <w:uiPriority w:val="99"/>
    <w:semiHidden/>
    <w:rsid w:val="00714498"/>
    <w:rPr>
      <w:color w:val="000000"/>
      <w:sz w:val="24"/>
      <w:szCs w:val="24"/>
    </w:rPr>
  </w:style>
  <w:style w:type="character" w:customStyle="1" w:styleId="scrollhere">
    <w:name w:val="scrollhere"/>
    <w:basedOn w:val="DefaultParagraphFont"/>
    <w:rsid w:val="00922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72"/>
    <w:rPr>
      <w:color w:val="000000"/>
      <w:sz w:val="24"/>
      <w:szCs w:val="24"/>
    </w:rPr>
  </w:style>
  <w:style w:type="paragraph" w:styleId="Heading1">
    <w:name w:val="heading 1"/>
    <w:aliases w:val="Part Title"/>
    <w:basedOn w:val="Normal"/>
    <w:next w:val="Heading4"/>
    <w:link w:val="Heading1Char"/>
    <w:qFormat/>
    <w:rsid w:val="00ED3A72"/>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ED3A72"/>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D3A7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D3A72"/>
    <w:pPr>
      <w:spacing w:after="240"/>
      <w:outlineLvl w:val="3"/>
    </w:pPr>
    <w:rPr>
      <w:rFonts w:ascii="Arial" w:hAnsi="Arial" w:cs="Arial"/>
      <w:b/>
      <w:sz w:val="32"/>
      <w:szCs w:val="20"/>
    </w:rPr>
  </w:style>
  <w:style w:type="paragraph" w:styleId="Heading5">
    <w:name w:val="heading 5"/>
    <w:aliases w:val="Block Label"/>
    <w:basedOn w:val="Normal"/>
    <w:qFormat/>
    <w:rsid w:val="00ED3A72"/>
    <w:pPr>
      <w:outlineLvl w:val="4"/>
    </w:pPr>
    <w:rPr>
      <w:b/>
      <w:sz w:val="22"/>
      <w:szCs w:val="20"/>
    </w:rPr>
  </w:style>
  <w:style w:type="paragraph" w:styleId="Heading6">
    <w:name w:val="heading 6"/>
    <w:aliases w:val="Sub Label"/>
    <w:basedOn w:val="Heading5"/>
    <w:next w:val="BlockText"/>
    <w:link w:val="Heading6Char"/>
    <w:qFormat/>
    <w:rsid w:val="00ED3A7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qFormat/>
    <w:rsid w:val="00ED3A72"/>
    <w:pPr>
      <w:numPr>
        <w:numId w:val="2"/>
      </w:numPr>
    </w:pPr>
    <w:rPr>
      <w:szCs w:val="20"/>
    </w:rPr>
  </w:style>
  <w:style w:type="paragraph" w:customStyle="1" w:styleId="BulletText2">
    <w:name w:val="Bullet Text 2"/>
    <w:basedOn w:val="Normal"/>
    <w:rsid w:val="00ED3A72"/>
    <w:pPr>
      <w:numPr>
        <w:numId w:val="4"/>
      </w:numPr>
    </w:pPr>
    <w:rPr>
      <w:szCs w:val="20"/>
    </w:rPr>
  </w:style>
  <w:style w:type="paragraph" w:styleId="ListBullet">
    <w:name w:val="List Bullet"/>
    <w:basedOn w:val="Normal"/>
    <w:autoRedefine/>
    <w:semiHidden/>
    <w:rsid w:val="007931BD"/>
    <w:pPr>
      <w:numPr>
        <w:numId w:val="1"/>
      </w:numPr>
    </w:pPr>
  </w:style>
  <w:style w:type="paragraph" w:customStyle="1" w:styleId="BulletText3">
    <w:name w:val="Bullet Text 3"/>
    <w:basedOn w:val="Normal"/>
    <w:rsid w:val="00ED3A72"/>
    <w:pPr>
      <w:numPr>
        <w:numId w:val="3"/>
      </w:numPr>
      <w:tabs>
        <w:tab w:val="clear" w:pos="173"/>
      </w:tabs>
      <w:ind w:left="533" w:hanging="173"/>
    </w:pPr>
    <w:rPr>
      <w:szCs w:val="20"/>
    </w:rPr>
  </w:style>
  <w:style w:type="paragraph" w:customStyle="1" w:styleId="BlockLine">
    <w:name w:val="Block Line"/>
    <w:basedOn w:val="Normal"/>
    <w:next w:val="Normal"/>
    <w:rsid w:val="00ED3A72"/>
    <w:pPr>
      <w:pBdr>
        <w:top w:val="single" w:sz="6" w:space="1" w:color="000000"/>
        <w:between w:val="single" w:sz="6" w:space="1" w:color="auto"/>
      </w:pBdr>
      <w:spacing w:before="240"/>
      <w:ind w:left="1728"/>
    </w:pPr>
    <w:rPr>
      <w:szCs w:val="20"/>
    </w:rPr>
  </w:style>
  <w:style w:type="paragraph" w:styleId="BlockText">
    <w:name w:val="Block Text"/>
    <w:basedOn w:val="Normal"/>
    <w:qFormat/>
    <w:rsid w:val="00ED3A72"/>
  </w:style>
  <w:style w:type="paragraph" w:customStyle="1" w:styleId="TableHeaderText">
    <w:name w:val="Table Header Text"/>
    <w:basedOn w:val="Normal"/>
    <w:rsid w:val="00ED3A72"/>
    <w:pPr>
      <w:jc w:val="center"/>
    </w:pPr>
    <w:rPr>
      <w:b/>
      <w:szCs w:val="20"/>
    </w:rPr>
  </w:style>
  <w:style w:type="paragraph" w:customStyle="1" w:styleId="TableText">
    <w:name w:val="Table Text"/>
    <w:basedOn w:val="Normal"/>
    <w:rsid w:val="00ED3A72"/>
    <w:rPr>
      <w:szCs w:val="20"/>
    </w:rPr>
  </w:style>
  <w:style w:type="character" w:styleId="Hyperlink">
    <w:name w:val="Hyperlink"/>
    <w:uiPriority w:val="99"/>
    <w:rsid w:val="00ED3A72"/>
    <w:rPr>
      <w:color w:val="0000FF"/>
      <w:u w:val="single"/>
    </w:rPr>
  </w:style>
  <w:style w:type="paragraph" w:customStyle="1" w:styleId="ContinuedOnNextPa">
    <w:name w:val="Continued On Next Pa"/>
    <w:basedOn w:val="Normal"/>
    <w:next w:val="Normal"/>
    <w:rsid w:val="00ED3A72"/>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ED3A72"/>
    <w:pPr>
      <w:spacing w:after="240"/>
    </w:pPr>
    <w:rPr>
      <w:rFonts w:ascii="Arial" w:hAnsi="Arial" w:cs="Arial"/>
      <w:b/>
      <w:sz w:val="32"/>
      <w:szCs w:val="20"/>
    </w:rPr>
  </w:style>
  <w:style w:type="paragraph" w:customStyle="1" w:styleId="NoteText">
    <w:name w:val="Note Text"/>
    <w:basedOn w:val="Normal"/>
    <w:rsid w:val="00ED3A72"/>
    <w:rPr>
      <w:szCs w:val="20"/>
    </w:rPr>
  </w:style>
  <w:style w:type="character" w:styleId="Emphasis">
    <w:name w:val="Emphasis"/>
    <w:basedOn w:val="DefaultParagraphFont"/>
    <w:uiPriority w:val="20"/>
    <w:qFormat/>
    <w:rsid w:val="007931BD"/>
    <w:rPr>
      <w:i/>
      <w:sz w:val="20"/>
    </w:rPr>
  </w:style>
  <w:style w:type="paragraph" w:styleId="Header">
    <w:name w:val="header"/>
    <w:basedOn w:val="Normal"/>
    <w:link w:val="HeaderChar"/>
    <w:rsid w:val="00ED3A72"/>
    <w:pPr>
      <w:tabs>
        <w:tab w:val="center" w:pos="4680"/>
        <w:tab w:val="right" w:pos="9360"/>
      </w:tabs>
    </w:pPr>
    <w:rPr>
      <w:color w:val="auto"/>
    </w:rPr>
  </w:style>
  <w:style w:type="character" w:styleId="PageNumber">
    <w:name w:val="page number"/>
    <w:basedOn w:val="DefaultParagraphFont"/>
    <w:semiHidden/>
    <w:rsid w:val="007931BD"/>
  </w:style>
  <w:style w:type="paragraph" w:styleId="Footer">
    <w:name w:val="footer"/>
    <w:basedOn w:val="Normal"/>
    <w:link w:val="FooterChar"/>
    <w:rsid w:val="00ED3A72"/>
    <w:pPr>
      <w:tabs>
        <w:tab w:val="center" w:pos="4680"/>
        <w:tab w:val="right" w:pos="9360"/>
      </w:tabs>
    </w:pPr>
    <w:rPr>
      <w:color w:val="auto"/>
    </w:rPr>
  </w:style>
  <w:style w:type="character" w:customStyle="1" w:styleId="Heading1Char">
    <w:name w:val="Heading 1 Char"/>
    <w:aliases w:val="Part Title Char"/>
    <w:basedOn w:val="DefaultParagraphFont"/>
    <w:link w:val="Heading1"/>
    <w:rsid w:val="00F53824"/>
    <w:rPr>
      <w:rFonts w:ascii="Arial" w:hAnsi="Arial" w:cs="Arial"/>
      <w:b/>
      <w:color w:val="000000"/>
      <w:sz w:val="32"/>
    </w:rPr>
  </w:style>
  <w:style w:type="character" w:customStyle="1" w:styleId="Heading2Char">
    <w:name w:val="Heading 2 Char"/>
    <w:aliases w:val="Chapter Title Char"/>
    <w:basedOn w:val="DefaultParagraphFont"/>
    <w:link w:val="Heading2"/>
    <w:rsid w:val="00F53824"/>
    <w:rPr>
      <w:rFonts w:ascii="Arial" w:hAnsi="Arial" w:cs="Arial"/>
      <w:b/>
      <w:color w:val="000000"/>
      <w:sz w:val="32"/>
    </w:rPr>
  </w:style>
  <w:style w:type="character" w:customStyle="1" w:styleId="Heading6Char">
    <w:name w:val="Heading 6 Char"/>
    <w:aliases w:val="Sub Label Char"/>
    <w:basedOn w:val="DefaultParagraphFont"/>
    <w:link w:val="Heading6"/>
    <w:rsid w:val="00F53824"/>
    <w:rPr>
      <w:b/>
      <w:i/>
      <w:color w:val="000000"/>
      <w:sz w:val="22"/>
    </w:rPr>
  </w:style>
  <w:style w:type="paragraph" w:styleId="BalloonText">
    <w:name w:val="Balloon Text"/>
    <w:basedOn w:val="Normal"/>
    <w:semiHidden/>
    <w:rsid w:val="00ED3A72"/>
    <w:rPr>
      <w:rFonts w:ascii="Tahoma" w:hAnsi="Tahoma" w:cs="Tahoma"/>
      <w:sz w:val="16"/>
      <w:szCs w:val="16"/>
    </w:rPr>
  </w:style>
  <w:style w:type="character" w:customStyle="1" w:styleId="FooterChar">
    <w:name w:val="Footer Char"/>
    <w:link w:val="Footer"/>
    <w:rsid w:val="00ED3A72"/>
    <w:rPr>
      <w:sz w:val="24"/>
      <w:szCs w:val="24"/>
    </w:rPr>
  </w:style>
  <w:style w:type="paragraph" w:customStyle="1" w:styleId="ContinuedBlockLabel">
    <w:name w:val="Continued Block Label"/>
    <w:basedOn w:val="Normal"/>
    <w:next w:val="Normal"/>
    <w:rsid w:val="00ED3A72"/>
    <w:pPr>
      <w:spacing w:after="240"/>
    </w:pPr>
    <w:rPr>
      <w:b/>
      <w:sz w:val="22"/>
      <w:szCs w:val="20"/>
    </w:rPr>
  </w:style>
  <w:style w:type="paragraph" w:customStyle="1" w:styleId="ContinuedTableLabe">
    <w:name w:val="Continued Table Labe"/>
    <w:basedOn w:val="Normal"/>
    <w:next w:val="Normal"/>
    <w:rsid w:val="00ED3A72"/>
    <w:pPr>
      <w:spacing w:after="240"/>
    </w:pPr>
    <w:rPr>
      <w:b/>
      <w:sz w:val="22"/>
      <w:szCs w:val="20"/>
    </w:rPr>
  </w:style>
  <w:style w:type="paragraph" w:customStyle="1" w:styleId="EmbeddedText">
    <w:name w:val="Embedded Text"/>
    <w:basedOn w:val="Normal"/>
    <w:rsid w:val="00ED3A72"/>
    <w:rPr>
      <w:szCs w:val="20"/>
    </w:rPr>
  </w:style>
  <w:style w:type="character" w:styleId="HTMLAcronym">
    <w:name w:val="HTML Acronym"/>
    <w:basedOn w:val="DefaultParagraphFont"/>
    <w:rsid w:val="00ED3A72"/>
  </w:style>
  <w:style w:type="paragraph" w:customStyle="1" w:styleId="IMTOC">
    <w:name w:val="IMTOC"/>
    <w:rsid w:val="00ED3A72"/>
    <w:rPr>
      <w:sz w:val="24"/>
    </w:rPr>
  </w:style>
  <w:style w:type="paragraph" w:customStyle="1" w:styleId="MemoLine">
    <w:name w:val="Memo Line"/>
    <w:basedOn w:val="BlockLine"/>
    <w:next w:val="Normal"/>
    <w:rsid w:val="00ED3A72"/>
  </w:style>
  <w:style w:type="paragraph" w:customStyle="1" w:styleId="PublicationTitle">
    <w:name w:val="Publication Title"/>
    <w:basedOn w:val="Normal"/>
    <w:next w:val="Heading4"/>
    <w:rsid w:val="00ED3A72"/>
    <w:pPr>
      <w:spacing w:after="240"/>
      <w:jc w:val="center"/>
    </w:pPr>
    <w:rPr>
      <w:rFonts w:ascii="Arial" w:hAnsi="Arial" w:cs="Arial"/>
      <w:b/>
      <w:sz w:val="32"/>
      <w:szCs w:val="20"/>
    </w:rPr>
  </w:style>
  <w:style w:type="table" w:styleId="TableGrid">
    <w:name w:val="Table Grid"/>
    <w:basedOn w:val="TableNormal"/>
    <w:rsid w:val="00ED3A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ED3A72"/>
    <w:pPr>
      <w:widowControl w:val="0"/>
    </w:pPr>
    <w:rPr>
      <w:rFonts w:ascii="Arial" w:hAnsi="Arial" w:cs="Arial"/>
      <w:b/>
      <w:sz w:val="32"/>
      <w:szCs w:val="20"/>
    </w:rPr>
  </w:style>
  <w:style w:type="paragraph" w:customStyle="1" w:styleId="TOCItem">
    <w:name w:val="TOCItem"/>
    <w:basedOn w:val="Normal"/>
    <w:rsid w:val="00ED3A72"/>
    <w:pPr>
      <w:tabs>
        <w:tab w:val="left" w:leader="dot" w:pos="7061"/>
        <w:tab w:val="right" w:pos="7524"/>
      </w:tabs>
      <w:spacing w:before="60" w:after="60"/>
      <w:ind w:right="465"/>
    </w:pPr>
    <w:rPr>
      <w:szCs w:val="20"/>
    </w:rPr>
  </w:style>
  <w:style w:type="paragraph" w:customStyle="1" w:styleId="TOCStem">
    <w:name w:val="TOCStem"/>
    <w:basedOn w:val="Normal"/>
    <w:rsid w:val="00ED3A72"/>
    <w:rPr>
      <w:szCs w:val="20"/>
    </w:rPr>
  </w:style>
  <w:style w:type="character" w:customStyle="1" w:styleId="CharChar2">
    <w:name w:val="Char Char2"/>
    <w:rsid w:val="003D593A"/>
    <w:rPr>
      <w:sz w:val="24"/>
      <w:szCs w:val="24"/>
    </w:rPr>
  </w:style>
  <w:style w:type="character" w:customStyle="1" w:styleId="HeaderChar">
    <w:name w:val="Header Char"/>
    <w:link w:val="Header"/>
    <w:rsid w:val="00ED3A72"/>
    <w:rPr>
      <w:sz w:val="24"/>
      <w:szCs w:val="24"/>
    </w:rPr>
  </w:style>
  <w:style w:type="character" w:styleId="FollowedHyperlink">
    <w:name w:val="FollowedHyperlink"/>
    <w:rsid w:val="00ED3A72"/>
    <w:rPr>
      <w:color w:val="800080"/>
      <w:u w:val="single"/>
    </w:rPr>
  </w:style>
  <w:style w:type="paragraph" w:styleId="TOC3">
    <w:name w:val="toc 3"/>
    <w:basedOn w:val="Normal"/>
    <w:next w:val="Normal"/>
    <w:autoRedefine/>
    <w:uiPriority w:val="39"/>
    <w:rsid w:val="00ED3A72"/>
    <w:pPr>
      <w:ind w:left="480"/>
    </w:pPr>
  </w:style>
  <w:style w:type="paragraph" w:styleId="TOC4">
    <w:name w:val="toc 4"/>
    <w:basedOn w:val="Normal"/>
    <w:next w:val="Normal"/>
    <w:autoRedefine/>
    <w:uiPriority w:val="39"/>
    <w:rsid w:val="00ED3A72"/>
    <w:pPr>
      <w:ind w:left="720"/>
    </w:pPr>
  </w:style>
  <w:style w:type="character" w:styleId="CommentReference">
    <w:name w:val="annotation reference"/>
    <w:basedOn w:val="DefaultParagraphFont"/>
    <w:uiPriority w:val="99"/>
    <w:unhideWhenUsed/>
    <w:rsid w:val="00986807"/>
    <w:rPr>
      <w:sz w:val="16"/>
      <w:szCs w:val="16"/>
    </w:rPr>
  </w:style>
  <w:style w:type="paragraph" w:styleId="CommentText">
    <w:name w:val="annotation text"/>
    <w:basedOn w:val="Normal"/>
    <w:link w:val="CommentTextChar"/>
    <w:uiPriority w:val="99"/>
    <w:unhideWhenUsed/>
    <w:rsid w:val="00986807"/>
    <w:rPr>
      <w:sz w:val="20"/>
      <w:szCs w:val="20"/>
    </w:rPr>
  </w:style>
  <w:style w:type="character" w:customStyle="1" w:styleId="CommentTextChar">
    <w:name w:val="Comment Text Char"/>
    <w:basedOn w:val="DefaultParagraphFont"/>
    <w:link w:val="CommentText"/>
    <w:uiPriority w:val="99"/>
    <w:rsid w:val="00986807"/>
    <w:rPr>
      <w:color w:val="000000"/>
    </w:rPr>
  </w:style>
  <w:style w:type="paragraph" w:styleId="CommentSubject">
    <w:name w:val="annotation subject"/>
    <w:basedOn w:val="CommentText"/>
    <w:next w:val="CommentText"/>
    <w:link w:val="CommentSubjectChar"/>
    <w:uiPriority w:val="99"/>
    <w:semiHidden/>
    <w:unhideWhenUsed/>
    <w:rsid w:val="00986807"/>
    <w:rPr>
      <w:b/>
      <w:bCs/>
    </w:rPr>
  </w:style>
  <w:style w:type="character" w:customStyle="1" w:styleId="CommentSubjectChar">
    <w:name w:val="Comment Subject Char"/>
    <w:basedOn w:val="CommentTextChar"/>
    <w:link w:val="CommentSubject"/>
    <w:uiPriority w:val="99"/>
    <w:semiHidden/>
    <w:rsid w:val="00986807"/>
    <w:rPr>
      <w:b/>
      <w:bCs/>
      <w:color w:val="000000"/>
    </w:rPr>
  </w:style>
  <w:style w:type="paragraph" w:styleId="ListParagraph">
    <w:name w:val="List Paragraph"/>
    <w:basedOn w:val="Normal"/>
    <w:uiPriority w:val="34"/>
    <w:qFormat/>
    <w:rsid w:val="00751803"/>
    <w:pPr>
      <w:ind w:left="720"/>
      <w:contextualSpacing/>
    </w:pPr>
  </w:style>
  <w:style w:type="paragraph" w:styleId="Revision">
    <w:name w:val="Revision"/>
    <w:hidden/>
    <w:uiPriority w:val="99"/>
    <w:semiHidden/>
    <w:rsid w:val="00714498"/>
    <w:rPr>
      <w:color w:val="000000"/>
      <w:sz w:val="24"/>
      <w:szCs w:val="24"/>
    </w:rPr>
  </w:style>
  <w:style w:type="character" w:customStyle="1" w:styleId="scrollhere">
    <w:name w:val="scrollhere"/>
    <w:basedOn w:val="DefaultParagraphFont"/>
    <w:rsid w:val="0092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6e1e12aa28ee0f0d123f83385d671f2f&amp;node=se38.1.3_1303&amp;rgn=div8" TargetMode="External"/><Relationship Id="rId117" Type="http://schemas.openxmlformats.org/officeDocument/2006/relationships/hyperlink" Target="http://vbaw.vba.va.gov/bl/21/advisory/CAVCDAD.htm" TargetMode="External"/><Relationship Id="rId21" Type="http://schemas.openxmlformats.org/officeDocument/2006/relationships/hyperlink" Target="http://www.ecfr.gov/cgi-bin/text-idx?SID=6e1e12aa28ee0f0d123f83385d671f2f&amp;node=se38.1.3_1303&amp;rgn=div8" TargetMode="External"/><Relationship Id="rId42" Type="http://schemas.openxmlformats.org/officeDocument/2006/relationships/hyperlink" Target="http://www.ecfr.gov/cgi-bin/text-idx?SID=a9336bb654ab856b00ab0aece4b20a7c&amp;node=se38.1.3_1304&amp;rgn=div8" TargetMode="External"/><Relationship Id="rId47" Type="http://schemas.openxmlformats.org/officeDocument/2006/relationships/hyperlink" Target="http://vbaw.vba.va.gov/bl/21/advisory/CAVCDAD.htm" TargetMode="External"/><Relationship Id="rId63" Type="http://schemas.openxmlformats.org/officeDocument/2006/relationships/hyperlink" Target="http://www.ecfr.gov/cgi-bin/text-idx?SID=87c37f0c4b0051b77aa7ecbe0cf8a2a0&amp;mc=true&amp;node=se38.1.3_1309&amp;rgn=div8" TargetMode="External"/><Relationship Id="rId68" Type="http://schemas.openxmlformats.org/officeDocument/2006/relationships/hyperlink" Target="http://www.ecfr.gov/cgi-bin/text-idx?SID=4f75aeb98778645c99bc9f855f060a18&amp;node=se38.1.3_1309&amp;rgn=div8" TargetMode="External"/><Relationship Id="rId84" Type="http://schemas.openxmlformats.org/officeDocument/2006/relationships/hyperlink" Target="http://www.ecfr.gov/cgi-bin/text-idx?SID=4f75aeb98778645c99bc9f855f060a18&amp;node=se38.1.3_1304&amp;rgn=div8" TargetMode="External"/><Relationship Id="rId89" Type="http://schemas.openxmlformats.org/officeDocument/2006/relationships/hyperlink" Target="http://vbaw.vba.va.gov/bl/21/advisory/CAVCDAD.htm" TargetMode="External"/><Relationship Id="rId112" Type="http://schemas.openxmlformats.org/officeDocument/2006/relationships/hyperlink" Target="http://vbaw.vba.va.gov/bl/21/advisory/CAVCDAD.htm" TargetMode="External"/><Relationship Id="rId133" Type="http://schemas.openxmlformats.org/officeDocument/2006/relationships/hyperlink" Target="https://www.law.cornell.edu/uscode/text/38/1154" TargetMode="External"/><Relationship Id="rId138" Type="http://schemas.openxmlformats.org/officeDocument/2006/relationships/hyperlink" Target="http://www.ecfr.gov/cgi-bin/text-idx?SID=7cd5cbecbbf69d27330d720e49ccb8b3&amp;mc=true&amp;node=se38.1.3_1306&amp;rgn=div8" TargetMode="External"/><Relationship Id="rId154" Type="http://schemas.openxmlformats.org/officeDocument/2006/relationships/hyperlink" Target="http://www.va.gov/ogc/docs/1990/PREC_82-90.doc" TargetMode="External"/><Relationship Id="rId159" Type="http://schemas.openxmlformats.org/officeDocument/2006/relationships/header" Target="header3.xml"/><Relationship Id="rId16" Type="http://schemas.openxmlformats.org/officeDocument/2006/relationships/hyperlink" Target="http://www.ecfr.gov/cgi-bin/text-idx?SID=a88986ca8f9a29e8af73cdffa7bc08f9&amp;node=se38.1.3_1309&amp;rgn=div8" TargetMode="External"/><Relationship Id="rId107" Type="http://schemas.openxmlformats.org/officeDocument/2006/relationships/hyperlink" Target="http://www.law.cornell.edu/uscode/38/1111.html" TargetMode="External"/><Relationship Id="rId11" Type="http://schemas.openxmlformats.org/officeDocument/2006/relationships/footnotes" Target="footnotes.xml"/><Relationship Id="rId32" Type="http://schemas.openxmlformats.org/officeDocument/2006/relationships/hyperlink" Target="http://www.law.cornell.edu/uscode/html/uscode38/usc_sec_38_00001111----000-.html" TargetMode="External"/><Relationship Id="rId37" Type="http://schemas.openxmlformats.org/officeDocument/2006/relationships/hyperlink" Target="http://www.ecfr.gov/cgi-bin/text-idx?SID=a9336bb654ab856b00ab0aece4b20a7c&amp;node=se38.1.3_1305&amp;rgn=div8" TargetMode="External"/><Relationship Id="rId53" Type="http://schemas.openxmlformats.org/officeDocument/2006/relationships/hyperlink" Target="https://www.law.cornell.edu/uscode/text/38/101" TargetMode="External"/><Relationship Id="rId58" Type="http://schemas.openxmlformats.org/officeDocument/2006/relationships/hyperlink" Target="http://www.ecfr.gov/cgi-bin/text-idx?SID=4f75aeb98778645c99bc9f855f060a18&amp;node=se38.1.3_1309&amp;rgn=div8" TargetMode="External"/><Relationship Id="rId74" Type="http://schemas.openxmlformats.org/officeDocument/2006/relationships/hyperlink" Target="http://www.ecfr.gov/cgi-bin/text-idx?SID=4f75aeb98778645c99bc9f855f060a18&amp;node=se38.1.3_1307&amp;rgn=div8" TargetMode="External"/><Relationship Id="rId79" Type="http://schemas.openxmlformats.org/officeDocument/2006/relationships/hyperlink" Target="http://www.ecfr.gov/cgi-bin/text-idx?SID=3ac2de2d7bd2c505d336775f53e4099c&amp;mc=true&amp;node=se38.1.3_1309&amp;rgn=div8" TargetMode="External"/><Relationship Id="rId102" Type="http://schemas.openxmlformats.org/officeDocument/2006/relationships/hyperlink" Target="http://vbaw.vba.va.gov/bl/21/advisory/CAVCDAD.htm" TargetMode="External"/><Relationship Id="rId123" Type="http://schemas.openxmlformats.org/officeDocument/2006/relationships/hyperlink" Target="https://www.law.cornell.edu/uscode/text/38/1111" TargetMode="External"/><Relationship Id="rId128" Type="http://schemas.openxmlformats.org/officeDocument/2006/relationships/hyperlink" Target="http://vbaw.vba.va.gov/bl/21/advisory/CAVCDAD.htm" TargetMode="External"/><Relationship Id="rId144" Type="http://schemas.openxmlformats.org/officeDocument/2006/relationships/hyperlink" Target="http://vbaw.vba.va.gov/bl/21/advisory/CAVCDAD.htm" TargetMode="External"/><Relationship Id="rId149" Type="http://schemas.openxmlformats.org/officeDocument/2006/relationships/hyperlink" Target="http://www.ecfr.gov/cgi-bin/text-idx?SID=a9336bb654ab856b00ab0aece4b20a7c&amp;node=se38.1.3_1309&amp;rgn=div8" TargetMode="External"/><Relationship Id="rId5" Type="http://schemas.openxmlformats.org/officeDocument/2006/relationships/customXml" Target="../customXml/item4.xml"/><Relationship Id="rId90" Type="http://schemas.openxmlformats.org/officeDocument/2006/relationships/hyperlink" Target="http://vbaw.vba.va.gov/bl/21/advisory/CAVCDAD.htm" TargetMode="External"/><Relationship Id="rId95" Type="http://schemas.openxmlformats.org/officeDocument/2006/relationships/hyperlink" Target="http://vbaw.vba.va.gov/bl/21/advisory/CAVCDAD.htm" TargetMode="External"/><Relationship Id="rId160" Type="http://schemas.openxmlformats.org/officeDocument/2006/relationships/footer" Target="footer3.xml"/><Relationship Id="rId22" Type="http://schemas.openxmlformats.org/officeDocument/2006/relationships/hyperlink" Target="http://vbaw.vba.va.gov/bl/21/advisory/CAVCDAD.htm" TargetMode="External"/><Relationship Id="rId27" Type="http://schemas.openxmlformats.org/officeDocument/2006/relationships/hyperlink" Target="http://www.ecfr.gov/cgi-bin/text-idx?SID=8ec647cd0edc2cb1040f28a2c9933deb&amp;mc=true&amp;node=se38.1.3_1304&amp;rgn=div8" TargetMode="External"/><Relationship Id="rId43" Type="http://schemas.openxmlformats.org/officeDocument/2006/relationships/hyperlink" Target="http://www.law.cornell.edu/uscode/38/1111.html" TargetMode="External"/><Relationship Id="rId48" Type="http://schemas.openxmlformats.org/officeDocument/2006/relationships/hyperlink" Target="file:///\\ogccosql3\networkshared\VALAW\Official%20Opinions\1980\images\opgc4-80.pdf" TargetMode="External"/><Relationship Id="rId64" Type="http://schemas.openxmlformats.org/officeDocument/2006/relationships/hyperlink" Target="http://www.ecfr.gov/cgi-bin/text-idx?SID=4f75aeb98778645c99bc9f855f060a18&amp;node=se38.1.3_1309&amp;rgn=div8" TargetMode="External"/><Relationship Id="rId69" Type="http://schemas.openxmlformats.org/officeDocument/2006/relationships/hyperlink" Target="http://www.ecfr.gov/cgi-bin/text-idx?SID=4f75aeb98778645c99bc9f855f060a18&amp;node=se38.1.3_1308&amp;rgn=div8" TargetMode="External"/><Relationship Id="rId113" Type="http://schemas.openxmlformats.org/officeDocument/2006/relationships/hyperlink" Target="http://www.ecfr.gov/cgi-bin/text-idx?SID=da0697d476fee2b9d02cbe978ce6f500&amp;mc=true&amp;node=se38.1.3_1306&amp;rgn=div8" TargetMode="External"/><Relationship Id="rId118" Type="http://schemas.openxmlformats.org/officeDocument/2006/relationships/hyperlink" Target="http://vbaw.vba.va.gov/bl/21/advisory/CAVCDAD.htm" TargetMode="External"/><Relationship Id="rId134" Type="http://schemas.openxmlformats.org/officeDocument/2006/relationships/hyperlink" Target="http://www.ecfr.gov/cgi-bin/text-idx?SID=7cd5cbecbbf69d27330d720e49ccb8b3&amp;mc=true&amp;node=se38.1.3_1306&amp;rgn=div8" TargetMode="External"/><Relationship Id="rId139" Type="http://schemas.openxmlformats.org/officeDocument/2006/relationships/hyperlink" Target="http://vbaw.vba.va.gov/bl/21/advisory/CAVCDAD.htm" TargetMode="External"/><Relationship Id="rId80" Type="http://schemas.openxmlformats.org/officeDocument/2006/relationships/hyperlink" Target="http://www.ecfr.gov/cgi-bin/text-idx?SID=858589d98ad42870d3d4316fd54cdee3&amp;mc=true&amp;node=se38.1.3_1311&amp;rgn=div8" TargetMode="External"/><Relationship Id="rId85" Type="http://schemas.openxmlformats.org/officeDocument/2006/relationships/hyperlink" Target="http://www.law.cornell.edu/uscode/html/uscode38/usc_sec_38_00001154----000-.html" TargetMode="External"/><Relationship Id="rId150" Type="http://schemas.openxmlformats.org/officeDocument/2006/relationships/hyperlink" Target="http://www.ecfr.gov/cgi-bin/text-idx?SID=301bf5a742dd1f7c491ed77360f20253&amp;mc=true&amp;node=se38.1.3_1307&amp;rgn=div8" TargetMode="External"/><Relationship Id="rId155" Type="http://schemas.openxmlformats.org/officeDocument/2006/relationships/header" Target="header1.xml"/><Relationship Id="rId12" Type="http://schemas.openxmlformats.org/officeDocument/2006/relationships/endnotes" Target="endnotes.xml"/><Relationship Id="rId17" Type="http://schemas.openxmlformats.org/officeDocument/2006/relationships/hyperlink" Target="http://www.ecfr.gov/cgi-bin/text-idx?SID=a88986ca8f9a29e8af73cdffa7bc08f9&amp;node=se38.1.3_1303&amp;rgn=div8" TargetMode="External"/><Relationship Id="rId33" Type="http://schemas.openxmlformats.org/officeDocument/2006/relationships/hyperlink" Target="http://www.va.gov/ogc/opinions/2003precedentopinions.asp" TargetMode="External"/><Relationship Id="rId38" Type="http://schemas.openxmlformats.org/officeDocument/2006/relationships/hyperlink" Target="http://www.ecfr.gov/cgi-bin/text-idx?SID=a9336bb654ab856b00ab0aece4b20a7c&amp;node=se38.1.3_1304&amp;rgn=div8" TargetMode="External"/><Relationship Id="rId59" Type="http://schemas.openxmlformats.org/officeDocument/2006/relationships/hyperlink" Target="http://www.ecfr.gov/cgi-bin/text-idx?SID=4f75aeb98778645c99bc9f855f060a18&amp;node=se38.1.3_1316&amp;rgn=div8" TargetMode="External"/><Relationship Id="rId103" Type="http://schemas.openxmlformats.org/officeDocument/2006/relationships/hyperlink" Target="http://vbaw.vba.va.gov/bl/21/advisory/CAVCDAD.htm" TargetMode="External"/><Relationship Id="rId108" Type="http://schemas.openxmlformats.org/officeDocument/2006/relationships/hyperlink" Target="http://www.law.cornell.edu/uscode/38/1153.html" TargetMode="External"/><Relationship Id="rId124" Type="http://schemas.openxmlformats.org/officeDocument/2006/relationships/hyperlink" Target="https://www.law.cornell.edu/uscode/text/38/1153" TargetMode="External"/><Relationship Id="rId129" Type="http://schemas.openxmlformats.org/officeDocument/2006/relationships/hyperlink" Target="http://www.ecfr.gov/cgi-bin/text-idx?SID=a9336bb654ab856b00ab0aece4b20a7c&amp;node=se38.1.3_1306&amp;rgn=div8" TargetMode="External"/><Relationship Id="rId20" Type="http://schemas.openxmlformats.org/officeDocument/2006/relationships/hyperlink" Target="http://www.ecfr.gov/cgi-bin/text-idx?SID=a88986ca8f9a29e8af73cdffa7bc08f9&amp;node=se38.1.3_1303&amp;rgn=div8" TargetMode="External"/><Relationship Id="rId41" Type="http://schemas.openxmlformats.org/officeDocument/2006/relationships/hyperlink" Target="https://www.law.cornell.edu/uscode/text/38/1111" TargetMode="External"/><Relationship Id="rId54" Type="http://schemas.openxmlformats.org/officeDocument/2006/relationships/hyperlink" Target="http://www.ecfr.gov/cgi-bin/text-idx?SID=6e1e12aa28ee0f0d123f83385d671f2f&amp;node=se38.1.3_16&amp;rgn=div8" TargetMode="External"/><Relationship Id="rId62" Type="http://schemas.openxmlformats.org/officeDocument/2006/relationships/hyperlink" Target="http://www.ecfr.gov/cgi-bin/text-idx?SID=4f75aeb98778645c99bc9f855f060a18&amp;node=se38.1.3_1307&amp;rgn=div8" TargetMode="External"/><Relationship Id="rId70" Type="http://schemas.openxmlformats.org/officeDocument/2006/relationships/hyperlink" Target="http://www.ecfr.gov/cgi-bin/text-idx?SID=4f75aeb98778645c99bc9f855f060a18&amp;node=se38.1.3_1309&amp;rgn=div8" TargetMode="External"/><Relationship Id="rId75" Type="http://schemas.openxmlformats.org/officeDocument/2006/relationships/hyperlink" Target="http://www.ecfr.gov/cgi-bin/text-idx?SID=4f75aeb98778645c99bc9f855f060a18&amp;node=se38.1.3_1309&amp;rgn=div8" TargetMode="External"/><Relationship Id="rId83" Type="http://schemas.openxmlformats.org/officeDocument/2006/relationships/hyperlink" Target="http://www.ecfr.gov/cgi-bin/text-idx?SID=4f75aeb98778645c99bc9f855f060a18&amp;node=se38.1.3_1102&amp;rgn=div8" TargetMode="External"/><Relationship Id="rId88" Type="http://schemas.openxmlformats.org/officeDocument/2006/relationships/hyperlink" Target="http://vbaw.vba.va.gov/bl/21/advisory/CAVCDAD.htm" TargetMode="External"/><Relationship Id="rId91" Type="http://schemas.openxmlformats.org/officeDocument/2006/relationships/hyperlink" Target="http://www.law.cornell.edu/uscode/38/1153.html" TargetMode="External"/><Relationship Id="rId96" Type="http://schemas.openxmlformats.org/officeDocument/2006/relationships/hyperlink" Target="http://vbaw.vba.va.gov/bl/21/advisory/CAVCDAD.htm" TargetMode="External"/><Relationship Id="rId111" Type="http://schemas.openxmlformats.org/officeDocument/2006/relationships/hyperlink" Target="http://www.ecfr.gov/cgi-bin/text-idx?SID=eaca62b2084bc7e0e9d9de457178d5d1&amp;node=se38.1.3_1306&amp;rgn=div8" TargetMode="External"/><Relationship Id="rId132" Type="http://schemas.openxmlformats.org/officeDocument/2006/relationships/hyperlink" Target="http://www.ecfr.gov/cgi-bin/text-idx?SID=a9336bb654ab856b00ab0aece4b20a7c&amp;node=se38.1.3_1307&amp;rgn=div8" TargetMode="External"/><Relationship Id="rId140" Type="http://schemas.openxmlformats.org/officeDocument/2006/relationships/hyperlink" Target="http://vbaw.vba.va.gov/bl/21/advisory/CAVCDAD.htm" TargetMode="External"/><Relationship Id="rId145" Type="http://schemas.openxmlformats.org/officeDocument/2006/relationships/hyperlink" Target="http://www.ecfr.gov/cgi-bin/text-idx?c=ecfr&amp;sid=39c7e367a71c8efc570650851b266303&amp;rgn=div5&amp;view=text&amp;node=38:1.0.1.1.5&amp;idno=38" TargetMode="External"/><Relationship Id="rId153" Type="http://schemas.openxmlformats.org/officeDocument/2006/relationships/hyperlink" Target="http://www.va.gov/ogc/docs/1990/PREC_67-90.doc" TargetMode="External"/><Relationship Id="rId16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cfr.gov/cgi-bin/text-idx?SID=a88986ca8f9a29e8af73cdffa7bc08f9&amp;node=se38.1.3_1303&amp;rgn=div8" TargetMode="External"/><Relationship Id="rId23" Type="http://schemas.openxmlformats.org/officeDocument/2006/relationships/hyperlink" Target="http://vbaw.vba.va.gov/bl/21/advisory/CAVCDAD.htm" TargetMode="External"/><Relationship Id="rId28" Type="http://schemas.openxmlformats.org/officeDocument/2006/relationships/hyperlink" Target="http://www.ecfr.gov/cgi-bin/text-idx?SID=6e1e12aa28ee0f0d123f83385d671f2f&amp;node=se38.1.3_1303&amp;rgn=div8" TargetMode="External"/><Relationship Id="rId36" Type="http://schemas.openxmlformats.org/officeDocument/2006/relationships/hyperlink" Target="http://vbaw.vba.va.gov/bl/21/advisory/CAVCDAD.htm" TargetMode="External"/><Relationship Id="rId49" Type="http://schemas.openxmlformats.org/officeDocument/2006/relationships/hyperlink" Target="http://www.ecfr.gov/cgi-bin/text-idx?SID=1ba2dc62c9cc48ce1633df264ff44dae&amp;mc=true&amp;node=se38.1.3_1307&amp;rgn=div8" TargetMode="External"/><Relationship Id="rId57" Type="http://schemas.openxmlformats.org/officeDocument/2006/relationships/hyperlink" Target="http://www.ecfr.gov/cgi-bin/text-idx?SID=4f75aeb98778645c99bc9f855f060a18&amp;node=se38.1.3_1309&amp;rgn=div8" TargetMode="External"/><Relationship Id="rId106" Type="http://schemas.openxmlformats.org/officeDocument/2006/relationships/hyperlink" Target="http://vbaw.vba.va.gov/bl/21/advisory/CAVCDAD.htm" TargetMode="External"/><Relationship Id="rId114" Type="http://schemas.openxmlformats.org/officeDocument/2006/relationships/hyperlink" Target="https://www.law.cornell.edu/uscode/text/38/1153" TargetMode="External"/><Relationship Id="rId119" Type="http://schemas.openxmlformats.org/officeDocument/2006/relationships/hyperlink" Target="http://vbaw.vba.va.gov/bl/21/advisory/CAVCDAD.htm" TargetMode="External"/><Relationship Id="rId127" Type="http://schemas.openxmlformats.org/officeDocument/2006/relationships/hyperlink" Target="http://www.ecfr.gov/cgi-bin/text-idx?SID=a9336bb654ab856b00ab0aece4b20a7c&amp;node=se38.1.3_1306&amp;rgn=div8" TargetMode="External"/><Relationship Id="rId10" Type="http://schemas.openxmlformats.org/officeDocument/2006/relationships/webSettings" Target="webSettings.xml"/><Relationship Id="rId31" Type="http://schemas.openxmlformats.org/officeDocument/2006/relationships/hyperlink" Target="http://www.ecfr.gov/cgi-bin/text-idx?SID=8ec647cd0edc2cb1040f28a2c9933deb&amp;mc=true&amp;node=se38.1.3_1304&amp;rgn=div8" TargetMode="External"/><Relationship Id="rId44" Type="http://schemas.openxmlformats.org/officeDocument/2006/relationships/hyperlink" Target="http://vbaw.vba.va.gov/bl/21/advisory/CAVCDAD.htm" TargetMode="External"/><Relationship Id="rId52" Type="http://schemas.openxmlformats.org/officeDocument/2006/relationships/hyperlink" Target="http://vbaw.vba.va.gov/bl/21/advisory/CAVCDAD.htm" TargetMode="External"/><Relationship Id="rId60" Type="http://schemas.openxmlformats.org/officeDocument/2006/relationships/hyperlink" Target="http://www.ecfr.gov/cgi-bin/text-idx?SID=4f75aeb98778645c99bc9f855f060a18&amp;node=se38.1.3_1317&amp;rgn=div8" TargetMode="External"/><Relationship Id="rId65" Type="http://schemas.openxmlformats.org/officeDocument/2006/relationships/hyperlink" Target="http://www.ecfr.gov/cgi-bin/text-idx?SID=4f75aeb98778645c99bc9f855f060a18&amp;node=se38.1.3_1309&amp;rgn=div8" TargetMode="External"/><Relationship Id="rId73" Type="http://schemas.openxmlformats.org/officeDocument/2006/relationships/hyperlink" Target="http://www.ecfr.gov/cgi-bin/text-idx?SID=4f75aeb98778645c99bc9f855f060a18&amp;node=se38.1.3_1309&amp;rgn=div8" TargetMode="External"/><Relationship Id="rId78" Type="http://schemas.openxmlformats.org/officeDocument/2006/relationships/hyperlink" Target="http://www.ecfr.gov/cgi-bin/text-idx?SID=4f75aeb98778645c99bc9f855f060a18&amp;node=se38.1.3_1309&amp;rgn=div8" TargetMode="External"/><Relationship Id="rId81" Type="http://schemas.openxmlformats.org/officeDocument/2006/relationships/hyperlink" Target="http://www.ecfr.gov/cgi-bin/text-idx?SID=a88986ca8f9a29e8af73cdffa7bc08f9&amp;node=se38.1.3_1303&amp;rgn=div8" TargetMode="External"/><Relationship Id="rId86" Type="http://schemas.openxmlformats.org/officeDocument/2006/relationships/hyperlink" Target="http://www.ecfr.gov/cgi-bin/text-idx?SID=4f75aeb98778645c99bc9f855f060a18&amp;node=se38.1.3_1304&amp;rgn=div8" TargetMode="External"/><Relationship Id="rId94" Type="http://schemas.openxmlformats.org/officeDocument/2006/relationships/hyperlink" Target="http://www.law.cornell.edu/uscode/38/1111.html" TargetMode="External"/><Relationship Id="rId99" Type="http://schemas.openxmlformats.org/officeDocument/2006/relationships/hyperlink" Target="http://www.ecfr.gov/cgi-bin/text-idx?SID=a9336bb654ab856b00ab0aece4b20a7c&amp;node=se38.1.3_1304&amp;rgn=div8" TargetMode="External"/><Relationship Id="rId101" Type="http://schemas.openxmlformats.org/officeDocument/2006/relationships/hyperlink" Target="http://vbaw.vba.va.gov/bl/21/advisory/CAVCDAD.htm" TargetMode="External"/><Relationship Id="rId122" Type="http://schemas.openxmlformats.org/officeDocument/2006/relationships/hyperlink" Target="https://www.law.cornell.edu/uscode/text/38/1153" TargetMode="External"/><Relationship Id="rId130" Type="http://schemas.openxmlformats.org/officeDocument/2006/relationships/hyperlink" Target="http://vbaw.vba.va.gov/bl/21/advisory/CAVCDAD.htm" TargetMode="External"/><Relationship Id="rId135" Type="http://schemas.openxmlformats.org/officeDocument/2006/relationships/hyperlink" Target="http://www.ecfr.gov/cgi-bin/text-idx?SID=7cd5cbecbbf69d27330d720e49ccb8b3&amp;mc=true&amp;node=se38.1.3_1306&amp;rgn=div8" TargetMode="External"/><Relationship Id="rId143" Type="http://schemas.openxmlformats.org/officeDocument/2006/relationships/hyperlink" Target="http://www.ecfr.gov/cgi-bin/text-idx?SID=a9336bb654ab856b00ab0aece4b20a7c&amp;node=se38.1.3_1310&amp;rgn=div8" TargetMode="External"/><Relationship Id="rId148" Type="http://schemas.openxmlformats.org/officeDocument/2006/relationships/hyperlink" Target="http://www.ecfr.gov/cgi-bin/text-idx?SID=a9336bb654ab856b00ab0aece4b20a7c&amp;node=se38.1.3_1303&amp;rgn=div8" TargetMode="External"/><Relationship Id="rId151" Type="http://schemas.openxmlformats.org/officeDocument/2006/relationships/hyperlink" Target="http://www.va.gov/ogc/docs/1999/prc11-99.doc" TargetMode="External"/><Relationship Id="rId156"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ecfr.gov/cgi-bin/text-idx?SID=a88986ca8f9a29e8af73cdffa7bc08f9&amp;node=se38.1.3_1303&amp;rgn=div8" TargetMode="External"/><Relationship Id="rId18" Type="http://schemas.openxmlformats.org/officeDocument/2006/relationships/hyperlink" Target="http://www.ecfr.gov/cgi-bin/text-idx?SID=6e1e12aa28ee0f0d123f83385d671f2f&amp;node=se38.1.3_1309&amp;rgn=div8" TargetMode="External"/><Relationship Id="rId39" Type="http://schemas.openxmlformats.org/officeDocument/2006/relationships/hyperlink" Target="http://www.law.cornell.edu/uscode/38/1111.html" TargetMode="External"/><Relationship Id="rId109" Type="http://schemas.openxmlformats.org/officeDocument/2006/relationships/hyperlink" Target="http://vbaw.vba.va.gov/bl/21/advisory/CAVCDAD.htm" TargetMode="External"/><Relationship Id="rId34" Type="http://schemas.openxmlformats.org/officeDocument/2006/relationships/hyperlink" Target="http://vbaw.vba.va.gov/bl/21/advisory/CAVCDAD.htm" TargetMode="External"/><Relationship Id="rId50" Type="http://schemas.openxmlformats.org/officeDocument/2006/relationships/hyperlink" Target="http://www.va.gov/OGC/docs/1993/PRC11-93.DOC" TargetMode="External"/><Relationship Id="rId55" Type="http://schemas.openxmlformats.org/officeDocument/2006/relationships/hyperlink" Target="http://www.va.gov/ogc/docs/2002/PREC_4-2002.doc" TargetMode="External"/><Relationship Id="rId76" Type="http://schemas.openxmlformats.org/officeDocument/2006/relationships/hyperlink" Target="http://www.ecfr.gov/cgi-bin/text-idx?SID=4f75aeb98778645c99bc9f855f060a18&amp;node=se38.1.3_1309&amp;rgn=div8" TargetMode="External"/><Relationship Id="rId97" Type="http://schemas.openxmlformats.org/officeDocument/2006/relationships/hyperlink" Target="http://vbaw.vba.va.gov/bl/21/advisory/CAVCDAD.htm" TargetMode="External"/><Relationship Id="rId104" Type="http://schemas.openxmlformats.org/officeDocument/2006/relationships/hyperlink" Target="http://vbaw.vba.va.gov/bl/21/advisory/CAVCDAD.htm" TargetMode="External"/><Relationship Id="rId120" Type="http://schemas.openxmlformats.org/officeDocument/2006/relationships/hyperlink" Target="http://www.ecfr.gov/cgi-bin/text-idx?SID=dd28828f7a9a6fcbc03014e8368f6f3a&amp;node=se38.1.3_1322&amp;rgn=div8" TargetMode="External"/><Relationship Id="rId125" Type="http://schemas.openxmlformats.org/officeDocument/2006/relationships/hyperlink" Target="https://www.law.cornell.edu/uscode/text/38/1111" TargetMode="External"/><Relationship Id="rId141" Type="http://schemas.openxmlformats.org/officeDocument/2006/relationships/hyperlink" Target="http://www.ecfr.gov/cgi-bin/text-idx?SID=b37422caf145c28ee1ed9cdc3eeb4cba&amp;mc=true&amp;node=se38.1.3_1310&amp;rgn=div8" TargetMode="External"/><Relationship Id="rId146" Type="http://schemas.openxmlformats.org/officeDocument/2006/relationships/hyperlink" Target="http://www.ecfr.gov/cgi-bin/text-idx?c=ecfr&amp;sid=39c7e367a71c8efc570650851b266303&amp;rgn=div5&amp;view=text&amp;node=38:1.0.1.1.5&amp;idno=38" TargetMode="External"/><Relationship Id="rId7" Type="http://schemas.openxmlformats.org/officeDocument/2006/relationships/styles" Target="styles.xml"/><Relationship Id="rId71" Type="http://schemas.openxmlformats.org/officeDocument/2006/relationships/hyperlink" Target="http://www.ecfr.gov/cgi-bin/text-idx?SID=4f75aeb98778645c99bc9f855f060a18&amp;node=se38.1.3_1308&amp;rgn=div8" TargetMode="External"/><Relationship Id="rId92" Type="http://schemas.openxmlformats.org/officeDocument/2006/relationships/hyperlink" Target="http://www.law.cornell.edu/uscode/38/1111.html" TargetMode="External"/><Relationship Id="rId162" Type="http://schemas.openxmlformats.org/officeDocument/2006/relationships/theme" Target="theme/theme1.xml"/><Relationship Id="rId2" Type="http://schemas.openxmlformats.org/officeDocument/2006/relationships/customXml" Target="../customXml/item1.xml"/><Relationship Id="rId29" Type="http://schemas.openxmlformats.org/officeDocument/2006/relationships/hyperlink" Target="http://www.ecfr.gov/cgi-bin/text-idx?SID=6e1e12aa28ee0f0d123f83385d671f2f&amp;node=se38.1.3_1159&amp;rgn=div8" TargetMode="External"/><Relationship Id="rId24" Type="http://schemas.openxmlformats.org/officeDocument/2006/relationships/hyperlink" Target="http://vbaw.vba.va.gov/bl/21/advisory/CAVCDAD.htm" TargetMode="External"/><Relationship Id="rId40" Type="http://schemas.openxmlformats.org/officeDocument/2006/relationships/hyperlink" Target="https://www.law.cornell.edu/uscode/text/38/1110" TargetMode="External"/><Relationship Id="rId45" Type="http://schemas.openxmlformats.org/officeDocument/2006/relationships/hyperlink" Target="http://vbaw.vba.va.gov/bl/21/advisory/CAVCDAD.htm" TargetMode="External"/><Relationship Id="rId66" Type="http://schemas.openxmlformats.org/officeDocument/2006/relationships/hyperlink" Target="http://www.ecfr.gov/cgi-bin/text-idx?SID=ba16a375eb4f3516424c821c60dd8349&amp;mc=true&amp;node=se38.1.3_1307&amp;rgn=div8" TargetMode="External"/><Relationship Id="rId87" Type="http://schemas.openxmlformats.org/officeDocument/2006/relationships/hyperlink" Target="http://www.law.cornell.edu/uscode/html/uscode38/usc_sec_38_00001154----000-.html" TargetMode="External"/><Relationship Id="rId110" Type="http://schemas.openxmlformats.org/officeDocument/2006/relationships/hyperlink" Target="http://www.law.cornell.edu/uscode/38/1153.html" TargetMode="External"/><Relationship Id="rId115" Type="http://schemas.openxmlformats.org/officeDocument/2006/relationships/hyperlink" Target="http://vbaw.vba.va.gov/bl/21/advisory/CAVCDAD.htm" TargetMode="External"/><Relationship Id="rId131" Type="http://schemas.openxmlformats.org/officeDocument/2006/relationships/hyperlink" Target="http://www.law.cornell.edu/uscode/38/1112.html" TargetMode="External"/><Relationship Id="rId136" Type="http://schemas.openxmlformats.org/officeDocument/2006/relationships/hyperlink" Target="http://vbaw.vba.va.gov/bl/21/advisory/CAVCDAD.htm" TargetMode="External"/><Relationship Id="rId157" Type="http://schemas.openxmlformats.org/officeDocument/2006/relationships/footer" Target="footer1.xml"/><Relationship Id="rId61" Type="http://schemas.openxmlformats.org/officeDocument/2006/relationships/hyperlink" Target="http://www.ecfr.gov/cgi-bin/text-idx?SID=4f75aeb98778645c99bc9f855f060a18&amp;node=se38.1.3_1318&amp;rgn=div8" TargetMode="External"/><Relationship Id="rId82" Type="http://schemas.openxmlformats.org/officeDocument/2006/relationships/hyperlink" Target="http://www.ecfr.gov/cgi-bin/text-idx?SID=a88986ca8f9a29e8af73cdffa7bc08f9&amp;node=se38.1.3_1303&amp;rgn=div8" TargetMode="External"/><Relationship Id="rId152" Type="http://schemas.openxmlformats.org/officeDocument/2006/relationships/hyperlink" Target="http://www.va.gov/ogc/docs/1990/PREC_1-90.doc" TargetMode="External"/><Relationship Id="rId19" Type="http://schemas.openxmlformats.org/officeDocument/2006/relationships/hyperlink" Target="http://www.ecfr.gov/cgi-bin/text-idx?SID=6e1e12aa28ee0f0d123f83385d671f2f&amp;node=se38.1.3_1309&amp;rgn=div8" TargetMode="External"/><Relationship Id="rId14" Type="http://schemas.openxmlformats.org/officeDocument/2006/relationships/hyperlink" Target="http://www.ecfr.gov/cgi-bin/text-idx?SID=baf3045b398058206e4817ad6ca59430&amp;mc=true&amp;node=se38.1.4_13&amp;rgn=div8" TargetMode="External"/><Relationship Id="rId30" Type="http://schemas.openxmlformats.org/officeDocument/2006/relationships/hyperlink" Target="http://www.ecfr.gov/cgi-bin/text-idx?SID=6e1e12aa28ee0f0d123f83385d671f2f&amp;node=se38.1.3_1303&amp;rgn=div8" TargetMode="External"/><Relationship Id="rId35" Type="http://schemas.openxmlformats.org/officeDocument/2006/relationships/hyperlink" Target="http://vbaw.vba.va.gov/bl/21/advisory/CAVCDAD.htm" TargetMode="External"/><Relationship Id="rId56" Type="http://schemas.openxmlformats.org/officeDocument/2006/relationships/hyperlink" Target="http://www.va.gov/ogc/docs/2001/prc08-2001.doc" TargetMode="External"/><Relationship Id="rId77" Type="http://schemas.openxmlformats.org/officeDocument/2006/relationships/hyperlink" Target="http://vbaw.vba.va.gov/bl/21/advisory/CAVCDAD.htm" TargetMode="External"/><Relationship Id="rId100" Type="http://schemas.openxmlformats.org/officeDocument/2006/relationships/hyperlink" Target="http://www.ecfr.gov/cgi-bin/text-idx?SID=a9336bb654ab856b00ab0aece4b20a7c&amp;node=se38.1.3_1304&amp;rgn=div8" TargetMode="External"/><Relationship Id="rId105" Type="http://schemas.openxmlformats.org/officeDocument/2006/relationships/hyperlink" Target="http://www.ecfr.gov/cgi-bin/text-idx?SID=69c365ab21c7b275e37cfbfa5c158d06&amp;mc=true&amp;node=se38.1.3_1304&amp;rgn=div8" TargetMode="External"/><Relationship Id="rId126" Type="http://schemas.openxmlformats.org/officeDocument/2006/relationships/hyperlink" Target="https://www.law.cornell.edu/uscode/text/38/1153" TargetMode="External"/><Relationship Id="rId147" Type="http://schemas.openxmlformats.org/officeDocument/2006/relationships/hyperlink" Target="http://www.ecfr.gov/cgi-bin/text-idx?c=ecfr&amp;sid=39c7e367a71c8efc570650851b266303&amp;rgn=div5&amp;view=text&amp;node=38:1.0.1.1.5&amp;idno=38" TargetMode="External"/><Relationship Id="rId8" Type="http://schemas.microsoft.com/office/2007/relationships/stylesWithEffects" Target="stylesWithEffects.xml"/><Relationship Id="rId51" Type="http://schemas.openxmlformats.org/officeDocument/2006/relationships/hyperlink" Target="http://www.ecfr.gov/cgi-bin/text-idx?SID=8ec647cd0edc2cb1040f28a2c9933deb&amp;mc=true&amp;node=se38.1.3_1307&amp;rgn=div8" TargetMode="External"/><Relationship Id="rId72" Type="http://schemas.openxmlformats.org/officeDocument/2006/relationships/hyperlink" Target="http://www.ecfr.gov/cgi-bin/text-idx?SID=4f75aeb98778645c99bc9f855f060a18&amp;node=se38.1.3_1309&amp;rgn=div8" TargetMode="External"/><Relationship Id="rId93" Type="http://schemas.openxmlformats.org/officeDocument/2006/relationships/hyperlink" Target="http://www.ecfr.gov/cgi-bin/text-idx?SID=a9336bb654ab856b00ab0aece4b20a7c&amp;node=se38.1.3_1304&amp;rgn=div8" TargetMode="External"/><Relationship Id="rId98" Type="http://schemas.openxmlformats.org/officeDocument/2006/relationships/hyperlink" Target="http://vbaw.vba.va.gov/bl/21/advisory/CAVCDAD.htm" TargetMode="External"/><Relationship Id="rId121" Type="http://schemas.openxmlformats.org/officeDocument/2006/relationships/hyperlink" Target="http://www.ecfr.gov/cgi-bin/text-idx?SID=dd28828f7a9a6fcbc03014e8368f6f3a&amp;node=se38.1.4_122&amp;rgn=div8" TargetMode="External"/><Relationship Id="rId142" Type="http://schemas.openxmlformats.org/officeDocument/2006/relationships/hyperlink" Target="http://www.ecfr.gov/cgi-bin/text-idx?SID=b37422caf145c28ee1ed9cdc3eeb4cba&amp;mc=true&amp;node=se38.1.3_1310&amp;rgn=div8" TargetMode="External"/><Relationship Id="rId3" Type="http://schemas.openxmlformats.org/officeDocument/2006/relationships/customXml" Target="../customXml/item2.xml"/><Relationship Id="rId25" Type="http://schemas.openxmlformats.org/officeDocument/2006/relationships/hyperlink" Target="http://www.ecfr.gov/cgi-bin/text-idx?SID=6e1e12aa28ee0f0d123f83385d671f2f&amp;node=se38.1.3_1309&amp;rgn=div8" TargetMode="External"/><Relationship Id="rId46" Type="http://schemas.openxmlformats.org/officeDocument/2006/relationships/hyperlink" Target="http://vbaw.vba.va.gov/bl/21/advisory/CAVCDAD.htm" TargetMode="External"/><Relationship Id="rId67" Type="http://schemas.openxmlformats.org/officeDocument/2006/relationships/hyperlink" Target="http://www.uscourts.cavc.gov/documents/Fountain13-0540.pdf" TargetMode="External"/><Relationship Id="rId116" Type="http://schemas.openxmlformats.org/officeDocument/2006/relationships/hyperlink" Target="http://vbaw.vba.va.gov/bl/21/advisory/CAVCDAD.htm" TargetMode="External"/><Relationship Id="rId137" Type="http://schemas.openxmlformats.org/officeDocument/2006/relationships/hyperlink" Target="http://vbaw.vba.va.gov/bl/21/advisory/CAVCDAD.htm" TargetMode="External"/><Relationship Id="rId15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rder0 xmlns="b438dcf7-3998-4283-b7fc-0ec6fa8e430f">1</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9D39-9276-4B9D-A1DA-2CE2C50D4F4B}">
  <ds:schemaRefs>
    <ds:schemaRef ds:uri="http://schemas.microsoft.com/sharepoint/v3/contenttype/forms"/>
  </ds:schemaRefs>
</ds:datastoreItem>
</file>

<file path=customXml/itemProps2.xml><?xml version="1.0" encoding="utf-8"?>
<ds:datastoreItem xmlns:ds="http://schemas.openxmlformats.org/officeDocument/2006/customXml" ds:itemID="{65576FF9-66FA-48DB-B3BF-DDB7074F7ED1}">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b438dcf7-3998-4283-b7fc-0ec6fa8e430f"/>
    <ds:schemaRef ds:uri="http://www.w3.org/XML/1998/namespace"/>
  </ds:schemaRefs>
</ds:datastoreItem>
</file>

<file path=customXml/itemProps3.xml><?xml version="1.0" encoding="utf-8"?>
<ds:datastoreItem xmlns:ds="http://schemas.openxmlformats.org/officeDocument/2006/customXml" ds:itemID="{13C1703C-0994-492C-B7F5-86476CB26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91267-85AF-4D60-A77D-95193B3E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8822</TotalTime>
  <Pages>27</Pages>
  <Words>7427</Words>
  <Characters>55153</Characters>
  <Application>Microsoft Office Word</Application>
  <DocSecurity>0</DocSecurity>
  <Lines>459</Lines>
  <Paragraphs>124</Paragraphs>
  <ScaleCrop>false</ScaleCrop>
  <HeadingPairs>
    <vt:vector size="2" baseType="variant">
      <vt:variant>
        <vt:lpstr>Title</vt:lpstr>
      </vt:variant>
      <vt:variant>
        <vt:i4>1</vt:i4>
      </vt:variant>
    </vt:vector>
  </HeadingPairs>
  <TitlesOfParts>
    <vt:vector size="1" baseType="lpstr">
      <vt:lpstr>Section B.  Determining Service Connection (U.S. Department of Veterans Affairs)</vt:lpstr>
    </vt:vector>
  </TitlesOfParts>
  <Company>Dept. of Veterans Affairs</Company>
  <LinksUpToDate>false</LinksUpToDate>
  <CharactersWithSpaces>62456</CharactersWithSpaces>
  <SharedDoc>false</SharedDoc>
  <HLinks>
    <vt:vector size="294" baseType="variant">
      <vt:variant>
        <vt:i4>1572926</vt:i4>
      </vt:variant>
      <vt:variant>
        <vt:i4>177</vt:i4>
      </vt:variant>
      <vt:variant>
        <vt:i4>0</vt:i4>
      </vt:variant>
      <vt:variant>
        <vt:i4>5</vt:i4>
      </vt:variant>
      <vt:variant>
        <vt:lpwstr>http://www.va.gov/ogc/docs/1990/PREC_1-90.doc</vt:lpwstr>
      </vt:variant>
      <vt:variant>
        <vt:lpwstr/>
      </vt:variant>
      <vt:variant>
        <vt:i4>6619207</vt:i4>
      </vt:variant>
      <vt:variant>
        <vt:i4>174</vt:i4>
      </vt:variant>
      <vt:variant>
        <vt:i4>0</vt:i4>
      </vt:variant>
      <vt:variant>
        <vt:i4>5</vt:i4>
      </vt:variant>
      <vt:variant>
        <vt:lpwstr>http://www.warms.vba.va.gov/regs/38CFR/BOOKB/PART3/S3_307.DOC</vt:lpwstr>
      </vt:variant>
      <vt:variant>
        <vt:lpwstr/>
      </vt:variant>
      <vt:variant>
        <vt:i4>6619209</vt:i4>
      </vt:variant>
      <vt:variant>
        <vt:i4>171</vt:i4>
      </vt:variant>
      <vt:variant>
        <vt:i4>0</vt:i4>
      </vt:variant>
      <vt:variant>
        <vt:i4>5</vt:i4>
      </vt:variant>
      <vt:variant>
        <vt:lpwstr>http://www.warms.vba.va.gov/regs/38CFR/BOOKB/PART3/S3_309.DOC</vt:lpwstr>
      </vt:variant>
      <vt:variant>
        <vt:lpwstr/>
      </vt:variant>
      <vt:variant>
        <vt:i4>6291493</vt:i4>
      </vt:variant>
      <vt:variant>
        <vt:i4>168</vt:i4>
      </vt:variant>
      <vt:variant>
        <vt:i4>0</vt:i4>
      </vt:variant>
      <vt:variant>
        <vt:i4>5</vt:i4>
      </vt:variant>
      <vt:variant>
        <vt:lpwstr>http://www.warms.vba.va.gov/bookc.html</vt:lpwstr>
      </vt:variant>
      <vt:variant>
        <vt:lpwstr/>
      </vt:variant>
      <vt:variant>
        <vt:i4>1441871</vt:i4>
      </vt:variant>
      <vt:variant>
        <vt:i4>159</vt:i4>
      </vt:variant>
      <vt:variant>
        <vt:i4>0</vt:i4>
      </vt:variant>
      <vt:variant>
        <vt:i4>5</vt:i4>
      </vt:variant>
      <vt:variant>
        <vt:lpwstr>http://vbaw.vba.va.gov/bl/21/Advisory/DADS/1995dads/Allen.doc</vt:lpwstr>
      </vt:variant>
      <vt:variant>
        <vt:lpwstr/>
      </vt:variant>
      <vt:variant>
        <vt:i4>6553664</vt:i4>
      </vt:variant>
      <vt:variant>
        <vt:i4>156</vt:i4>
      </vt:variant>
      <vt:variant>
        <vt:i4>0</vt:i4>
      </vt:variant>
      <vt:variant>
        <vt:i4>5</vt:i4>
      </vt:variant>
      <vt:variant>
        <vt:lpwstr>http://www.warms.vba.va.gov/regs/38CFR/BOOKB/PART3/S3_310.DOC</vt:lpwstr>
      </vt:variant>
      <vt:variant>
        <vt:lpwstr/>
      </vt:variant>
      <vt:variant>
        <vt:i4>6553664</vt:i4>
      </vt:variant>
      <vt:variant>
        <vt:i4>153</vt:i4>
      </vt:variant>
      <vt:variant>
        <vt:i4>0</vt:i4>
      </vt:variant>
      <vt:variant>
        <vt:i4>5</vt:i4>
      </vt:variant>
      <vt:variant>
        <vt:lpwstr>http://www.warms.vba.va.gov/regs/38CFR/BOOKB/PART3/S3_310.DOC</vt:lpwstr>
      </vt:variant>
      <vt:variant>
        <vt:lpwstr/>
      </vt:variant>
      <vt:variant>
        <vt:i4>6619207</vt:i4>
      </vt:variant>
      <vt:variant>
        <vt:i4>150</vt:i4>
      </vt:variant>
      <vt:variant>
        <vt:i4>0</vt:i4>
      </vt:variant>
      <vt:variant>
        <vt:i4>5</vt:i4>
      </vt:variant>
      <vt:variant>
        <vt:lpwstr>http://www.warms.vba.va.gov/regs/38CFR/BOOKB/PART3/S3_307.DOC</vt:lpwstr>
      </vt:variant>
      <vt:variant>
        <vt:lpwstr/>
      </vt:variant>
      <vt:variant>
        <vt:i4>7012468</vt:i4>
      </vt:variant>
      <vt:variant>
        <vt:i4>147</vt:i4>
      </vt:variant>
      <vt:variant>
        <vt:i4>0</vt:i4>
      </vt:variant>
      <vt:variant>
        <vt:i4>5</vt:i4>
      </vt:variant>
      <vt:variant>
        <vt:lpwstr>http://www.law.cornell.edu/uscode/38/1112.html</vt:lpwstr>
      </vt:variant>
      <vt:variant>
        <vt:lpwstr/>
      </vt:variant>
      <vt:variant>
        <vt:i4>6619206</vt:i4>
      </vt:variant>
      <vt:variant>
        <vt:i4>144</vt:i4>
      </vt:variant>
      <vt:variant>
        <vt:i4>0</vt:i4>
      </vt:variant>
      <vt:variant>
        <vt:i4>5</vt:i4>
      </vt:variant>
      <vt:variant>
        <vt:lpwstr>http://www.warms.vba.va.gov/regs/38CFR/BOOKB/PART3/S3_306.DOC</vt:lpwstr>
      </vt:variant>
      <vt:variant>
        <vt:lpwstr/>
      </vt:variant>
      <vt:variant>
        <vt:i4>6619206</vt:i4>
      </vt:variant>
      <vt:variant>
        <vt:i4>141</vt:i4>
      </vt:variant>
      <vt:variant>
        <vt:i4>0</vt:i4>
      </vt:variant>
      <vt:variant>
        <vt:i4>5</vt:i4>
      </vt:variant>
      <vt:variant>
        <vt:lpwstr>http://www.warms.vba.va.gov/regs/38CFR/BOOKB/PART3/S3_306.DOC</vt:lpwstr>
      </vt:variant>
      <vt:variant>
        <vt:lpwstr/>
      </vt:variant>
      <vt:variant>
        <vt:i4>852050</vt:i4>
      </vt:variant>
      <vt:variant>
        <vt:i4>138</vt:i4>
      </vt:variant>
      <vt:variant>
        <vt:i4>0</vt:i4>
      </vt:variant>
      <vt:variant>
        <vt:i4>5</vt:i4>
      </vt:variant>
      <vt:variant>
        <vt:lpwstr>http://vbaw.vba.va.gov/bl/21/Advisory/DADS/2010dads/Smith.doc</vt:lpwstr>
      </vt:variant>
      <vt:variant>
        <vt:lpwstr/>
      </vt:variant>
      <vt:variant>
        <vt:i4>6619206</vt:i4>
      </vt:variant>
      <vt:variant>
        <vt:i4>135</vt:i4>
      </vt:variant>
      <vt:variant>
        <vt:i4>0</vt:i4>
      </vt:variant>
      <vt:variant>
        <vt:i4>5</vt:i4>
      </vt:variant>
      <vt:variant>
        <vt:lpwstr>http://www.warms.vba.va.gov/regs/38CFR/BOOKB/PART3/S3_306.DOC</vt:lpwstr>
      </vt:variant>
      <vt:variant>
        <vt:lpwstr/>
      </vt:variant>
      <vt:variant>
        <vt:i4>4784139</vt:i4>
      </vt:variant>
      <vt:variant>
        <vt:i4>129</vt:i4>
      </vt:variant>
      <vt:variant>
        <vt:i4>0</vt:i4>
      </vt:variant>
      <vt:variant>
        <vt:i4>5</vt:i4>
      </vt:variant>
      <vt:variant>
        <vt:lpwstr>imi-internal:M21-1MRIV.ii.2.B.3.d</vt:lpwstr>
      </vt:variant>
      <vt:variant>
        <vt:lpwstr/>
      </vt:variant>
      <vt:variant>
        <vt:i4>6619204</vt:i4>
      </vt:variant>
      <vt:variant>
        <vt:i4>126</vt:i4>
      </vt:variant>
      <vt:variant>
        <vt:i4>0</vt:i4>
      </vt:variant>
      <vt:variant>
        <vt:i4>5</vt:i4>
      </vt:variant>
      <vt:variant>
        <vt:lpwstr>http://www.warms.vba.va.gov/regs/38CFR/BOOKB/PART3/S3_304.DOC</vt:lpwstr>
      </vt:variant>
      <vt:variant>
        <vt:lpwstr/>
      </vt:variant>
      <vt:variant>
        <vt:i4>983154</vt:i4>
      </vt:variant>
      <vt:variant>
        <vt:i4>120</vt:i4>
      </vt:variant>
      <vt:variant>
        <vt:i4>0</vt:i4>
      </vt:variant>
      <vt:variant>
        <vt:i4>5</vt:i4>
      </vt:variant>
      <vt:variant>
        <vt:lpwstr>http://www.law.cornell.edu/uscode/html/uscode38/usc_sec_38_00001154----000-.html</vt:lpwstr>
      </vt:variant>
      <vt:variant>
        <vt:lpwstr/>
      </vt:variant>
      <vt:variant>
        <vt:i4>6619204</vt:i4>
      </vt:variant>
      <vt:variant>
        <vt:i4>117</vt:i4>
      </vt:variant>
      <vt:variant>
        <vt:i4>0</vt:i4>
      </vt:variant>
      <vt:variant>
        <vt:i4>5</vt:i4>
      </vt:variant>
      <vt:variant>
        <vt:lpwstr>http://www.warms.vba.va.gov/regs/38CFR/BOOKB/PART3/S3_304.DOC</vt:lpwstr>
      </vt:variant>
      <vt:variant>
        <vt:lpwstr/>
      </vt:variant>
      <vt:variant>
        <vt:i4>983154</vt:i4>
      </vt:variant>
      <vt:variant>
        <vt:i4>114</vt:i4>
      </vt:variant>
      <vt:variant>
        <vt:i4>0</vt:i4>
      </vt:variant>
      <vt:variant>
        <vt:i4>5</vt:i4>
      </vt:variant>
      <vt:variant>
        <vt:lpwstr>http://www.law.cornell.edu/uscode/html/uscode38/usc_sec_38_00001154----000-.html</vt:lpwstr>
      </vt:variant>
      <vt:variant>
        <vt:lpwstr/>
      </vt:variant>
      <vt:variant>
        <vt:i4>6619204</vt:i4>
      </vt:variant>
      <vt:variant>
        <vt:i4>111</vt:i4>
      </vt:variant>
      <vt:variant>
        <vt:i4>0</vt:i4>
      </vt:variant>
      <vt:variant>
        <vt:i4>5</vt:i4>
      </vt:variant>
      <vt:variant>
        <vt:lpwstr>http://www.warms.vba.va.gov/regs/38CFR/BOOKB/PART3/S3_304.DOC</vt:lpwstr>
      </vt:variant>
      <vt:variant>
        <vt:lpwstr/>
      </vt:variant>
      <vt:variant>
        <vt:i4>4784140</vt:i4>
      </vt:variant>
      <vt:variant>
        <vt:i4>108</vt:i4>
      </vt:variant>
      <vt:variant>
        <vt:i4>0</vt:i4>
      </vt:variant>
      <vt:variant>
        <vt:i4>5</vt:i4>
      </vt:variant>
      <vt:variant>
        <vt:lpwstr>imi-internal:M21-1MRIV.ii.2.B.4.e</vt:lpwstr>
      </vt:variant>
      <vt:variant>
        <vt:lpwstr/>
      </vt:variant>
      <vt:variant>
        <vt:i4>3014722</vt:i4>
      </vt:variant>
      <vt:variant>
        <vt:i4>102</vt:i4>
      </vt:variant>
      <vt:variant>
        <vt:i4>0</vt:i4>
      </vt:variant>
      <vt:variant>
        <vt:i4>5</vt:i4>
      </vt:variant>
      <vt:variant>
        <vt:lpwstr>http://vbaw.vba.va.gov/bl/21/Advisory/PRECOP/02op/prec04_02.doc</vt:lpwstr>
      </vt:variant>
      <vt:variant>
        <vt:lpwstr/>
      </vt:variant>
      <vt:variant>
        <vt:i4>5570677</vt:i4>
      </vt:variant>
      <vt:variant>
        <vt:i4>99</vt:i4>
      </vt:variant>
      <vt:variant>
        <vt:i4>0</vt:i4>
      </vt:variant>
      <vt:variant>
        <vt:i4>5</vt:i4>
      </vt:variant>
      <vt:variant>
        <vt:lpwstr>http://www.warms.vba.va.gov/regs/38CFR/BOOKB/PART3/S3_6.DOC</vt:lpwstr>
      </vt:variant>
      <vt:variant>
        <vt:lpwstr/>
      </vt:variant>
      <vt:variant>
        <vt:i4>5570677</vt:i4>
      </vt:variant>
      <vt:variant>
        <vt:i4>96</vt:i4>
      </vt:variant>
      <vt:variant>
        <vt:i4>0</vt:i4>
      </vt:variant>
      <vt:variant>
        <vt:i4>5</vt:i4>
      </vt:variant>
      <vt:variant>
        <vt:lpwstr>http://www.warms.vba.va.gov/regs/38CFR/BOOKB/PART3/S3_6.DOC</vt:lpwstr>
      </vt:variant>
      <vt:variant>
        <vt:lpwstr/>
      </vt:variant>
      <vt:variant>
        <vt:i4>852050</vt:i4>
      </vt:variant>
      <vt:variant>
        <vt:i4>93</vt:i4>
      </vt:variant>
      <vt:variant>
        <vt:i4>0</vt:i4>
      </vt:variant>
      <vt:variant>
        <vt:i4>5</vt:i4>
      </vt:variant>
      <vt:variant>
        <vt:lpwstr>http://vbaw.vba.va.gov/bl/21/Advisory/DADS/2010dads/Smith.doc</vt:lpwstr>
      </vt:variant>
      <vt:variant>
        <vt:lpwstr/>
      </vt:variant>
      <vt:variant>
        <vt:i4>6619209</vt:i4>
      </vt:variant>
      <vt:variant>
        <vt:i4>87</vt:i4>
      </vt:variant>
      <vt:variant>
        <vt:i4>0</vt:i4>
      </vt:variant>
      <vt:variant>
        <vt:i4>5</vt:i4>
      </vt:variant>
      <vt:variant>
        <vt:lpwstr>http://www.warms.vba.va.gov/regs/38CFR/BOOKB/PART3/S3_309.DOC</vt:lpwstr>
      </vt:variant>
      <vt:variant>
        <vt:lpwstr/>
      </vt:variant>
      <vt:variant>
        <vt:i4>6553665</vt:i4>
      </vt:variant>
      <vt:variant>
        <vt:i4>84</vt:i4>
      </vt:variant>
      <vt:variant>
        <vt:i4>0</vt:i4>
      </vt:variant>
      <vt:variant>
        <vt:i4>5</vt:i4>
      </vt:variant>
      <vt:variant>
        <vt:lpwstr>http://www.warms.vba.va.gov/regs/38CFR/BOOKB/PART3/S3_311.DOC</vt:lpwstr>
      </vt:variant>
      <vt:variant>
        <vt:lpwstr/>
      </vt:variant>
      <vt:variant>
        <vt:i4>6619209</vt:i4>
      </vt:variant>
      <vt:variant>
        <vt:i4>81</vt:i4>
      </vt:variant>
      <vt:variant>
        <vt:i4>0</vt:i4>
      </vt:variant>
      <vt:variant>
        <vt:i4>5</vt:i4>
      </vt:variant>
      <vt:variant>
        <vt:lpwstr>http://www.warms.vba.va.gov/regs/38CFR/BOOKB/PART3/S3_309.DOC</vt:lpwstr>
      </vt:variant>
      <vt:variant>
        <vt:lpwstr/>
      </vt:variant>
      <vt:variant>
        <vt:i4>6619203</vt:i4>
      </vt:variant>
      <vt:variant>
        <vt:i4>78</vt:i4>
      </vt:variant>
      <vt:variant>
        <vt:i4>0</vt:i4>
      </vt:variant>
      <vt:variant>
        <vt:i4>5</vt:i4>
      </vt:variant>
      <vt:variant>
        <vt:lpwstr>http://www.warms.vba.va.gov/regs/38CFR/BOOKB/PART3/S3_303.DOC</vt:lpwstr>
      </vt:variant>
      <vt:variant>
        <vt:lpwstr/>
      </vt:variant>
      <vt:variant>
        <vt:i4>852050</vt:i4>
      </vt:variant>
      <vt:variant>
        <vt:i4>75</vt:i4>
      </vt:variant>
      <vt:variant>
        <vt:i4>0</vt:i4>
      </vt:variant>
      <vt:variant>
        <vt:i4>5</vt:i4>
      </vt:variant>
      <vt:variant>
        <vt:lpwstr>http://vbaw.vba.va.gov/bl/21/Advisory/DADS/2010dads/Smith.doc</vt:lpwstr>
      </vt:variant>
      <vt:variant>
        <vt:lpwstr/>
      </vt:variant>
      <vt:variant>
        <vt:i4>6619209</vt:i4>
      </vt:variant>
      <vt:variant>
        <vt:i4>72</vt:i4>
      </vt:variant>
      <vt:variant>
        <vt:i4>0</vt:i4>
      </vt:variant>
      <vt:variant>
        <vt:i4>5</vt:i4>
      </vt:variant>
      <vt:variant>
        <vt:lpwstr>http://www.warms.vba.va.gov/regs/38CFR/BOOKB/PART3/S3_309.DOC</vt:lpwstr>
      </vt:variant>
      <vt:variant>
        <vt:lpwstr/>
      </vt:variant>
      <vt:variant>
        <vt:i4>6619209</vt:i4>
      </vt:variant>
      <vt:variant>
        <vt:i4>69</vt:i4>
      </vt:variant>
      <vt:variant>
        <vt:i4>0</vt:i4>
      </vt:variant>
      <vt:variant>
        <vt:i4>5</vt:i4>
      </vt:variant>
      <vt:variant>
        <vt:lpwstr>http://www.warms.vba.va.gov/regs/38CFR/BOOKB/PART3/S3_309.DOC</vt:lpwstr>
      </vt:variant>
      <vt:variant>
        <vt:lpwstr/>
      </vt:variant>
      <vt:variant>
        <vt:i4>6619207</vt:i4>
      </vt:variant>
      <vt:variant>
        <vt:i4>66</vt:i4>
      </vt:variant>
      <vt:variant>
        <vt:i4>0</vt:i4>
      </vt:variant>
      <vt:variant>
        <vt:i4>5</vt:i4>
      </vt:variant>
      <vt:variant>
        <vt:lpwstr>http://www.warms.vba.va.gov/regs/38CFR/BOOKB/PART3/S3_307.DOC</vt:lpwstr>
      </vt:variant>
      <vt:variant>
        <vt:lpwstr/>
      </vt:variant>
      <vt:variant>
        <vt:i4>6619209</vt:i4>
      </vt:variant>
      <vt:variant>
        <vt:i4>63</vt:i4>
      </vt:variant>
      <vt:variant>
        <vt:i4>0</vt:i4>
      </vt:variant>
      <vt:variant>
        <vt:i4>5</vt:i4>
      </vt:variant>
      <vt:variant>
        <vt:lpwstr>http://www.warms.vba.va.gov/regs/38CFR/BOOKB/PART3/S3_309.DOC</vt:lpwstr>
      </vt:variant>
      <vt:variant>
        <vt:lpwstr/>
      </vt:variant>
      <vt:variant>
        <vt:i4>6619209</vt:i4>
      </vt:variant>
      <vt:variant>
        <vt:i4>60</vt:i4>
      </vt:variant>
      <vt:variant>
        <vt:i4>0</vt:i4>
      </vt:variant>
      <vt:variant>
        <vt:i4>5</vt:i4>
      </vt:variant>
      <vt:variant>
        <vt:lpwstr>http://www.warms.vba.va.gov/regs/38CFR/BOOKB/PART3/S3_309.DOC</vt:lpwstr>
      </vt:variant>
      <vt:variant>
        <vt:lpwstr/>
      </vt:variant>
      <vt:variant>
        <vt:i4>6619208</vt:i4>
      </vt:variant>
      <vt:variant>
        <vt:i4>51</vt:i4>
      </vt:variant>
      <vt:variant>
        <vt:i4>0</vt:i4>
      </vt:variant>
      <vt:variant>
        <vt:i4>5</vt:i4>
      </vt:variant>
      <vt:variant>
        <vt:lpwstr>http://www.warms.vba.va.gov/regs/38CFR/BOOKB/PART3/S3_308.DOC</vt:lpwstr>
      </vt:variant>
      <vt:variant>
        <vt:lpwstr/>
      </vt:variant>
      <vt:variant>
        <vt:i4>6619209</vt:i4>
      </vt:variant>
      <vt:variant>
        <vt:i4>48</vt:i4>
      </vt:variant>
      <vt:variant>
        <vt:i4>0</vt:i4>
      </vt:variant>
      <vt:variant>
        <vt:i4>5</vt:i4>
      </vt:variant>
      <vt:variant>
        <vt:lpwstr>http://www.warms.vba.va.gov/regs/38CFR/BOOKB/PART3/S3_309.DOC</vt:lpwstr>
      </vt:variant>
      <vt:variant>
        <vt:lpwstr/>
      </vt:variant>
      <vt:variant>
        <vt:i4>6619208</vt:i4>
      </vt:variant>
      <vt:variant>
        <vt:i4>45</vt:i4>
      </vt:variant>
      <vt:variant>
        <vt:i4>0</vt:i4>
      </vt:variant>
      <vt:variant>
        <vt:i4>5</vt:i4>
      </vt:variant>
      <vt:variant>
        <vt:lpwstr>http://www.warms.vba.va.gov/regs/38CFR/BOOKB/PART3/S3_308.DOC</vt:lpwstr>
      </vt:variant>
      <vt:variant>
        <vt:lpwstr/>
      </vt:variant>
      <vt:variant>
        <vt:i4>6619209</vt:i4>
      </vt:variant>
      <vt:variant>
        <vt:i4>42</vt:i4>
      </vt:variant>
      <vt:variant>
        <vt:i4>0</vt:i4>
      </vt:variant>
      <vt:variant>
        <vt:i4>5</vt:i4>
      </vt:variant>
      <vt:variant>
        <vt:lpwstr>http://www.warms.vba.va.gov/regs/38CFR/BOOKB/PART3/S3_309.DOC</vt:lpwstr>
      </vt:variant>
      <vt:variant>
        <vt:lpwstr/>
      </vt:variant>
      <vt:variant>
        <vt:i4>6619204</vt:i4>
      </vt:variant>
      <vt:variant>
        <vt:i4>36</vt:i4>
      </vt:variant>
      <vt:variant>
        <vt:i4>0</vt:i4>
      </vt:variant>
      <vt:variant>
        <vt:i4>5</vt:i4>
      </vt:variant>
      <vt:variant>
        <vt:lpwstr>http://www.warms.vba.va.gov/regs/38CFR/BOOKB/PART3/S3_304.DOC</vt:lpwstr>
      </vt:variant>
      <vt:variant>
        <vt:lpwstr/>
      </vt:variant>
      <vt:variant>
        <vt:i4>6619205</vt:i4>
      </vt:variant>
      <vt:variant>
        <vt:i4>33</vt:i4>
      </vt:variant>
      <vt:variant>
        <vt:i4>0</vt:i4>
      </vt:variant>
      <vt:variant>
        <vt:i4>5</vt:i4>
      </vt:variant>
      <vt:variant>
        <vt:lpwstr>http://www.warms.vba.va.gov/regs/38CFR/BOOKB/PART3/S3_305.DOC</vt:lpwstr>
      </vt:variant>
      <vt:variant>
        <vt:lpwstr/>
      </vt:variant>
      <vt:variant>
        <vt:i4>7667836</vt:i4>
      </vt:variant>
      <vt:variant>
        <vt:i4>30</vt:i4>
      </vt:variant>
      <vt:variant>
        <vt:i4>0</vt:i4>
      </vt:variant>
      <vt:variant>
        <vt:i4>5</vt:i4>
      </vt:variant>
      <vt:variant>
        <vt:lpwstr>http://vbaw.vba.va.gov/bl/21/Advisory/DADS/2004dads/FedCirc/Wagner.doc</vt:lpwstr>
      </vt:variant>
      <vt:variant>
        <vt:lpwstr/>
      </vt:variant>
      <vt:variant>
        <vt:i4>1966174</vt:i4>
      </vt:variant>
      <vt:variant>
        <vt:i4>27</vt:i4>
      </vt:variant>
      <vt:variant>
        <vt:i4>0</vt:i4>
      </vt:variant>
      <vt:variant>
        <vt:i4>5</vt:i4>
      </vt:variant>
      <vt:variant>
        <vt:lpwstr>http://vbaw.vba.va.gov/bl/21/advisory/PRECOP/03op/pc0303.doc</vt:lpwstr>
      </vt:variant>
      <vt:variant>
        <vt:lpwstr/>
      </vt:variant>
      <vt:variant>
        <vt:i4>721015</vt:i4>
      </vt:variant>
      <vt:variant>
        <vt:i4>24</vt:i4>
      </vt:variant>
      <vt:variant>
        <vt:i4>0</vt:i4>
      </vt:variant>
      <vt:variant>
        <vt:i4>5</vt:i4>
      </vt:variant>
      <vt:variant>
        <vt:lpwstr>http://www.law.cornell.edu/uscode/html/uscode38/usc_sec_38_00001111----000-.html</vt:lpwstr>
      </vt:variant>
      <vt:variant>
        <vt:lpwstr/>
      </vt:variant>
      <vt:variant>
        <vt:i4>6619209</vt:i4>
      </vt:variant>
      <vt:variant>
        <vt:i4>18</vt:i4>
      </vt:variant>
      <vt:variant>
        <vt:i4>0</vt:i4>
      </vt:variant>
      <vt:variant>
        <vt:i4>5</vt:i4>
      </vt:variant>
      <vt:variant>
        <vt:lpwstr>http://www.warms.vba.va.gov/regs/38CFR/BOOKB/PART3/S3_309.DOC</vt:lpwstr>
      </vt:variant>
      <vt:variant>
        <vt:lpwstr/>
      </vt:variant>
      <vt:variant>
        <vt:i4>6619203</vt:i4>
      </vt:variant>
      <vt:variant>
        <vt:i4>15</vt:i4>
      </vt:variant>
      <vt:variant>
        <vt:i4>0</vt:i4>
      </vt:variant>
      <vt:variant>
        <vt:i4>5</vt:i4>
      </vt:variant>
      <vt:variant>
        <vt:lpwstr>http://www.warms.vba.va.gov/regs/38CFR/BOOKB/PART3/S3_303.DOC</vt:lpwstr>
      </vt:variant>
      <vt:variant>
        <vt:lpwstr/>
      </vt:variant>
      <vt:variant>
        <vt:i4>6619203</vt:i4>
      </vt:variant>
      <vt:variant>
        <vt:i4>12</vt:i4>
      </vt:variant>
      <vt:variant>
        <vt:i4>0</vt:i4>
      </vt:variant>
      <vt:variant>
        <vt:i4>5</vt:i4>
      </vt:variant>
      <vt:variant>
        <vt:lpwstr>http://www.warms.vba.va.gov/regs/38CFR/BOOKB/PART3/S3_303.DOC</vt:lpwstr>
      </vt:variant>
      <vt:variant>
        <vt:lpwstr/>
      </vt:variant>
      <vt:variant>
        <vt:i4>6619207</vt:i4>
      </vt:variant>
      <vt:variant>
        <vt:i4>9</vt:i4>
      </vt:variant>
      <vt:variant>
        <vt:i4>0</vt:i4>
      </vt:variant>
      <vt:variant>
        <vt:i4>5</vt:i4>
      </vt:variant>
      <vt:variant>
        <vt:lpwstr>http://www.warms.vba.va.gov/regs/38CFR/BOOKB/PART3/S3_307.DOC</vt:lpwstr>
      </vt:variant>
      <vt:variant>
        <vt:lpwstr/>
      </vt:variant>
      <vt:variant>
        <vt:i4>6619203</vt:i4>
      </vt:variant>
      <vt:variant>
        <vt:i4>3</vt:i4>
      </vt:variant>
      <vt:variant>
        <vt:i4>0</vt:i4>
      </vt:variant>
      <vt:variant>
        <vt:i4>5</vt:i4>
      </vt:variant>
      <vt:variant>
        <vt:lpwstr>http://www.warms.vba.va.gov/regs/38CFR/BOOKB/PART3/S3_303.DOC</vt:lpwstr>
      </vt:variant>
      <vt:variant>
        <vt:lpwstr/>
      </vt:variant>
      <vt:variant>
        <vt:i4>6619207</vt:i4>
      </vt:variant>
      <vt:variant>
        <vt:i4>0</vt:i4>
      </vt:variant>
      <vt:variant>
        <vt:i4>0</vt:i4>
      </vt:variant>
      <vt:variant>
        <vt:i4>5</vt:i4>
      </vt:variant>
      <vt:variant>
        <vt:lpwstr>http://www.warms.vba.va.gov/regs/38CFR/BOOKB/PART3/S3_307.DOC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Determining Service Connection (U.S. Department of Veterans Affairs)</dc:title>
  <dc:subject>Determining Service Connection</dc:subject>
  <dc:creator>adjatoml</dc:creator>
  <cp:keywords>service connection, incurrence, aggravation, pre-service, congenital</cp:keywords>
  <cp:lastModifiedBy>Mazar, Leah B., VBAVACO</cp:lastModifiedBy>
  <cp:revision>138</cp:revision>
  <cp:lastPrinted>2011-09-15T18:09:00Z</cp:lastPrinted>
  <dcterms:created xsi:type="dcterms:W3CDTF">2015-06-30T11:58:00Z</dcterms:created>
  <dcterms:modified xsi:type="dcterms:W3CDTF">2016-01-19T19:38:00Z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vt:lpwstr>
  </property>
  <property fmtid="{D5CDD505-2E9C-101B-9397-08002B2CF9AE}" pid="3" name="DateReviewed">
    <vt:lpwstr>20151030</vt:lpwstr>
  </property>
  <property fmtid="{D5CDD505-2E9C-101B-9397-08002B2CF9AE}" pid="4" name="Language">
    <vt:lpwstr>en</vt:lpwstr>
  </property>
  <property fmtid="{D5CDD505-2E9C-101B-9397-08002B2CF9AE}" pid="5" name="Creator">
    <vt:lpwstr>Department of Veterans Affairs, Veterans Benefits Administration, Compensaion Service, Procedures</vt:lpwstr>
  </property>
  <property fmtid="{D5CDD505-2E9C-101B-9397-08002B2CF9AE}" pid="6" name="Type">
    <vt:lpwstr>Manual</vt:lpwstr>
  </property>
  <property fmtid="{D5CDD505-2E9C-101B-9397-08002B2CF9AE}" pid="7" name="Posted?">
    <vt:lpwstr/>
  </property>
  <property fmtid="{D5CDD505-2E9C-101B-9397-08002B2CF9AE}" pid="8" name="ContentType">
    <vt:lpwstr>Document</vt:lpwstr>
  </property>
  <property fmtid="{D5CDD505-2E9C-101B-9397-08002B2CF9AE}" pid="9" name="ContentTypeId">
    <vt:lpwstr>0x010100A3776AF772BF364D8E899CBB1EA8E540</vt:lpwstr>
  </property>
</Properties>
</file>