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80" w:rsidRDefault="007D437C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504F80">
        <w:rPr>
          <w:rFonts w:ascii="Times New Roman" w:hAnsi="Times New Roman"/>
          <w:sz w:val="20"/>
        </w:rPr>
        <w:t xml:space="preserve">M21-1MR, Part </w:t>
      </w:r>
      <w:r>
        <w:rPr>
          <w:rFonts w:ascii="Times New Roman" w:hAnsi="Times New Roman"/>
          <w:sz w:val="20"/>
        </w:rPr>
        <w:t>I</w:t>
      </w:r>
      <w:r w:rsidR="00504F80">
        <w:rPr>
          <w:rFonts w:ascii="Times New Roman" w:hAnsi="Times New Roman"/>
          <w:sz w:val="20"/>
        </w:rPr>
        <w:t xml:space="preserve">V, Subpart </w:t>
      </w:r>
      <w:r>
        <w:rPr>
          <w:rFonts w:ascii="Times New Roman" w:hAnsi="Times New Roman"/>
          <w:sz w:val="20"/>
        </w:rPr>
        <w:t>i</w:t>
      </w:r>
      <w:r w:rsidR="00504F80">
        <w:rPr>
          <w:rFonts w:ascii="Times New Roman" w:hAnsi="Times New Roman"/>
          <w:sz w:val="20"/>
        </w:rPr>
        <w:t>i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</w:t>
      </w:r>
      <w:r w:rsidR="00711DCF">
        <w:rPr>
          <w:b/>
          <w:bCs/>
          <w:sz w:val="20"/>
        </w:rPr>
        <w:t>ration</w:t>
      </w:r>
      <w:r w:rsidR="00711DCF">
        <w:rPr>
          <w:b/>
          <w:bCs/>
          <w:sz w:val="20"/>
        </w:rPr>
        <w:tab/>
      </w:r>
      <w:r w:rsidR="00711DCF">
        <w:rPr>
          <w:b/>
          <w:bCs/>
          <w:sz w:val="20"/>
        </w:rPr>
        <w:tab/>
      </w:r>
      <w:r w:rsidR="00711DCF">
        <w:rPr>
          <w:b/>
          <w:bCs/>
          <w:sz w:val="20"/>
        </w:rPr>
        <w:tab/>
      </w:r>
      <w:r w:rsidR="00711DCF">
        <w:rPr>
          <w:b/>
          <w:bCs/>
          <w:sz w:val="20"/>
        </w:rPr>
        <w:tab/>
      </w:r>
      <w:r w:rsidR="00711DCF">
        <w:rPr>
          <w:b/>
          <w:bCs/>
          <w:sz w:val="20"/>
        </w:rPr>
        <w:tab/>
      </w:r>
      <w:r w:rsidR="00711DCF">
        <w:rPr>
          <w:b/>
          <w:bCs/>
          <w:sz w:val="20"/>
        </w:rPr>
        <w:tab/>
        <w:t xml:space="preserve">        December 16, 2011</w:t>
      </w:r>
      <w:r>
        <w:rPr>
          <w:b/>
          <w:bCs/>
          <w:sz w:val="20"/>
        </w:rPr>
        <w:t xml:space="preserve">               </w:t>
      </w:r>
      <w:r w:rsidR="007D437C"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504F80" w:rsidP="00504F80">
      <w:pPr>
        <w:pStyle w:val="Heading4"/>
      </w:pPr>
      <w:r>
        <w:t xml:space="preserve">Transmittal Sheet 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7D437C">
              <w:t>I</w:t>
            </w:r>
            <w:r>
              <w:t>V, “</w:t>
            </w:r>
            <w:r w:rsidR="00C642AF">
              <w:t>Compensation, DIC, and Death Compensaiton Benefits</w:t>
            </w:r>
            <w:r>
              <w:t xml:space="preserve">,” Subpart </w:t>
            </w:r>
            <w:r w:rsidR="007D437C">
              <w:t>i</w:t>
            </w:r>
            <w:r>
              <w:t>i, “</w:t>
            </w:r>
            <w:r w:rsidR="00C642AF">
              <w:t>Compensation</w:t>
            </w:r>
            <w:r>
              <w:t>.”</w:t>
            </w: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  <w:rPr>
                <w:b/>
                <w:i/>
              </w:r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504F80" w:rsidRDefault="00504F80" w:rsidP="00237C22">
            <w:pPr>
              <w:pStyle w:val="BulletText1"/>
            </w:pPr>
            <w:r>
              <w:t>M21-1MR will retain some information related to the Benefits Delivery Network (BDN)</w:t>
            </w:r>
            <w:r w:rsidR="00137CD1">
              <w:t xml:space="preserve"> </w:t>
            </w:r>
            <w:r w:rsidR="00C84759">
              <w:t xml:space="preserve">until </w:t>
            </w:r>
            <w:r w:rsidR="00137CD1">
              <w:t>all master records are converted to VETSNET</w:t>
            </w:r>
            <w:r>
              <w:t xml:space="preserve">.  For information on VETSNET applications and input, consult the </w:t>
            </w:r>
            <w:hyperlink r:id="rId12" w:tooltip="http://10.220.1.10/vetsnet/User%20guide.htm" w:history="1">
              <w:r w:rsidRPr="008E4B05">
                <w:rPr>
                  <w:rStyle w:val="Hyperlink"/>
                  <w:i/>
                </w:rPr>
                <w:t>VETSNET User Guides</w:t>
              </w:r>
            </w:hyperlink>
            <w:r>
              <w:t xml:space="preserve"> on the Compensation </w:t>
            </w:r>
            <w:r w:rsidR="00D36508">
              <w:t xml:space="preserve">Service </w:t>
            </w:r>
            <w:r>
              <w:t>Intranet.</w:t>
            </w:r>
          </w:p>
          <w:p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642AF">
              <w:t>, where appropriate</w:t>
            </w:r>
            <w:r>
              <w:t>.</w:t>
            </w:r>
          </w:p>
          <w:p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642AF">
              <w:t>, where appropriate</w:t>
            </w:r>
            <w:r>
              <w:t>.</w:t>
            </w:r>
          </w:p>
          <w:p w:rsidR="00504F80" w:rsidRDefault="00504F80" w:rsidP="00C642AF">
            <w:pPr>
              <w:pStyle w:val="BulletText1"/>
            </w:pPr>
            <w:r>
              <w:t xml:space="preserve">Minor editorial changes have also been made to </w:t>
            </w:r>
          </w:p>
          <w:p w:rsidR="000503C4" w:rsidRDefault="000503C4" w:rsidP="00DD2786">
            <w:pPr>
              <w:pStyle w:val="BulletText2"/>
              <w:tabs>
                <w:tab w:val="clear" w:pos="1717"/>
                <w:tab w:val="num" w:pos="360"/>
                <w:tab w:val="num" w:pos="547"/>
              </w:tabs>
              <w:ind w:left="360"/>
            </w:pPr>
            <w:r>
              <w:t>to update “Compensation and Pension (C&amp;P) Service” to “Compensation Service,” where appropriate.</w:t>
            </w:r>
          </w:p>
          <w:p w:rsidR="00504F80" w:rsidRDefault="00504F80" w:rsidP="00DD2786">
            <w:pPr>
              <w:pStyle w:val="BulletText2"/>
              <w:tabs>
                <w:tab w:val="clear" w:pos="1717"/>
                <w:tab w:val="num" w:pos="360"/>
                <w:tab w:val="num" w:pos="547"/>
              </w:tabs>
              <w:ind w:left="360"/>
            </w:pPr>
            <w:r>
              <w:t>update the term “VCAA notice” to “section 5103 notice”</w:t>
            </w:r>
          </w:p>
          <w:p w:rsidR="00D87D3D" w:rsidRDefault="00D87D3D" w:rsidP="00DD2786">
            <w:pPr>
              <w:pStyle w:val="BulletText2"/>
              <w:tabs>
                <w:tab w:val="clear" w:pos="1717"/>
                <w:tab w:val="num" w:pos="360"/>
                <w:tab w:val="num" w:pos="547"/>
              </w:tabs>
              <w:ind w:left="360"/>
            </w:pPr>
            <w:r>
              <w:t>revise incorrect reference citations</w:t>
            </w:r>
          </w:p>
          <w:p w:rsidR="00504F80" w:rsidRDefault="00D87D3D" w:rsidP="00DD2786">
            <w:pPr>
              <w:pStyle w:val="BulletText2"/>
              <w:tabs>
                <w:tab w:val="clear" w:pos="1717"/>
                <w:tab w:val="num" w:pos="360"/>
                <w:tab w:val="num" w:pos="547"/>
              </w:tabs>
              <w:ind w:left="360"/>
            </w:pPr>
            <w:r>
              <w:t>update</w:t>
            </w:r>
            <w:r w:rsidR="00504F80">
              <w:t xml:space="preserve"> obsolete terminology</w:t>
            </w:r>
          </w:p>
          <w:p w:rsidR="008A510A" w:rsidRDefault="008A510A" w:rsidP="00DD2786">
            <w:pPr>
              <w:pStyle w:val="BulletText2"/>
              <w:tabs>
                <w:tab w:val="clear" w:pos="1717"/>
                <w:tab w:val="num" w:pos="360"/>
                <w:tab w:val="num" w:pos="547"/>
              </w:tabs>
              <w:ind w:left="360"/>
            </w:pPr>
            <w:r>
              <w:t>reflect the repagination of topics</w:t>
            </w:r>
          </w:p>
          <w:p w:rsidR="00504F80" w:rsidRDefault="00504F80" w:rsidP="00DD2786">
            <w:pPr>
              <w:pStyle w:val="BulletText2"/>
              <w:tabs>
                <w:tab w:val="clear" w:pos="1717"/>
                <w:tab w:val="num" w:pos="360"/>
                <w:tab w:val="num" w:pos="547"/>
              </w:tabs>
              <w:ind w:left="360"/>
            </w:pPr>
            <w:r>
              <w:t xml:space="preserve">clarify block labels and/or block text, and </w:t>
            </w:r>
          </w:p>
          <w:p w:rsidR="00504F80" w:rsidRPr="00EA3A57" w:rsidRDefault="00504F80" w:rsidP="00DD2786">
            <w:pPr>
              <w:pStyle w:val="BulletText2"/>
              <w:tabs>
                <w:tab w:val="clear" w:pos="1717"/>
                <w:tab w:val="num" w:pos="360"/>
              </w:tabs>
              <w:ind w:left="360"/>
            </w:pPr>
            <w:r>
              <w:t>bring the documents into conformance with M21-1MR standards.</w:t>
            </w:r>
          </w:p>
        </w:tc>
      </w:tr>
    </w:tbl>
    <w:p w:rsidR="00504F80" w:rsidRPr="0053117C" w:rsidRDefault="00504F80" w:rsidP="00504F80">
      <w:pPr>
        <w:pStyle w:val="MapTitleContinued"/>
        <w:rPr>
          <w:b w:val="0"/>
          <w:sz w:val="22"/>
          <w:szCs w:val="22"/>
        </w:rPr>
      </w:pPr>
    </w:p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24"/>
        <w:gridCol w:w="2610"/>
        <w:gridCol w:w="1170"/>
      </w:tblGrid>
      <w:tr w:rsidR="00504F80" w:rsidTr="00BA7076">
        <w:tc>
          <w:tcPr>
            <w:tcW w:w="5724" w:type="dxa"/>
            <w:shd w:val="clear" w:color="auto" w:fill="auto"/>
          </w:tcPr>
          <w:p w:rsidR="00504F80" w:rsidRPr="00002A1E" w:rsidRDefault="00504F80" w:rsidP="00237C22">
            <w:pPr>
              <w:pStyle w:val="TableHeaderText"/>
            </w:pPr>
            <w:r w:rsidRPr="00002A1E">
              <w:t>Reason(s) for the Change</w:t>
            </w:r>
          </w:p>
        </w:tc>
        <w:tc>
          <w:tcPr>
            <w:tcW w:w="2610" w:type="dxa"/>
            <w:shd w:val="clear" w:color="auto" w:fill="auto"/>
          </w:tcPr>
          <w:p w:rsidR="00504F80" w:rsidRPr="00002A1E" w:rsidRDefault="00504F80" w:rsidP="00237C22">
            <w:pPr>
              <w:pStyle w:val="TableHeaderText"/>
            </w:pPr>
            <w:r w:rsidRPr="00002A1E">
              <w:t>Citation</w:t>
            </w:r>
          </w:p>
        </w:tc>
        <w:tc>
          <w:tcPr>
            <w:tcW w:w="1170" w:type="dxa"/>
            <w:shd w:val="clear" w:color="auto" w:fill="auto"/>
          </w:tcPr>
          <w:p w:rsidR="00504F80" w:rsidRDefault="00504F80" w:rsidP="00237C22">
            <w:pPr>
              <w:pStyle w:val="TableHeaderText"/>
            </w:pPr>
            <w:r>
              <w:t>Page(s)</w:t>
            </w:r>
          </w:p>
        </w:tc>
      </w:tr>
      <w:tr w:rsidR="00504F80" w:rsidTr="00BA7076">
        <w:tc>
          <w:tcPr>
            <w:tcW w:w="5724" w:type="dxa"/>
            <w:shd w:val="clear" w:color="auto" w:fill="auto"/>
          </w:tcPr>
          <w:p w:rsidR="00504F80" w:rsidRPr="007E2AD9" w:rsidRDefault="0073337E" w:rsidP="007E2AD9">
            <w:pPr>
              <w:pStyle w:val="TableText"/>
            </w:pPr>
            <w:r w:rsidRPr="007E2AD9">
              <w:t xml:space="preserve">To update the </w:t>
            </w:r>
            <w:r w:rsidR="007E2AD9" w:rsidRPr="007E2AD9">
              <w:t xml:space="preserve">address to use </w:t>
            </w:r>
            <w:r w:rsidRPr="007E2AD9">
              <w:t xml:space="preserve">to obtain </w:t>
            </w:r>
            <w:r w:rsidR="007E2AD9" w:rsidRPr="007E2AD9">
              <w:t xml:space="preserve">Air Force </w:t>
            </w:r>
            <w:r w:rsidRPr="007E2AD9">
              <w:t>records of occupational exposure to radiation.</w:t>
            </w:r>
          </w:p>
        </w:tc>
        <w:tc>
          <w:tcPr>
            <w:tcW w:w="2610" w:type="dxa"/>
            <w:shd w:val="clear" w:color="auto" w:fill="auto"/>
          </w:tcPr>
          <w:p w:rsidR="00504F80" w:rsidRPr="007E2AD9" w:rsidRDefault="0073337E" w:rsidP="00237C22">
            <w:pPr>
              <w:pStyle w:val="TableText"/>
            </w:pPr>
            <w:r w:rsidRPr="007E2AD9">
              <w:t>Part IV, Subpart ii. Chapter 1, Section C, Topic 9, Block e (IV.ii.1.C.9.e)</w:t>
            </w:r>
          </w:p>
        </w:tc>
        <w:tc>
          <w:tcPr>
            <w:tcW w:w="1170" w:type="dxa"/>
            <w:shd w:val="clear" w:color="auto" w:fill="auto"/>
          </w:tcPr>
          <w:p w:rsidR="00504F80" w:rsidRPr="007E2AD9" w:rsidRDefault="0073337E" w:rsidP="00237C22">
            <w:pPr>
              <w:pStyle w:val="TableText"/>
            </w:pPr>
            <w:r w:rsidRPr="007E2AD9">
              <w:t>1-C-14</w:t>
            </w:r>
          </w:p>
        </w:tc>
      </w:tr>
      <w:tr w:rsidR="007E2AD9" w:rsidTr="00BA7076">
        <w:tc>
          <w:tcPr>
            <w:tcW w:w="5724" w:type="dxa"/>
            <w:shd w:val="clear" w:color="auto" w:fill="auto"/>
          </w:tcPr>
          <w:p w:rsidR="007E2AD9" w:rsidRPr="007E2AD9" w:rsidRDefault="007E2AD9" w:rsidP="007E2AD9">
            <w:pPr>
              <w:pStyle w:val="TableText"/>
            </w:pPr>
            <w:r>
              <w:t xml:space="preserve">To update the telephone number </w:t>
            </w:r>
            <w:r w:rsidR="0053117C">
              <w:t xml:space="preserve">and ZIP code </w:t>
            </w:r>
            <w:r>
              <w:t xml:space="preserve">to use to obtain Coast Guard records of </w:t>
            </w:r>
            <w:r w:rsidRPr="007E2AD9">
              <w:t>occupational exposure to radiation.</w:t>
            </w:r>
          </w:p>
        </w:tc>
        <w:tc>
          <w:tcPr>
            <w:tcW w:w="2610" w:type="dxa"/>
            <w:shd w:val="clear" w:color="auto" w:fill="auto"/>
          </w:tcPr>
          <w:p w:rsidR="007E2AD9" w:rsidRPr="007E2AD9" w:rsidRDefault="007E2AD9" w:rsidP="00237C22">
            <w:pPr>
              <w:pStyle w:val="TableText"/>
            </w:pPr>
            <w:r>
              <w:t>IV.ii.1.C.9.e</w:t>
            </w:r>
          </w:p>
        </w:tc>
        <w:tc>
          <w:tcPr>
            <w:tcW w:w="1170" w:type="dxa"/>
            <w:shd w:val="clear" w:color="auto" w:fill="auto"/>
          </w:tcPr>
          <w:p w:rsidR="007E2AD9" w:rsidRPr="007E2AD9" w:rsidRDefault="007E2AD9" w:rsidP="00237C22">
            <w:pPr>
              <w:pStyle w:val="TableText"/>
            </w:pPr>
            <w:r>
              <w:t>1-C-15</w:t>
            </w:r>
          </w:p>
        </w:tc>
      </w:tr>
      <w:tr w:rsidR="0073337E" w:rsidTr="00BA7076">
        <w:tc>
          <w:tcPr>
            <w:tcW w:w="5724" w:type="dxa"/>
            <w:shd w:val="clear" w:color="auto" w:fill="auto"/>
          </w:tcPr>
          <w:p w:rsidR="0073337E" w:rsidRPr="00002A1E" w:rsidRDefault="0073337E" w:rsidP="007C5AF3">
            <w:pPr>
              <w:pStyle w:val="TableText"/>
            </w:pPr>
            <w:r>
              <w:t xml:space="preserve">To update the possible selections to use in the </w:t>
            </w:r>
            <w:r w:rsidRPr="007533C9">
              <w:t>Modern Awards Processing-Development (MAP-D) application</w:t>
            </w:r>
            <w:r>
              <w:t xml:space="preserve"> when developing a claim based on personal trauma.</w:t>
            </w:r>
          </w:p>
        </w:tc>
        <w:tc>
          <w:tcPr>
            <w:tcW w:w="2610" w:type="dxa"/>
            <w:shd w:val="clear" w:color="auto" w:fill="auto"/>
          </w:tcPr>
          <w:p w:rsidR="0073337E" w:rsidRPr="00002A1E" w:rsidRDefault="0073337E" w:rsidP="0073337E">
            <w:pPr>
              <w:pStyle w:val="TableText"/>
            </w:pPr>
            <w:r>
              <w:t>IV.ii.1.D.17.k</w:t>
            </w:r>
          </w:p>
        </w:tc>
        <w:tc>
          <w:tcPr>
            <w:tcW w:w="1170" w:type="dxa"/>
            <w:shd w:val="clear" w:color="auto" w:fill="auto"/>
          </w:tcPr>
          <w:p w:rsidR="0073337E" w:rsidRDefault="0073337E" w:rsidP="007C5AF3">
            <w:pPr>
              <w:pStyle w:val="TableText"/>
            </w:pPr>
            <w:r>
              <w:t>1-D-41</w:t>
            </w:r>
          </w:p>
        </w:tc>
      </w:tr>
      <w:tr w:rsidR="0073337E" w:rsidTr="00BA7076">
        <w:tc>
          <w:tcPr>
            <w:tcW w:w="5724" w:type="dxa"/>
            <w:shd w:val="clear" w:color="auto" w:fill="auto"/>
          </w:tcPr>
          <w:p w:rsidR="0073337E" w:rsidRPr="00002A1E" w:rsidRDefault="0073337E" w:rsidP="00C1150F">
            <w:pPr>
              <w:pStyle w:val="TableText"/>
            </w:pPr>
            <w:r>
              <w:t>To correct the text of the first stub sentence to read “</w:t>
            </w:r>
            <w:r w:rsidRPr="008A177F">
              <w:t xml:space="preserve">All claims for service connection for disabilities resulting from exposure to mustard agents or Lewisite must </w:t>
            </w:r>
            <w:r w:rsidRPr="00C1150F">
              <w:t>be</w:t>
            </w:r>
            <w:r>
              <w:t xml:space="preserve"> </w:t>
            </w:r>
            <w:r w:rsidRPr="008A177F">
              <w:t>controlled concurrently with</w:t>
            </w:r>
            <w:r>
              <w:t xml:space="preserve"> …”</w:t>
            </w:r>
          </w:p>
        </w:tc>
        <w:tc>
          <w:tcPr>
            <w:tcW w:w="2610" w:type="dxa"/>
            <w:shd w:val="clear" w:color="auto" w:fill="auto"/>
          </w:tcPr>
          <w:p w:rsidR="0073337E" w:rsidRPr="00002A1E" w:rsidRDefault="0073337E" w:rsidP="008E4B05">
            <w:pPr>
              <w:pStyle w:val="TableText"/>
            </w:pPr>
            <w:r>
              <w:t>IV.ii.1.F.22.a</w:t>
            </w:r>
          </w:p>
        </w:tc>
        <w:tc>
          <w:tcPr>
            <w:tcW w:w="1170" w:type="dxa"/>
            <w:shd w:val="clear" w:color="auto" w:fill="auto"/>
          </w:tcPr>
          <w:p w:rsidR="0073337E" w:rsidRDefault="0073337E" w:rsidP="008E4B05">
            <w:pPr>
              <w:pStyle w:val="TableText"/>
            </w:pPr>
            <w:r>
              <w:t>1-F-7</w:t>
            </w:r>
          </w:p>
        </w:tc>
      </w:tr>
    </w:tbl>
    <w:p w:rsidR="0073337E" w:rsidRDefault="0073337E" w:rsidP="0073337E">
      <w:pPr>
        <w:pStyle w:val="ContinuedOnNextPa"/>
      </w:pPr>
      <w:r>
        <w:t>Continued on next page</w:t>
      </w:r>
    </w:p>
    <w:p w:rsidR="0073337E" w:rsidRDefault="0073337E" w:rsidP="0073337E">
      <w:pPr>
        <w:pStyle w:val="MapTitleContinued"/>
        <w:rPr>
          <w:b w:val="0"/>
          <w:sz w:val="24"/>
        </w:rPr>
      </w:pPr>
      <w:r w:rsidRPr="0073337E">
        <w:br w:type="page"/>
      </w:r>
      <w:fldSimple w:instr=" STYLEREF &quot;Map Title&quot; ">
        <w:r w:rsidRPr="0073337E">
          <w:rPr>
            <w:noProof/>
          </w:rPr>
          <w:t>Transmittal Sheet</w:t>
        </w:r>
      </w:fldSimple>
      <w:r w:rsidRPr="0073337E">
        <w:t xml:space="preserve">, </w:t>
      </w:r>
      <w:r w:rsidRPr="0073337E">
        <w:rPr>
          <w:b w:val="0"/>
          <w:sz w:val="24"/>
        </w:rPr>
        <w:t>Continued</w:t>
      </w:r>
    </w:p>
    <w:p w:rsidR="0073337E" w:rsidRDefault="0073337E" w:rsidP="0073337E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/>
      </w:tblPr>
      <w:tblGrid>
        <w:gridCol w:w="9320"/>
      </w:tblGrid>
      <w:tr w:rsidR="0073337E" w:rsidTr="0073337E">
        <w:tc>
          <w:tcPr>
            <w:tcW w:w="5000" w:type="pct"/>
            <w:shd w:val="clear" w:color="auto" w:fill="auto"/>
          </w:tcPr>
          <w:p w:rsidR="0073337E" w:rsidRDefault="00C952A4" w:rsidP="0073337E">
            <w:pPr>
              <w:pStyle w:val="ContinuedTableLabe"/>
            </w:pPr>
            <w:fldSimple w:instr=" STYLEREF &quot;Block Label&quot; ">
              <w:r w:rsidR="0073337E">
                <w:rPr>
                  <w:noProof/>
                </w:rPr>
                <w:t>Changes Included in This Revision</w:t>
              </w:r>
            </w:fldSimple>
            <w:r w:rsidR="0073337E">
              <w:t xml:space="preserve"> </w:t>
            </w:r>
            <w:r w:rsidR="0073337E" w:rsidRPr="0073337E">
              <w:rPr>
                <w:b w:val="0"/>
              </w:rPr>
              <w:t>(continued)</w:t>
            </w:r>
          </w:p>
        </w:tc>
      </w:tr>
    </w:tbl>
    <w:p w:rsidR="0073337E" w:rsidRPr="0073337E" w:rsidRDefault="0073337E" w:rsidP="0073337E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24"/>
        <w:gridCol w:w="2610"/>
        <w:gridCol w:w="1170"/>
      </w:tblGrid>
      <w:tr w:rsidR="0073337E" w:rsidTr="0073337E">
        <w:tc>
          <w:tcPr>
            <w:tcW w:w="5724" w:type="dxa"/>
            <w:shd w:val="clear" w:color="auto" w:fill="auto"/>
          </w:tcPr>
          <w:p w:rsidR="0073337E" w:rsidRPr="00002A1E" w:rsidRDefault="0073337E" w:rsidP="007C5AF3">
            <w:pPr>
              <w:pStyle w:val="TableHeaderText"/>
            </w:pPr>
            <w:r w:rsidRPr="00002A1E">
              <w:t>Reason(s) for the Change</w:t>
            </w:r>
          </w:p>
        </w:tc>
        <w:tc>
          <w:tcPr>
            <w:tcW w:w="2610" w:type="dxa"/>
            <w:shd w:val="clear" w:color="auto" w:fill="auto"/>
          </w:tcPr>
          <w:p w:rsidR="0073337E" w:rsidRPr="00002A1E" w:rsidRDefault="0073337E" w:rsidP="007C5AF3">
            <w:pPr>
              <w:pStyle w:val="TableHeaderText"/>
            </w:pPr>
            <w:r w:rsidRPr="00002A1E">
              <w:t>Citation</w:t>
            </w:r>
          </w:p>
        </w:tc>
        <w:tc>
          <w:tcPr>
            <w:tcW w:w="1170" w:type="dxa"/>
            <w:shd w:val="clear" w:color="auto" w:fill="auto"/>
          </w:tcPr>
          <w:p w:rsidR="0073337E" w:rsidRDefault="0073337E" w:rsidP="007C5AF3">
            <w:pPr>
              <w:pStyle w:val="TableHeaderText"/>
            </w:pPr>
            <w:r>
              <w:t>Page(s)</w:t>
            </w:r>
          </w:p>
        </w:tc>
      </w:tr>
      <w:tr w:rsidR="00F51CB8" w:rsidTr="0073337E">
        <w:tc>
          <w:tcPr>
            <w:tcW w:w="5724" w:type="dxa"/>
            <w:shd w:val="clear" w:color="auto" w:fill="auto"/>
          </w:tcPr>
          <w:p w:rsidR="00F51CB8" w:rsidRDefault="00F51CB8" w:rsidP="002B11C7">
            <w:pPr>
              <w:pStyle w:val="TableText"/>
            </w:pPr>
            <w:r>
              <w:t xml:space="preserve">To discuss the use of the PIES O39 code to verify service </w:t>
            </w:r>
            <w:r w:rsidR="002B11C7">
              <w:t>when a</w:t>
            </w:r>
            <w:r w:rsidRPr="006E12C2">
              <w:t xml:space="preserve"> Veteran claims temporary duty </w:t>
            </w:r>
            <w:r>
              <w:t>to the Republic of Vietnam</w:t>
            </w:r>
            <w:r w:rsidRPr="006E12C2">
              <w:t xml:space="preserve"> </w:t>
            </w:r>
            <w:r>
              <w:t xml:space="preserve">(RVN) </w:t>
            </w:r>
            <w:r w:rsidRPr="006E12C2">
              <w:t>during the early period of the Southeast Asian conflict.</w:t>
            </w:r>
          </w:p>
        </w:tc>
        <w:tc>
          <w:tcPr>
            <w:tcW w:w="2610" w:type="dxa"/>
            <w:shd w:val="clear" w:color="auto" w:fill="auto"/>
          </w:tcPr>
          <w:p w:rsidR="00F51CB8" w:rsidRDefault="00F51CB8" w:rsidP="00237C22">
            <w:pPr>
              <w:pStyle w:val="TableText"/>
            </w:pPr>
            <w:r>
              <w:t>IV.ii.1.H.28.d</w:t>
            </w:r>
          </w:p>
        </w:tc>
        <w:tc>
          <w:tcPr>
            <w:tcW w:w="1170" w:type="dxa"/>
            <w:shd w:val="clear" w:color="auto" w:fill="auto"/>
          </w:tcPr>
          <w:p w:rsidR="00F51CB8" w:rsidRDefault="00F51CB8" w:rsidP="00237C22">
            <w:pPr>
              <w:pStyle w:val="TableText"/>
            </w:pPr>
            <w:r>
              <w:t>1-H-9</w:t>
            </w:r>
          </w:p>
        </w:tc>
      </w:tr>
      <w:tr w:rsidR="00504F80" w:rsidTr="00BA7076">
        <w:tc>
          <w:tcPr>
            <w:tcW w:w="5724" w:type="dxa"/>
            <w:shd w:val="clear" w:color="auto" w:fill="auto"/>
          </w:tcPr>
          <w:p w:rsidR="00504F80" w:rsidRDefault="006E12C2" w:rsidP="006E12C2">
            <w:pPr>
              <w:pStyle w:val="BulletText1"/>
              <w:numPr>
                <w:ilvl w:val="0"/>
                <w:numId w:val="0"/>
              </w:numPr>
            </w:pPr>
            <w:r>
              <w:t xml:space="preserve">To add a block to discuss verifying </w:t>
            </w:r>
            <w:r w:rsidR="008215DA">
              <w:t xml:space="preserve">naval aviation </w:t>
            </w:r>
            <w:r>
              <w:t>service in the RVN.</w:t>
            </w:r>
          </w:p>
          <w:p w:rsidR="006E12C2" w:rsidRDefault="006E12C2" w:rsidP="006E12C2">
            <w:pPr>
              <w:pStyle w:val="BulletText1"/>
              <w:numPr>
                <w:ilvl w:val="0"/>
                <w:numId w:val="0"/>
              </w:numPr>
            </w:pPr>
          </w:p>
          <w:p w:rsidR="006E12C2" w:rsidRDefault="006E12C2" w:rsidP="006E12C2">
            <w:pPr>
              <w:pStyle w:val="BulletText1"/>
              <w:numPr>
                <w:ilvl w:val="0"/>
                <w:numId w:val="0"/>
              </w:numPr>
            </w:pPr>
            <w:r w:rsidRPr="006E12C2">
              <w:rPr>
                <w:b/>
                <w:i/>
              </w:rPr>
              <w:t>Note</w:t>
            </w:r>
            <w:r>
              <w:t>:  The subsequent blocks in this topic are re-lettered.</w:t>
            </w:r>
          </w:p>
        </w:tc>
        <w:tc>
          <w:tcPr>
            <w:tcW w:w="2610" w:type="dxa"/>
            <w:shd w:val="clear" w:color="auto" w:fill="auto"/>
          </w:tcPr>
          <w:p w:rsidR="00504F80" w:rsidRDefault="006E12C2" w:rsidP="006E12C2">
            <w:pPr>
              <w:pStyle w:val="BulletText1"/>
              <w:numPr>
                <w:ilvl w:val="0"/>
                <w:numId w:val="0"/>
              </w:numPr>
            </w:pPr>
            <w:r>
              <w:t>IV.ii.1.H.28.k</w:t>
            </w:r>
          </w:p>
        </w:tc>
        <w:tc>
          <w:tcPr>
            <w:tcW w:w="1170" w:type="dxa"/>
            <w:shd w:val="clear" w:color="auto" w:fill="auto"/>
          </w:tcPr>
          <w:p w:rsidR="00504F80" w:rsidRDefault="006E12C2" w:rsidP="00237C22">
            <w:pPr>
              <w:pStyle w:val="BulletText1"/>
              <w:numPr>
                <w:ilvl w:val="0"/>
                <w:numId w:val="0"/>
              </w:numPr>
            </w:pPr>
            <w:r>
              <w:t>1-H-15</w:t>
            </w:r>
          </w:p>
        </w:tc>
      </w:tr>
      <w:tr w:rsidR="006E12C2" w:rsidTr="00BA7076">
        <w:tc>
          <w:tcPr>
            <w:tcW w:w="5724" w:type="dxa"/>
            <w:shd w:val="clear" w:color="auto" w:fill="auto"/>
          </w:tcPr>
          <w:p w:rsidR="006E12C2" w:rsidRDefault="006E12C2" w:rsidP="006E12C2">
            <w:pPr>
              <w:pStyle w:val="BulletText1"/>
              <w:numPr>
                <w:ilvl w:val="0"/>
                <w:numId w:val="0"/>
              </w:numPr>
            </w:pPr>
            <w:r>
              <w:t>To clarify the references for claims based on exposure to contaminated drinking water at Camp Lejeune from 1957 to 1987.</w:t>
            </w:r>
          </w:p>
        </w:tc>
        <w:tc>
          <w:tcPr>
            <w:tcW w:w="2610" w:type="dxa"/>
            <w:shd w:val="clear" w:color="auto" w:fill="auto"/>
          </w:tcPr>
          <w:p w:rsidR="006E12C2" w:rsidRDefault="006E12C2" w:rsidP="006E12C2">
            <w:pPr>
              <w:pStyle w:val="BulletText1"/>
              <w:numPr>
                <w:ilvl w:val="0"/>
                <w:numId w:val="0"/>
              </w:numPr>
            </w:pPr>
            <w:r>
              <w:t>IV.ii.1.H.32.a</w:t>
            </w:r>
          </w:p>
        </w:tc>
        <w:tc>
          <w:tcPr>
            <w:tcW w:w="1170" w:type="dxa"/>
            <w:shd w:val="clear" w:color="auto" w:fill="auto"/>
          </w:tcPr>
          <w:p w:rsidR="006E12C2" w:rsidRDefault="006E12C2" w:rsidP="00237C22">
            <w:pPr>
              <w:pStyle w:val="BulletText1"/>
              <w:numPr>
                <w:ilvl w:val="0"/>
                <w:numId w:val="0"/>
              </w:numPr>
            </w:pPr>
            <w:r>
              <w:t>1-H-26</w:t>
            </w:r>
          </w:p>
        </w:tc>
      </w:tr>
      <w:tr w:rsidR="006E12C2" w:rsidTr="00BA7076">
        <w:tc>
          <w:tcPr>
            <w:tcW w:w="5724" w:type="dxa"/>
            <w:shd w:val="clear" w:color="auto" w:fill="auto"/>
          </w:tcPr>
          <w:p w:rsidR="006E12C2" w:rsidRDefault="009203B1" w:rsidP="007C2B3C">
            <w:pPr>
              <w:pStyle w:val="BulletText1"/>
              <w:numPr>
                <w:ilvl w:val="0"/>
                <w:numId w:val="0"/>
              </w:numPr>
            </w:pPr>
            <w:r>
              <w:t xml:space="preserve">To discuss claims based on exposure to environmental hazards </w:t>
            </w:r>
            <w:r w:rsidR="007C2B3C">
              <w:t xml:space="preserve">that </w:t>
            </w:r>
            <w:r>
              <w:t>are not substantially complete and how to handle these cases.</w:t>
            </w:r>
          </w:p>
        </w:tc>
        <w:tc>
          <w:tcPr>
            <w:tcW w:w="2610" w:type="dxa"/>
            <w:shd w:val="clear" w:color="auto" w:fill="auto"/>
          </w:tcPr>
          <w:p w:rsidR="006E12C2" w:rsidRDefault="009203B1" w:rsidP="006E12C2">
            <w:pPr>
              <w:pStyle w:val="BulletText1"/>
              <w:numPr>
                <w:ilvl w:val="0"/>
                <w:numId w:val="0"/>
              </w:numPr>
            </w:pPr>
            <w:r>
              <w:t>IV.ii.1.H.32.b</w:t>
            </w:r>
          </w:p>
        </w:tc>
        <w:tc>
          <w:tcPr>
            <w:tcW w:w="1170" w:type="dxa"/>
            <w:shd w:val="clear" w:color="auto" w:fill="auto"/>
          </w:tcPr>
          <w:p w:rsidR="006E12C2" w:rsidRDefault="009203B1" w:rsidP="00237C22">
            <w:pPr>
              <w:pStyle w:val="BulletText1"/>
              <w:numPr>
                <w:ilvl w:val="0"/>
                <w:numId w:val="0"/>
              </w:numPr>
            </w:pPr>
            <w:r>
              <w:t>1-H-27</w:t>
            </w:r>
          </w:p>
        </w:tc>
      </w:tr>
      <w:tr w:rsidR="006E12C2" w:rsidTr="00BA7076">
        <w:tc>
          <w:tcPr>
            <w:tcW w:w="5724" w:type="dxa"/>
            <w:shd w:val="clear" w:color="auto" w:fill="auto"/>
          </w:tcPr>
          <w:p w:rsidR="006E12C2" w:rsidRDefault="009203B1" w:rsidP="006E12C2">
            <w:pPr>
              <w:pStyle w:val="BulletText1"/>
              <w:numPr>
                <w:ilvl w:val="0"/>
                <w:numId w:val="0"/>
              </w:numPr>
            </w:pPr>
            <w:r>
              <w:t>To add a block to discuss the centralized processing of Camp Lejeune claims at the Louisville Regional Of</w:t>
            </w:r>
            <w:r w:rsidR="00687684">
              <w:t>fice</w:t>
            </w:r>
            <w:r>
              <w:t>.</w:t>
            </w:r>
          </w:p>
        </w:tc>
        <w:tc>
          <w:tcPr>
            <w:tcW w:w="2610" w:type="dxa"/>
            <w:shd w:val="clear" w:color="auto" w:fill="auto"/>
          </w:tcPr>
          <w:p w:rsidR="006E12C2" w:rsidRDefault="009203B1" w:rsidP="006E12C2">
            <w:pPr>
              <w:pStyle w:val="BulletText1"/>
              <w:numPr>
                <w:ilvl w:val="0"/>
                <w:numId w:val="0"/>
              </w:numPr>
            </w:pPr>
            <w:r>
              <w:t>IV.ii.1.H.32.f</w:t>
            </w:r>
          </w:p>
        </w:tc>
        <w:tc>
          <w:tcPr>
            <w:tcW w:w="1170" w:type="dxa"/>
            <w:shd w:val="clear" w:color="auto" w:fill="auto"/>
          </w:tcPr>
          <w:p w:rsidR="006E12C2" w:rsidRDefault="009203B1" w:rsidP="00237C22">
            <w:pPr>
              <w:pStyle w:val="BulletText1"/>
              <w:numPr>
                <w:ilvl w:val="0"/>
                <w:numId w:val="0"/>
              </w:numPr>
            </w:pPr>
            <w:r>
              <w:t>1-H-30</w:t>
            </w:r>
          </w:p>
        </w:tc>
      </w:tr>
      <w:tr w:rsidR="006E12C2" w:rsidTr="00BA7076">
        <w:tc>
          <w:tcPr>
            <w:tcW w:w="5724" w:type="dxa"/>
            <w:shd w:val="clear" w:color="auto" w:fill="auto"/>
          </w:tcPr>
          <w:p w:rsidR="006E12C2" w:rsidRDefault="009203B1" w:rsidP="006E12C2">
            <w:pPr>
              <w:pStyle w:val="BulletText1"/>
              <w:numPr>
                <w:ilvl w:val="0"/>
                <w:numId w:val="0"/>
              </w:numPr>
            </w:pPr>
            <w:r>
              <w:t>To add a block to discuss the actions taken by the office of original jurisdictio</w:t>
            </w:r>
            <w:r w:rsidR="00B470F1">
              <w:t>n</w:t>
            </w:r>
            <w:r>
              <w:t xml:space="preserve"> upon receipt of a Camp Lejeune claim.</w:t>
            </w:r>
          </w:p>
        </w:tc>
        <w:tc>
          <w:tcPr>
            <w:tcW w:w="2610" w:type="dxa"/>
            <w:shd w:val="clear" w:color="auto" w:fill="auto"/>
          </w:tcPr>
          <w:p w:rsidR="006E12C2" w:rsidRDefault="009203B1" w:rsidP="006E12C2">
            <w:pPr>
              <w:pStyle w:val="BulletText1"/>
              <w:numPr>
                <w:ilvl w:val="0"/>
                <w:numId w:val="0"/>
              </w:numPr>
            </w:pPr>
            <w:r>
              <w:t>IV.ii.1.H.32.g</w:t>
            </w:r>
          </w:p>
        </w:tc>
        <w:tc>
          <w:tcPr>
            <w:tcW w:w="1170" w:type="dxa"/>
            <w:shd w:val="clear" w:color="auto" w:fill="auto"/>
          </w:tcPr>
          <w:p w:rsidR="006E12C2" w:rsidRDefault="009203B1" w:rsidP="00237C22">
            <w:pPr>
              <w:pStyle w:val="BulletText1"/>
              <w:numPr>
                <w:ilvl w:val="0"/>
                <w:numId w:val="0"/>
              </w:numPr>
            </w:pPr>
            <w:r>
              <w:t>1-H-30</w:t>
            </w:r>
          </w:p>
        </w:tc>
      </w:tr>
      <w:tr w:rsidR="006E12C2" w:rsidTr="00BA7076">
        <w:tc>
          <w:tcPr>
            <w:tcW w:w="5724" w:type="dxa"/>
            <w:shd w:val="clear" w:color="auto" w:fill="auto"/>
          </w:tcPr>
          <w:p w:rsidR="006E12C2" w:rsidRDefault="009203B1" w:rsidP="006E12C2">
            <w:pPr>
              <w:pStyle w:val="BulletText1"/>
              <w:numPr>
                <w:ilvl w:val="0"/>
                <w:numId w:val="0"/>
              </w:numPr>
            </w:pPr>
            <w:r>
              <w:t>To add a block to provide a sample letter notifying a claimant of transfer of a Camp Lejeune claim to the Louisville RO.</w:t>
            </w:r>
          </w:p>
        </w:tc>
        <w:tc>
          <w:tcPr>
            <w:tcW w:w="2610" w:type="dxa"/>
            <w:shd w:val="clear" w:color="auto" w:fill="auto"/>
          </w:tcPr>
          <w:p w:rsidR="006E12C2" w:rsidRDefault="009203B1" w:rsidP="006E12C2">
            <w:pPr>
              <w:pStyle w:val="BulletText1"/>
              <w:numPr>
                <w:ilvl w:val="0"/>
                <w:numId w:val="0"/>
              </w:numPr>
            </w:pPr>
            <w:r>
              <w:t>IV.ii.1.H.32.h</w:t>
            </w:r>
          </w:p>
        </w:tc>
        <w:tc>
          <w:tcPr>
            <w:tcW w:w="1170" w:type="dxa"/>
            <w:shd w:val="clear" w:color="auto" w:fill="auto"/>
          </w:tcPr>
          <w:p w:rsidR="006E12C2" w:rsidRDefault="009203B1" w:rsidP="00237C22">
            <w:pPr>
              <w:pStyle w:val="BulletText1"/>
              <w:numPr>
                <w:ilvl w:val="0"/>
                <w:numId w:val="0"/>
              </w:numPr>
            </w:pPr>
            <w:r>
              <w:t>1-H-31</w:t>
            </w:r>
          </w:p>
        </w:tc>
      </w:tr>
      <w:tr w:rsidR="00BF6138" w:rsidTr="00BA7076">
        <w:tc>
          <w:tcPr>
            <w:tcW w:w="5724" w:type="dxa"/>
            <w:shd w:val="clear" w:color="auto" w:fill="auto"/>
          </w:tcPr>
          <w:p w:rsidR="00BF6138" w:rsidRDefault="00BF6138" w:rsidP="00BF6138">
            <w:pPr>
              <w:pStyle w:val="BulletText1"/>
              <w:numPr>
                <w:ilvl w:val="0"/>
                <w:numId w:val="0"/>
              </w:numPr>
            </w:pPr>
            <w:r>
              <w:t>To add a block to provide a sample FLASH notice for Camp Lejeune claims folders.</w:t>
            </w:r>
          </w:p>
        </w:tc>
        <w:tc>
          <w:tcPr>
            <w:tcW w:w="2610" w:type="dxa"/>
            <w:shd w:val="clear" w:color="auto" w:fill="auto"/>
          </w:tcPr>
          <w:p w:rsidR="00BF6138" w:rsidRDefault="00BF6138" w:rsidP="006E12C2">
            <w:pPr>
              <w:pStyle w:val="BulletText1"/>
              <w:numPr>
                <w:ilvl w:val="0"/>
                <w:numId w:val="0"/>
              </w:numPr>
            </w:pPr>
            <w:r>
              <w:t>IV.ii.1.H.32.i</w:t>
            </w:r>
          </w:p>
        </w:tc>
        <w:tc>
          <w:tcPr>
            <w:tcW w:w="1170" w:type="dxa"/>
            <w:shd w:val="clear" w:color="auto" w:fill="auto"/>
          </w:tcPr>
          <w:p w:rsidR="00BF6138" w:rsidRDefault="00BF6138" w:rsidP="00237C22">
            <w:pPr>
              <w:pStyle w:val="BulletText1"/>
              <w:numPr>
                <w:ilvl w:val="0"/>
                <w:numId w:val="0"/>
              </w:numPr>
            </w:pPr>
            <w:r>
              <w:t>1-H-32</w:t>
            </w:r>
          </w:p>
        </w:tc>
      </w:tr>
      <w:tr w:rsidR="009203B1" w:rsidTr="00BA7076">
        <w:tc>
          <w:tcPr>
            <w:tcW w:w="5724" w:type="dxa"/>
            <w:shd w:val="clear" w:color="auto" w:fill="auto"/>
          </w:tcPr>
          <w:p w:rsidR="009203B1" w:rsidRDefault="009203B1" w:rsidP="006E12C2">
            <w:pPr>
              <w:pStyle w:val="BulletText1"/>
              <w:numPr>
                <w:ilvl w:val="0"/>
                <w:numId w:val="0"/>
              </w:numPr>
            </w:pPr>
            <w:r>
              <w:t>To add a block to discuss the action</w:t>
            </w:r>
            <w:r w:rsidR="00112B7A">
              <w:t>s</w:t>
            </w:r>
            <w:r>
              <w:t xml:space="preserve"> taken by the Louisville RO upon receipt of a Camp Lejeune claim.</w:t>
            </w:r>
          </w:p>
        </w:tc>
        <w:tc>
          <w:tcPr>
            <w:tcW w:w="2610" w:type="dxa"/>
            <w:shd w:val="clear" w:color="auto" w:fill="auto"/>
          </w:tcPr>
          <w:p w:rsidR="009203B1" w:rsidRDefault="009203B1" w:rsidP="006E12C2">
            <w:pPr>
              <w:pStyle w:val="BulletText1"/>
              <w:numPr>
                <w:ilvl w:val="0"/>
                <w:numId w:val="0"/>
              </w:numPr>
            </w:pPr>
            <w:r>
              <w:t>IV.ii.1.H.32.</w:t>
            </w:r>
            <w:r w:rsidR="00BF6138">
              <w:t>j</w:t>
            </w:r>
          </w:p>
        </w:tc>
        <w:tc>
          <w:tcPr>
            <w:tcW w:w="1170" w:type="dxa"/>
            <w:shd w:val="clear" w:color="auto" w:fill="auto"/>
          </w:tcPr>
          <w:p w:rsidR="009203B1" w:rsidRDefault="009203B1" w:rsidP="00237C22">
            <w:pPr>
              <w:pStyle w:val="BulletText1"/>
              <w:numPr>
                <w:ilvl w:val="0"/>
                <w:numId w:val="0"/>
              </w:numPr>
            </w:pPr>
            <w:r>
              <w:t>1-H-3</w:t>
            </w:r>
            <w:r w:rsidR="00BF6138">
              <w:t>2</w:t>
            </w:r>
          </w:p>
        </w:tc>
      </w:tr>
      <w:tr w:rsidR="009203B1" w:rsidTr="00BA7076">
        <w:tc>
          <w:tcPr>
            <w:tcW w:w="5724" w:type="dxa"/>
            <w:shd w:val="clear" w:color="auto" w:fill="auto"/>
          </w:tcPr>
          <w:p w:rsidR="009203B1" w:rsidRDefault="009203B1" w:rsidP="009203B1">
            <w:pPr>
              <w:pStyle w:val="BulletText1"/>
              <w:numPr>
                <w:ilvl w:val="0"/>
                <w:numId w:val="0"/>
              </w:numPr>
            </w:pPr>
            <w:r>
              <w:t>To add a block to discuss verification of Camp Lejeune service.</w:t>
            </w:r>
          </w:p>
        </w:tc>
        <w:tc>
          <w:tcPr>
            <w:tcW w:w="2610" w:type="dxa"/>
            <w:shd w:val="clear" w:color="auto" w:fill="auto"/>
          </w:tcPr>
          <w:p w:rsidR="009203B1" w:rsidRDefault="009203B1" w:rsidP="006E12C2">
            <w:pPr>
              <w:pStyle w:val="BulletText1"/>
              <w:numPr>
                <w:ilvl w:val="0"/>
                <w:numId w:val="0"/>
              </w:numPr>
            </w:pPr>
            <w:r>
              <w:t>IV.ii.1.H.32.</w:t>
            </w:r>
            <w:r w:rsidR="00BF6138">
              <w:t>k</w:t>
            </w:r>
          </w:p>
        </w:tc>
        <w:tc>
          <w:tcPr>
            <w:tcW w:w="1170" w:type="dxa"/>
            <w:shd w:val="clear" w:color="auto" w:fill="auto"/>
          </w:tcPr>
          <w:p w:rsidR="009203B1" w:rsidRDefault="009203B1" w:rsidP="00237C22">
            <w:pPr>
              <w:pStyle w:val="BulletText1"/>
              <w:numPr>
                <w:ilvl w:val="0"/>
                <w:numId w:val="0"/>
              </w:numPr>
            </w:pPr>
            <w:r>
              <w:t>1-H-3</w:t>
            </w:r>
            <w:r w:rsidR="00BF6138">
              <w:t>3</w:t>
            </w:r>
          </w:p>
        </w:tc>
      </w:tr>
      <w:tr w:rsidR="00B470F1" w:rsidTr="00BA7076">
        <w:tc>
          <w:tcPr>
            <w:tcW w:w="5724" w:type="dxa"/>
            <w:shd w:val="clear" w:color="auto" w:fill="auto"/>
          </w:tcPr>
          <w:p w:rsidR="00B470F1" w:rsidRDefault="00B470F1" w:rsidP="009203B1">
            <w:pPr>
              <w:pStyle w:val="BulletText1"/>
              <w:numPr>
                <w:ilvl w:val="0"/>
                <w:numId w:val="0"/>
              </w:numPr>
            </w:pPr>
            <w:r>
              <w:t>To clarify when to send a request to the U.S. Army and Joint Services Records Research Center for verification of exposure to herbicides in Korea</w:t>
            </w:r>
            <w:r w:rsidR="008215DA">
              <w:t>.</w:t>
            </w:r>
          </w:p>
        </w:tc>
        <w:tc>
          <w:tcPr>
            <w:tcW w:w="2610" w:type="dxa"/>
            <w:shd w:val="clear" w:color="auto" w:fill="auto"/>
          </w:tcPr>
          <w:p w:rsidR="00B470F1" w:rsidRDefault="00B470F1" w:rsidP="006E12C2">
            <w:pPr>
              <w:pStyle w:val="BulletText1"/>
              <w:numPr>
                <w:ilvl w:val="0"/>
                <w:numId w:val="0"/>
              </w:numPr>
            </w:pPr>
            <w:r>
              <w:t>IV.ii.2.C.10.p</w:t>
            </w:r>
          </w:p>
        </w:tc>
        <w:tc>
          <w:tcPr>
            <w:tcW w:w="1170" w:type="dxa"/>
            <w:shd w:val="clear" w:color="auto" w:fill="auto"/>
          </w:tcPr>
          <w:p w:rsidR="00B470F1" w:rsidRDefault="00B470F1" w:rsidP="00237C22">
            <w:pPr>
              <w:pStyle w:val="BulletText1"/>
              <w:numPr>
                <w:ilvl w:val="0"/>
                <w:numId w:val="0"/>
              </w:numPr>
            </w:pPr>
            <w:r>
              <w:t>2-C-24</w:t>
            </w:r>
          </w:p>
        </w:tc>
      </w:tr>
      <w:tr w:rsidR="008215DA" w:rsidTr="00BA7076">
        <w:tc>
          <w:tcPr>
            <w:tcW w:w="5724" w:type="dxa"/>
            <w:shd w:val="clear" w:color="auto" w:fill="auto"/>
          </w:tcPr>
          <w:p w:rsidR="008215DA" w:rsidRDefault="008215DA" w:rsidP="009203B1">
            <w:pPr>
              <w:pStyle w:val="BulletText1"/>
              <w:numPr>
                <w:ilvl w:val="0"/>
                <w:numId w:val="0"/>
              </w:numPr>
            </w:pPr>
            <w:r>
              <w:t>To add a block to discuss diseases associated with exposure to the contaminated water supply at Camp Lejeune.</w:t>
            </w:r>
          </w:p>
        </w:tc>
        <w:tc>
          <w:tcPr>
            <w:tcW w:w="2610" w:type="dxa"/>
            <w:shd w:val="clear" w:color="auto" w:fill="auto"/>
          </w:tcPr>
          <w:p w:rsidR="008215DA" w:rsidRDefault="00112B7A" w:rsidP="006E12C2">
            <w:pPr>
              <w:pStyle w:val="BulletText1"/>
              <w:numPr>
                <w:ilvl w:val="0"/>
                <w:numId w:val="0"/>
              </w:numPr>
            </w:pPr>
            <w:r>
              <w:t>IV.ii.2.C.12.f</w:t>
            </w:r>
          </w:p>
        </w:tc>
        <w:tc>
          <w:tcPr>
            <w:tcW w:w="1170" w:type="dxa"/>
            <w:shd w:val="clear" w:color="auto" w:fill="auto"/>
          </w:tcPr>
          <w:p w:rsidR="008215DA" w:rsidRDefault="00112B7A" w:rsidP="00237C22">
            <w:pPr>
              <w:pStyle w:val="BulletText1"/>
              <w:numPr>
                <w:ilvl w:val="0"/>
                <w:numId w:val="0"/>
              </w:numPr>
            </w:pPr>
            <w:r>
              <w:t>2-C-44</w:t>
            </w:r>
          </w:p>
        </w:tc>
      </w:tr>
      <w:tr w:rsidR="00616F0C" w:rsidTr="00BA7076">
        <w:tc>
          <w:tcPr>
            <w:tcW w:w="5724" w:type="dxa"/>
            <w:shd w:val="clear" w:color="auto" w:fill="auto"/>
          </w:tcPr>
          <w:p w:rsidR="00616F0C" w:rsidRDefault="00616F0C" w:rsidP="009203B1">
            <w:pPr>
              <w:pStyle w:val="BulletText1"/>
              <w:numPr>
                <w:ilvl w:val="0"/>
                <w:numId w:val="0"/>
              </w:numPr>
            </w:pPr>
            <w:r>
              <w:t>To delete Block b, as it is not consistent with current VA case law.</w:t>
            </w:r>
          </w:p>
          <w:p w:rsidR="00616F0C" w:rsidRDefault="00616F0C" w:rsidP="009203B1">
            <w:pPr>
              <w:pStyle w:val="BulletText1"/>
              <w:numPr>
                <w:ilvl w:val="0"/>
                <w:numId w:val="0"/>
              </w:numPr>
            </w:pPr>
          </w:p>
          <w:p w:rsidR="00616F0C" w:rsidRDefault="00616F0C" w:rsidP="009203B1">
            <w:pPr>
              <w:pStyle w:val="BulletText1"/>
              <w:numPr>
                <w:ilvl w:val="0"/>
                <w:numId w:val="0"/>
              </w:numPr>
            </w:pPr>
            <w:r w:rsidRPr="00616F0C">
              <w:rPr>
                <w:b/>
                <w:i/>
              </w:rPr>
              <w:t>Note</w:t>
            </w:r>
            <w:r>
              <w:t>:  The subsequent blocks in this topic are re-lettered.</w:t>
            </w:r>
          </w:p>
        </w:tc>
        <w:tc>
          <w:tcPr>
            <w:tcW w:w="2610" w:type="dxa"/>
            <w:shd w:val="clear" w:color="auto" w:fill="auto"/>
          </w:tcPr>
          <w:p w:rsidR="00616F0C" w:rsidRDefault="00616F0C" w:rsidP="006E12C2">
            <w:pPr>
              <w:pStyle w:val="BulletText1"/>
              <w:numPr>
                <w:ilvl w:val="0"/>
                <w:numId w:val="0"/>
              </w:numPr>
            </w:pPr>
            <w:r>
              <w:t>IV.ii.2.F.24.b</w:t>
            </w:r>
          </w:p>
        </w:tc>
        <w:tc>
          <w:tcPr>
            <w:tcW w:w="1170" w:type="dxa"/>
            <w:shd w:val="clear" w:color="auto" w:fill="auto"/>
          </w:tcPr>
          <w:p w:rsidR="00616F0C" w:rsidRDefault="00616F0C" w:rsidP="00237C22">
            <w:pPr>
              <w:pStyle w:val="BulletText1"/>
              <w:numPr>
                <w:ilvl w:val="0"/>
                <w:numId w:val="0"/>
              </w:numPr>
            </w:pPr>
            <w:r>
              <w:t>2-F-2</w:t>
            </w:r>
          </w:p>
        </w:tc>
      </w:tr>
    </w:tbl>
    <w:p w:rsidR="008A510A" w:rsidRDefault="008A510A" w:rsidP="008A510A">
      <w:pPr>
        <w:pStyle w:val="ContinuedOnNextPa"/>
      </w:pPr>
      <w:r>
        <w:t>Continued on next page</w:t>
      </w:r>
    </w:p>
    <w:p w:rsidR="008A510A" w:rsidRDefault="008A510A" w:rsidP="008A510A">
      <w:pPr>
        <w:pStyle w:val="MapTitleContinued"/>
        <w:rPr>
          <w:b w:val="0"/>
          <w:sz w:val="24"/>
        </w:rPr>
      </w:pPr>
      <w:r w:rsidRPr="008A510A">
        <w:br w:type="page"/>
      </w:r>
      <w:fldSimple w:instr=" STYLEREF &quot;Map Title&quot; ">
        <w:r w:rsidRPr="008A510A">
          <w:rPr>
            <w:noProof/>
          </w:rPr>
          <w:t>Transmittal Sheet</w:t>
        </w:r>
      </w:fldSimple>
      <w:r w:rsidRPr="008A510A">
        <w:t xml:space="preserve">, </w:t>
      </w:r>
      <w:r w:rsidRPr="008A510A">
        <w:rPr>
          <w:b w:val="0"/>
          <w:sz w:val="24"/>
        </w:rPr>
        <w:t>Continued</w:t>
      </w:r>
    </w:p>
    <w:p w:rsidR="008A510A" w:rsidRDefault="008A510A" w:rsidP="008A510A">
      <w:pPr>
        <w:pStyle w:val="BlockLine"/>
      </w:pPr>
      <w:r>
        <w:t xml:space="preserve"> </w:t>
      </w:r>
    </w:p>
    <w:tbl>
      <w:tblPr>
        <w:tblW w:w="9320" w:type="dxa"/>
        <w:tblInd w:w="144" w:type="dxa"/>
        <w:tblLayout w:type="fixed"/>
        <w:tblLook w:val="0000"/>
      </w:tblPr>
      <w:tblGrid>
        <w:gridCol w:w="9320"/>
      </w:tblGrid>
      <w:tr w:rsidR="008A510A" w:rsidTr="008A510A">
        <w:tc>
          <w:tcPr>
            <w:tcW w:w="5000" w:type="pct"/>
            <w:shd w:val="clear" w:color="auto" w:fill="auto"/>
          </w:tcPr>
          <w:p w:rsidR="008A510A" w:rsidRDefault="00C952A4" w:rsidP="008A510A">
            <w:pPr>
              <w:pStyle w:val="ContinuedTableLabe"/>
            </w:pPr>
            <w:fldSimple w:instr=" STYLEREF &quot;Block Label&quot; ">
              <w:r w:rsidR="008A510A">
                <w:rPr>
                  <w:noProof/>
                </w:rPr>
                <w:t>Changes Included in This Revision</w:t>
              </w:r>
            </w:fldSimple>
            <w:r w:rsidR="008A510A">
              <w:t xml:space="preserve"> </w:t>
            </w:r>
            <w:r w:rsidR="008A510A" w:rsidRPr="008A510A">
              <w:rPr>
                <w:b w:val="0"/>
              </w:rPr>
              <w:t>(continued)</w:t>
            </w:r>
          </w:p>
        </w:tc>
      </w:tr>
    </w:tbl>
    <w:p w:rsidR="008A510A" w:rsidRPr="008A510A" w:rsidRDefault="008A510A" w:rsidP="008A510A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24"/>
        <w:gridCol w:w="2610"/>
        <w:gridCol w:w="1170"/>
      </w:tblGrid>
      <w:tr w:rsidR="008A510A" w:rsidTr="008A510A">
        <w:tc>
          <w:tcPr>
            <w:tcW w:w="5724" w:type="dxa"/>
            <w:shd w:val="clear" w:color="auto" w:fill="auto"/>
          </w:tcPr>
          <w:p w:rsidR="008A510A" w:rsidRPr="00002A1E" w:rsidRDefault="008A510A" w:rsidP="00C84759">
            <w:pPr>
              <w:pStyle w:val="TableHeaderText"/>
            </w:pPr>
            <w:r w:rsidRPr="00002A1E">
              <w:t>Reason(s) for the Change</w:t>
            </w:r>
          </w:p>
        </w:tc>
        <w:tc>
          <w:tcPr>
            <w:tcW w:w="2610" w:type="dxa"/>
            <w:shd w:val="clear" w:color="auto" w:fill="auto"/>
          </w:tcPr>
          <w:p w:rsidR="008A510A" w:rsidRPr="00002A1E" w:rsidRDefault="008A510A" w:rsidP="00C84759">
            <w:pPr>
              <w:pStyle w:val="TableHeaderText"/>
            </w:pPr>
            <w:r w:rsidRPr="00002A1E">
              <w:t>Citation</w:t>
            </w:r>
          </w:p>
        </w:tc>
        <w:tc>
          <w:tcPr>
            <w:tcW w:w="1170" w:type="dxa"/>
            <w:shd w:val="clear" w:color="auto" w:fill="auto"/>
          </w:tcPr>
          <w:p w:rsidR="008A510A" w:rsidRDefault="008A510A" w:rsidP="00C84759">
            <w:pPr>
              <w:pStyle w:val="TableHeaderText"/>
            </w:pPr>
            <w:r>
              <w:t>Page(s)</w:t>
            </w:r>
          </w:p>
        </w:tc>
      </w:tr>
      <w:tr w:rsidR="00616F0C" w:rsidTr="00BA7076">
        <w:tc>
          <w:tcPr>
            <w:tcW w:w="5724" w:type="dxa"/>
            <w:shd w:val="clear" w:color="auto" w:fill="auto"/>
          </w:tcPr>
          <w:p w:rsidR="00616F0C" w:rsidRDefault="00284231" w:rsidP="009203B1">
            <w:pPr>
              <w:pStyle w:val="BulletText1"/>
              <w:numPr>
                <w:ilvl w:val="0"/>
                <w:numId w:val="0"/>
              </w:numPr>
            </w:pPr>
            <w:r>
              <w:t>To correct the regulatory reference citation for informed consent to 38 CFR 17.32.</w:t>
            </w:r>
          </w:p>
        </w:tc>
        <w:tc>
          <w:tcPr>
            <w:tcW w:w="2610" w:type="dxa"/>
            <w:shd w:val="clear" w:color="auto" w:fill="auto"/>
          </w:tcPr>
          <w:p w:rsidR="00616F0C" w:rsidRDefault="00284231" w:rsidP="006E12C2">
            <w:pPr>
              <w:pStyle w:val="BulletText1"/>
              <w:numPr>
                <w:ilvl w:val="0"/>
                <w:numId w:val="0"/>
              </w:numPr>
            </w:pPr>
            <w:r>
              <w:t>IV.ii.2.G.34.b</w:t>
            </w:r>
          </w:p>
        </w:tc>
        <w:tc>
          <w:tcPr>
            <w:tcW w:w="1170" w:type="dxa"/>
            <w:shd w:val="clear" w:color="auto" w:fill="auto"/>
          </w:tcPr>
          <w:p w:rsidR="00616F0C" w:rsidRDefault="00284231" w:rsidP="00237C22">
            <w:pPr>
              <w:pStyle w:val="BulletText1"/>
              <w:numPr>
                <w:ilvl w:val="0"/>
                <w:numId w:val="0"/>
              </w:numPr>
            </w:pPr>
            <w:r>
              <w:t>2-G-10</w:t>
            </w:r>
          </w:p>
        </w:tc>
      </w:tr>
      <w:tr w:rsidR="00284231" w:rsidTr="00BA7076">
        <w:tc>
          <w:tcPr>
            <w:tcW w:w="5724" w:type="dxa"/>
            <w:shd w:val="clear" w:color="auto" w:fill="auto"/>
          </w:tcPr>
          <w:p w:rsidR="00284231" w:rsidRDefault="00284231" w:rsidP="009203B1">
            <w:pPr>
              <w:pStyle w:val="BulletText1"/>
              <w:numPr>
                <w:ilvl w:val="0"/>
                <w:numId w:val="0"/>
              </w:numPr>
            </w:pPr>
            <w:r>
              <w:t>To add a block to discuss the mandatory use of the SMC Calculator on the Rating Job Aids web page</w:t>
            </w:r>
          </w:p>
        </w:tc>
        <w:tc>
          <w:tcPr>
            <w:tcW w:w="2610" w:type="dxa"/>
            <w:shd w:val="clear" w:color="auto" w:fill="auto"/>
          </w:tcPr>
          <w:p w:rsidR="00284231" w:rsidRDefault="00284231" w:rsidP="006E12C2">
            <w:pPr>
              <w:pStyle w:val="BulletText1"/>
              <w:numPr>
                <w:ilvl w:val="0"/>
                <w:numId w:val="0"/>
              </w:numPr>
            </w:pPr>
            <w:r>
              <w:t>IV.ii.2.H.36.h</w:t>
            </w:r>
          </w:p>
        </w:tc>
        <w:tc>
          <w:tcPr>
            <w:tcW w:w="1170" w:type="dxa"/>
            <w:shd w:val="clear" w:color="auto" w:fill="auto"/>
          </w:tcPr>
          <w:p w:rsidR="00284231" w:rsidRDefault="00284231" w:rsidP="00237C22">
            <w:pPr>
              <w:pStyle w:val="BulletText1"/>
              <w:numPr>
                <w:ilvl w:val="0"/>
                <w:numId w:val="0"/>
              </w:numPr>
            </w:pPr>
            <w:r>
              <w:t>2-H-4</w:t>
            </w:r>
          </w:p>
        </w:tc>
      </w:tr>
      <w:tr w:rsidR="00CA601D" w:rsidTr="00BA7076">
        <w:tc>
          <w:tcPr>
            <w:tcW w:w="5724" w:type="dxa"/>
            <w:shd w:val="clear" w:color="auto" w:fill="auto"/>
          </w:tcPr>
          <w:p w:rsidR="00CA601D" w:rsidRDefault="00CA601D" w:rsidP="009203B1">
            <w:pPr>
              <w:pStyle w:val="BulletText1"/>
              <w:numPr>
                <w:ilvl w:val="0"/>
                <w:numId w:val="0"/>
              </w:numPr>
            </w:pPr>
            <w:r>
              <w:t xml:space="preserve">To note that per </w:t>
            </w:r>
            <w:r w:rsidRPr="00F74216">
              <w:rPr>
                <w:i/>
              </w:rPr>
              <w:t>Bradley v. Peake</w:t>
            </w:r>
            <w:r>
              <w:t xml:space="preserve">, the definition of “single disability” </w:t>
            </w:r>
            <w:r w:rsidR="00F74216">
              <w:t>in 38 CFR 4.16 applies only to total evaluations based on unemployability.</w:t>
            </w:r>
          </w:p>
        </w:tc>
        <w:tc>
          <w:tcPr>
            <w:tcW w:w="2610" w:type="dxa"/>
            <w:shd w:val="clear" w:color="auto" w:fill="auto"/>
          </w:tcPr>
          <w:p w:rsidR="00F74216" w:rsidRDefault="00F74216" w:rsidP="000F3110">
            <w:pPr>
              <w:pStyle w:val="BulletText1"/>
              <w:numPr>
                <w:ilvl w:val="0"/>
                <w:numId w:val="0"/>
              </w:numPr>
            </w:pPr>
            <w:r w:rsidRPr="001629F1">
              <w:t>IV.ii.2.H.41.b</w:t>
            </w:r>
          </w:p>
        </w:tc>
        <w:tc>
          <w:tcPr>
            <w:tcW w:w="1170" w:type="dxa"/>
            <w:shd w:val="clear" w:color="auto" w:fill="auto"/>
          </w:tcPr>
          <w:p w:rsidR="00CA601D" w:rsidRDefault="00F74216" w:rsidP="00237C22">
            <w:pPr>
              <w:pStyle w:val="BulletText1"/>
              <w:numPr>
                <w:ilvl w:val="0"/>
                <w:numId w:val="0"/>
              </w:numPr>
            </w:pPr>
            <w:r>
              <w:t>2-H-24</w:t>
            </w:r>
          </w:p>
        </w:tc>
      </w:tr>
      <w:tr w:rsidR="00CA601D" w:rsidTr="00BA7076">
        <w:tc>
          <w:tcPr>
            <w:tcW w:w="5724" w:type="dxa"/>
            <w:shd w:val="clear" w:color="auto" w:fill="auto"/>
          </w:tcPr>
          <w:p w:rsidR="00CA601D" w:rsidRDefault="00BA7076" w:rsidP="009203B1">
            <w:pPr>
              <w:pStyle w:val="BulletText1"/>
              <w:numPr>
                <w:ilvl w:val="0"/>
                <w:numId w:val="0"/>
              </w:numPr>
            </w:pPr>
            <w:r>
              <w:t xml:space="preserve">To revise Example 1 in accordance with </w:t>
            </w:r>
            <w:r w:rsidRPr="00BA7076">
              <w:rPr>
                <w:i/>
              </w:rPr>
              <w:t>Bradley v. Peake</w:t>
            </w:r>
            <w:r w:rsidR="007C5AF3">
              <w:rPr>
                <w:i/>
              </w:rPr>
              <w:t xml:space="preserve"> </w:t>
            </w:r>
            <w:r w:rsidR="007C5AF3" w:rsidRPr="007C5AF3">
              <w:t>and current rating schedule provisions</w:t>
            </w:r>
            <w:r w:rsidRPr="007C5AF3">
              <w:t>.</w:t>
            </w:r>
          </w:p>
        </w:tc>
        <w:tc>
          <w:tcPr>
            <w:tcW w:w="2610" w:type="dxa"/>
            <w:shd w:val="clear" w:color="auto" w:fill="auto"/>
          </w:tcPr>
          <w:p w:rsidR="00CA601D" w:rsidRDefault="00BA7076" w:rsidP="006E12C2">
            <w:pPr>
              <w:pStyle w:val="BulletText1"/>
              <w:numPr>
                <w:ilvl w:val="0"/>
                <w:numId w:val="0"/>
              </w:numPr>
            </w:pPr>
            <w:r>
              <w:t>IV.ii.2.H.41.d</w:t>
            </w:r>
          </w:p>
        </w:tc>
        <w:tc>
          <w:tcPr>
            <w:tcW w:w="1170" w:type="dxa"/>
            <w:shd w:val="clear" w:color="auto" w:fill="auto"/>
          </w:tcPr>
          <w:p w:rsidR="00CA601D" w:rsidRDefault="00BA7076" w:rsidP="00237C22">
            <w:pPr>
              <w:pStyle w:val="BulletText1"/>
              <w:numPr>
                <w:ilvl w:val="0"/>
                <w:numId w:val="0"/>
              </w:numPr>
            </w:pPr>
            <w:r>
              <w:t>2-H-25</w:t>
            </w:r>
          </w:p>
        </w:tc>
      </w:tr>
      <w:tr w:rsidR="00BA7076" w:rsidTr="00BA7076">
        <w:tc>
          <w:tcPr>
            <w:tcW w:w="5724" w:type="dxa"/>
            <w:shd w:val="clear" w:color="auto" w:fill="auto"/>
          </w:tcPr>
          <w:p w:rsidR="00BA7076" w:rsidRDefault="00BA7076" w:rsidP="008E4B05">
            <w:pPr>
              <w:pStyle w:val="BulletText1"/>
              <w:numPr>
                <w:ilvl w:val="0"/>
                <w:numId w:val="0"/>
              </w:numPr>
            </w:pPr>
            <w:r>
              <w:t xml:space="preserve">To revise Example 2 in accordance with </w:t>
            </w:r>
            <w:r w:rsidRPr="00BA7076">
              <w:rPr>
                <w:i/>
              </w:rPr>
              <w:t>Bradley v. Peake.</w:t>
            </w:r>
          </w:p>
        </w:tc>
        <w:tc>
          <w:tcPr>
            <w:tcW w:w="2610" w:type="dxa"/>
            <w:shd w:val="clear" w:color="auto" w:fill="auto"/>
          </w:tcPr>
          <w:p w:rsidR="00BA7076" w:rsidRDefault="00BA7076" w:rsidP="008E4B05">
            <w:pPr>
              <w:pStyle w:val="BulletText1"/>
              <w:numPr>
                <w:ilvl w:val="0"/>
                <w:numId w:val="0"/>
              </w:numPr>
            </w:pPr>
            <w:r>
              <w:t>IV.ii.2.H.41.e</w:t>
            </w:r>
          </w:p>
        </w:tc>
        <w:tc>
          <w:tcPr>
            <w:tcW w:w="1170" w:type="dxa"/>
            <w:shd w:val="clear" w:color="auto" w:fill="auto"/>
          </w:tcPr>
          <w:p w:rsidR="00BA7076" w:rsidRDefault="00BA7076" w:rsidP="00BA7076">
            <w:pPr>
              <w:pStyle w:val="BulletText1"/>
            </w:pPr>
            <w:r>
              <w:t>2-H-26</w:t>
            </w:r>
          </w:p>
          <w:p w:rsidR="00BA7076" w:rsidRDefault="00BA7076" w:rsidP="00BA7076">
            <w:pPr>
              <w:pStyle w:val="BulletText1"/>
            </w:pPr>
            <w:r>
              <w:t>2-H-27</w:t>
            </w:r>
          </w:p>
        </w:tc>
      </w:tr>
      <w:tr w:rsidR="00BA7076" w:rsidTr="00BA7076">
        <w:tc>
          <w:tcPr>
            <w:tcW w:w="5724" w:type="dxa"/>
            <w:shd w:val="clear" w:color="auto" w:fill="auto"/>
          </w:tcPr>
          <w:p w:rsidR="00BA7076" w:rsidRDefault="00BA7076" w:rsidP="002B11C7">
            <w:pPr>
              <w:pStyle w:val="BulletText1"/>
              <w:numPr>
                <w:ilvl w:val="0"/>
                <w:numId w:val="0"/>
              </w:numPr>
            </w:pPr>
            <w:r>
              <w:t xml:space="preserve">To change the title of Topic 43 </w:t>
            </w:r>
            <w:r w:rsidRPr="00BA7076">
              <w:t>to better ref</w:t>
            </w:r>
            <w:r>
              <w:t>lect its content.</w:t>
            </w:r>
          </w:p>
        </w:tc>
        <w:tc>
          <w:tcPr>
            <w:tcW w:w="2610" w:type="dxa"/>
            <w:shd w:val="clear" w:color="auto" w:fill="auto"/>
          </w:tcPr>
          <w:p w:rsidR="00BA7076" w:rsidRDefault="00BA7076" w:rsidP="008E4B05">
            <w:pPr>
              <w:pStyle w:val="BulletText1"/>
              <w:numPr>
                <w:ilvl w:val="0"/>
                <w:numId w:val="0"/>
              </w:numPr>
            </w:pPr>
            <w:r>
              <w:t>IV.ii.2.H.43</w:t>
            </w:r>
          </w:p>
        </w:tc>
        <w:tc>
          <w:tcPr>
            <w:tcW w:w="1170" w:type="dxa"/>
            <w:shd w:val="clear" w:color="auto" w:fill="auto"/>
          </w:tcPr>
          <w:p w:rsidR="00BA7076" w:rsidRDefault="00BA7076" w:rsidP="00BA7076">
            <w:pPr>
              <w:pStyle w:val="TableText"/>
            </w:pPr>
            <w:r>
              <w:t>2-H-31</w:t>
            </w:r>
          </w:p>
        </w:tc>
      </w:tr>
      <w:tr w:rsidR="00BA7076" w:rsidTr="00BA7076">
        <w:tc>
          <w:tcPr>
            <w:tcW w:w="5724" w:type="dxa"/>
            <w:shd w:val="clear" w:color="auto" w:fill="auto"/>
          </w:tcPr>
          <w:p w:rsidR="00BA7076" w:rsidRDefault="00BA7076" w:rsidP="008E4B05">
            <w:pPr>
              <w:pStyle w:val="BulletText1"/>
              <w:numPr>
                <w:ilvl w:val="0"/>
                <w:numId w:val="0"/>
              </w:numPr>
            </w:pPr>
            <w:r>
              <w:t xml:space="preserve">To note that per </w:t>
            </w:r>
            <w:r w:rsidRPr="00F74216">
              <w:rPr>
                <w:i/>
              </w:rPr>
              <w:t>Bradley v. Peake</w:t>
            </w:r>
            <w:r>
              <w:t>, the definition of “single disability” in 38 CFR 4.16 applies only to total evaluations based on unemployability.</w:t>
            </w:r>
          </w:p>
        </w:tc>
        <w:tc>
          <w:tcPr>
            <w:tcW w:w="2610" w:type="dxa"/>
            <w:shd w:val="clear" w:color="auto" w:fill="auto"/>
          </w:tcPr>
          <w:p w:rsidR="00BA7076" w:rsidRDefault="000D6952" w:rsidP="008E4B05">
            <w:pPr>
              <w:pStyle w:val="BulletText1"/>
              <w:numPr>
                <w:ilvl w:val="0"/>
                <w:numId w:val="0"/>
              </w:numPr>
            </w:pPr>
            <w:r>
              <w:t>IV.ii.2.H.44.b</w:t>
            </w:r>
          </w:p>
        </w:tc>
        <w:tc>
          <w:tcPr>
            <w:tcW w:w="1170" w:type="dxa"/>
            <w:shd w:val="clear" w:color="auto" w:fill="auto"/>
          </w:tcPr>
          <w:p w:rsidR="00BA7076" w:rsidRDefault="000D6952" w:rsidP="00BA7076">
            <w:pPr>
              <w:pStyle w:val="TableText"/>
            </w:pPr>
            <w:r>
              <w:t>2-H-32</w:t>
            </w:r>
          </w:p>
        </w:tc>
      </w:tr>
      <w:tr w:rsidR="000D6952" w:rsidTr="00BA7076">
        <w:tc>
          <w:tcPr>
            <w:tcW w:w="5724" w:type="dxa"/>
            <w:shd w:val="clear" w:color="auto" w:fill="auto"/>
          </w:tcPr>
          <w:p w:rsidR="000D6952" w:rsidRDefault="000D6952" w:rsidP="007C5AF3">
            <w:pPr>
              <w:pStyle w:val="BulletText1"/>
              <w:numPr>
                <w:ilvl w:val="0"/>
                <w:numId w:val="0"/>
              </w:numPr>
            </w:pPr>
            <w:r>
              <w:t xml:space="preserve">To note that competency should not be put at issue when a 100 percent evaluation for a </w:t>
            </w:r>
            <w:r w:rsidRPr="000D6952">
              <w:t xml:space="preserve">mental disorder </w:t>
            </w:r>
            <w:r w:rsidR="007C5AF3">
              <w:t xml:space="preserve">is assigned </w:t>
            </w:r>
            <w:r w:rsidRPr="000D6952">
              <w:t xml:space="preserve">under </w:t>
            </w:r>
            <w:r w:rsidRPr="002B11C7">
              <w:t>38 CFR 4.29</w:t>
            </w:r>
            <w:r w:rsidRPr="000D6952">
              <w:t xml:space="preserve"> unless the issue is otherwise raised by the evidence in the case.</w:t>
            </w:r>
          </w:p>
        </w:tc>
        <w:tc>
          <w:tcPr>
            <w:tcW w:w="2610" w:type="dxa"/>
            <w:shd w:val="clear" w:color="auto" w:fill="auto"/>
          </w:tcPr>
          <w:p w:rsidR="000D6952" w:rsidRDefault="000D6952" w:rsidP="008E4B05">
            <w:pPr>
              <w:pStyle w:val="BulletText1"/>
              <w:numPr>
                <w:ilvl w:val="0"/>
                <w:numId w:val="0"/>
              </w:numPr>
            </w:pPr>
            <w:r>
              <w:t>IV.ii.2.J.60.a</w:t>
            </w:r>
          </w:p>
        </w:tc>
        <w:tc>
          <w:tcPr>
            <w:tcW w:w="1170" w:type="dxa"/>
            <w:shd w:val="clear" w:color="auto" w:fill="auto"/>
          </w:tcPr>
          <w:p w:rsidR="000D6952" w:rsidRDefault="000D6952" w:rsidP="00BA7076">
            <w:pPr>
              <w:pStyle w:val="TableText"/>
            </w:pPr>
            <w:r>
              <w:t>2-J-6</w:t>
            </w:r>
          </w:p>
        </w:tc>
      </w:tr>
      <w:tr w:rsidR="002B7922" w:rsidTr="00BA7076">
        <w:tc>
          <w:tcPr>
            <w:tcW w:w="5724" w:type="dxa"/>
            <w:shd w:val="clear" w:color="auto" w:fill="auto"/>
          </w:tcPr>
          <w:p w:rsidR="002B7922" w:rsidRDefault="002B7922" w:rsidP="008E4B05">
            <w:pPr>
              <w:pStyle w:val="BulletText1"/>
              <w:numPr>
                <w:ilvl w:val="0"/>
                <w:numId w:val="0"/>
              </w:numPr>
            </w:pPr>
            <w:r>
              <w:t>To change the authorized Internet address locator service from ChoicePoint to Accurint for Government</w:t>
            </w:r>
            <w:r w:rsidR="007C2B3C">
              <w:t>,</w:t>
            </w:r>
            <w:r>
              <w:t xml:space="preserve"> in accordance with Fast Letter 09-44, </w:t>
            </w:r>
            <w:r w:rsidRPr="002B7922">
              <w:rPr>
                <w:i/>
                <w:szCs w:val="24"/>
              </w:rPr>
              <w:t>Accurint for Government – Nationwide Access to Internet Application to Obtain Current Addresses for Veterans.</w:t>
            </w:r>
            <w: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2B7922" w:rsidRDefault="002B7922" w:rsidP="008E4B05">
            <w:pPr>
              <w:pStyle w:val="BulletText1"/>
              <w:numPr>
                <w:ilvl w:val="0"/>
                <w:numId w:val="0"/>
              </w:numPr>
            </w:pPr>
            <w:r>
              <w:t>IV.ii.3.B.5.c</w:t>
            </w:r>
          </w:p>
        </w:tc>
        <w:tc>
          <w:tcPr>
            <w:tcW w:w="1170" w:type="dxa"/>
            <w:shd w:val="clear" w:color="auto" w:fill="auto"/>
          </w:tcPr>
          <w:p w:rsidR="002B7922" w:rsidRDefault="002B7922" w:rsidP="00BA7076">
            <w:pPr>
              <w:pStyle w:val="TableText"/>
            </w:pPr>
            <w:r>
              <w:t>3-B-3</w:t>
            </w:r>
          </w:p>
        </w:tc>
      </w:tr>
      <w:tr w:rsidR="00F51CB8" w:rsidTr="00BA7076">
        <w:tc>
          <w:tcPr>
            <w:tcW w:w="5724" w:type="dxa"/>
            <w:shd w:val="clear" w:color="auto" w:fill="auto"/>
          </w:tcPr>
          <w:p w:rsidR="00F51CB8" w:rsidRDefault="0070022E" w:rsidP="0070022E">
            <w:pPr>
              <w:pStyle w:val="BulletText1"/>
              <w:numPr>
                <w:ilvl w:val="0"/>
                <w:numId w:val="0"/>
              </w:numPr>
            </w:pPr>
            <w:r>
              <w:t xml:space="preserve">To correct the text of the first stub sentence to read “If a </w:t>
            </w:r>
            <w:r w:rsidRPr="003B7F3D">
              <w:t xml:space="preserve">claimant furnishes a good cause for </w:t>
            </w:r>
            <w:r w:rsidRPr="0070022E">
              <w:t>not</w:t>
            </w:r>
            <w:r>
              <w:t xml:space="preserve"> </w:t>
            </w:r>
            <w:r w:rsidR="00C1150F">
              <w:t>having reported</w:t>
            </w:r>
            <w:r w:rsidRPr="003B7F3D">
              <w:t xml:space="preserve"> for a required examination</w:t>
            </w:r>
            <w:r w:rsidR="00C1150F">
              <w:t xml:space="preserve"> …</w:t>
            </w:r>
            <w:r>
              <w:t>”</w:t>
            </w:r>
          </w:p>
        </w:tc>
        <w:tc>
          <w:tcPr>
            <w:tcW w:w="2610" w:type="dxa"/>
            <w:shd w:val="clear" w:color="auto" w:fill="auto"/>
          </w:tcPr>
          <w:p w:rsidR="00F51CB8" w:rsidRDefault="00C1150F" w:rsidP="008E4B05">
            <w:pPr>
              <w:pStyle w:val="BulletText1"/>
              <w:numPr>
                <w:ilvl w:val="0"/>
                <w:numId w:val="0"/>
              </w:numPr>
            </w:pPr>
            <w:r>
              <w:t>IV.ii.3.B.6.h</w:t>
            </w:r>
          </w:p>
        </w:tc>
        <w:tc>
          <w:tcPr>
            <w:tcW w:w="1170" w:type="dxa"/>
            <w:shd w:val="clear" w:color="auto" w:fill="auto"/>
          </w:tcPr>
          <w:p w:rsidR="00F51CB8" w:rsidRDefault="00C1150F" w:rsidP="00BA7076">
            <w:pPr>
              <w:pStyle w:val="TableText"/>
            </w:pPr>
            <w:r>
              <w:t>3-B-9</w:t>
            </w:r>
          </w:p>
        </w:tc>
      </w:tr>
    </w:tbl>
    <w:p w:rsidR="00C1150F" w:rsidRDefault="00C1150F" w:rsidP="00C1150F">
      <w:pPr>
        <w:pStyle w:val="ContinuedOnNextPa"/>
      </w:pPr>
      <w:r>
        <w:t>Continued on next page</w:t>
      </w:r>
    </w:p>
    <w:p w:rsidR="00504F80" w:rsidRPr="00C1150F" w:rsidRDefault="00C1150F" w:rsidP="00C1150F">
      <w:pPr>
        <w:pStyle w:val="MapTitleContinued"/>
        <w:rPr>
          <w:b w:val="0"/>
          <w:sz w:val="24"/>
        </w:rPr>
      </w:pPr>
      <w:r w:rsidRPr="00C1150F">
        <w:br w:type="page"/>
      </w:r>
      <w:fldSimple w:instr=" STYLEREF &quot;Map Title&quot; ">
        <w:r w:rsidRPr="00C1150F">
          <w:rPr>
            <w:noProof/>
          </w:rPr>
          <w:t>Transmittal Sheet</w:t>
        </w:r>
      </w:fldSimple>
      <w:r w:rsidRPr="00C1150F">
        <w:t xml:space="preserve">, </w:t>
      </w:r>
      <w:r w:rsidRPr="00C1150F">
        <w:rPr>
          <w:b w:val="0"/>
          <w:sz w:val="24"/>
        </w:rPr>
        <w:t>Continued</w:t>
      </w:r>
    </w:p>
    <w:p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:rsidR="00504F80" w:rsidRPr="00616F0C" w:rsidRDefault="00504F80" w:rsidP="00616F0C">
      <w:pPr>
        <w:pStyle w:val="BlockLine"/>
      </w:pPr>
      <w:r w:rsidRPr="00616F0C">
        <w:t xml:space="preserve"> </w:t>
      </w:r>
    </w:p>
    <w:tbl>
      <w:tblPr>
        <w:tblW w:w="0" w:type="auto"/>
        <w:tblLayout w:type="fixed"/>
        <w:tblLook w:val="000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RPC:  2068</w:t>
            </w:r>
          </w:p>
          <w:p w:rsidR="00504F80" w:rsidRPr="00B4163A" w:rsidRDefault="00504F80" w:rsidP="00237C22">
            <w:pPr>
              <w:pStyle w:val="BlockText"/>
            </w:pPr>
            <w:r w:rsidRPr="00B4163A">
              <w:t>FD:  EX:  ASO and AR (included in RPC 2068)</w:t>
            </w:r>
          </w:p>
          <w:p w:rsidR="00504F80" w:rsidRPr="00B4163A" w:rsidRDefault="00504F80" w:rsidP="00237C22">
            <w:pPr>
              <w:pStyle w:val="BlockText"/>
            </w:pPr>
          </w:p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C952A4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="00504F80">
        <w:instrText xml:space="preserve"> ADDIN  \* MERGEFORMAT </w:instrText>
      </w:r>
      <w:r>
        <w:fldChar w:fldCharType="end"/>
      </w:r>
    </w:p>
    <w:p w:rsidR="007C5AF3" w:rsidRPr="00723070" w:rsidRDefault="007C5AF3" w:rsidP="007C5AF3">
      <w:pPr>
        <w:pStyle w:val="MapTitleContinued"/>
      </w:pPr>
    </w:p>
    <w:p w:rsidR="00B470F1" w:rsidRPr="00C1150F" w:rsidRDefault="00B470F1" w:rsidP="008A510A">
      <w:pPr>
        <w:pStyle w:val="MapTitleContinued"/>
        <w:rPr>
          <w:b w:val="0"/>
        </w:rPr>
      </w:pPr>
      <w:r w:rsidRPr="00723070">
        <w:t xml:space="preserve"> </w:t>
      </w:r>
      <w:r w:rsidR="00C952A4">
        <w:fldChar w:fldCharType="begin">
          <w:fldData xml:space="preserve">RABvAGMAVABlAG0AcAAxAFYAYQByAFQAcgBhAGQAaQB0AGkAbwBuAGEAbAA=
</w:fldData>
        </w:fldChar>
      </w:r>
      <w:r w:rsidR="008A510A">
        <w:instrText xml:space="preserve"> ADDIN  \* MERGEFORMAT </w:instrText>
      </w:r>
      <w:r w:rsidR="00C952A4">
        <w:fldChar w:fldCharType="end"/>
      </w:r>
      <w:r w:rsidR="00C952A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AG4AdABTAGUAdABGAG8AbgB0AFMAZQB0AEYAbwBuAHQAUwBlAHQARgBvAG4AdABTAGUAdABpAG0A
aQBzAHQAeQBsAGUAcwAuAHgAbQBsAA==
</w:fldData>
        </w:fldChar>
      </w:r>
      <w:r w:rsidR="008A510A">
        <w:instrText xml:space="preserve"> ADDIN  \* MERGEFORMAT </w:instrText>
      </w:r>
      <w:r w:rsidR="00C952A4">
        <w:fldChar w:fldCharType="end"/>
      </w:r>
      <w:r w:rsidR="00C952A4">
        <w:fldChar w:fldCharType="begin">
          <w:fldData xml:space="preserve">RABvAGMAVABlAG0AcAAxAFYAYQByAFQAcgBhAGQAaQB0AGkAbwBuAGEAbAA=
</w:fldData>
        </w:fldChar>
      </w:r>
      <w:r w:rsidR="009A642B">
        <w:instrText xml:space="preserve"> ADDIN  \* MERGEFORMAT </w:instrText>
      </w:r>
      <w:r w:rsidR="00C952A4">
        <w:fldChar w:fldCharType="end"/>
      </w:r>
      <w:r w:rsidR="00C952A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AG4AdABTAGUAdABGAG8AbgB0AFMAZQB0AEYAbwBuAHQAUwBlAHQARgBvAG4AdABTAGUAdABGAG8A
bgB0AFMAZQB0AGkAbQBpAHMAdAB5AGwAZQBzAC4AeABtAGwA
</w:fldData>
        </w:fldChar>
      </w:r>
      <w:r w:rsidR="009A642B">
        <w:instrText xml:space="preserve"> ADDIN  \* MERGEFORMAT </w:instrText>
      </w:r>
      <w:r w:rsidR="00C952A4">
        <w:fldChar w:fldCharType="end"/>
      </w:r>
      <w:r w:rsidR="00C952A4">
        <w:fldChar w:fldCharType="begin">
          <w:fldData xml:space="preserve">RABvAGMAVABlAG0AcAAxAFYAYQByAFQAcgBhAGQAaQB0AGkAbwBuAGEAbAA=
</w:fldData>
        </w:fldChar>
      </w:r>
      <w:r w:rsidR="00BF6138">
        <w:instrText xml:space="preserve"> ADDIN  \* MERGEFORMAT </w:instrText>
      </w:r>
      <w:r w:rsidR="00C952A4">
        <w:fldChar w:fldCharType="end"/>
      </w:r>
      <w:r w:rsidR="00C952A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AG4AdABTAGUAdABGAG8AbgB0AFMAZQB0AEYAbwBuAHQAUwBlAHQARgBvAG4AdABTAGUAdABGAG8A
bgB0AFMAZQB0AEYAbwBuAHQAUwBlAHQAaQBtAGkAcwB0AHkAbABlAHMALgB4AG0AbAA=
</w:fldData>
        </w:fldChar>
      </w:r>
      <w:r w:rsidR="00BF6138">
        <w:instrText xml:space="preserve"> ADDIN  \* MERGEFORMAT </w:instrText>
      </w:r>
      <w:r w:rsidR="00C952A4">
        <w:fldChar w:fldCharType="end"/>
      </w:r>
      <w:r w:rsidR="00C952A4">
        <w:fldChar w:fldCharType="begin">
          <w:fldData xml:space="preserve">RABvAGMAVABlAG0AcAAxAFYAYQByAFQAcgBhAGQAaQB0AGkAbwBuAGEAbAA=
</w:fldData>
        </w:fldChar>
      </w:r>
      <w:r w:rsidR="006B6A35">
        <w:instrText xml:space="preserve"> ADDIN  \* MERGEFORMAT </w:instrText>
      </w:r>
      <w:r w:rsidR="00C952A4">
        <w:fldChar w:fldCharType="end"/>
      </w:r>
      <w:r w:rsidR="00C952A4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AG4AdABTAGUAdABGAG8AbgB0AFMAZQB0AEYAbwBuAHQAUwBlAHQARgBvAG4AdABTAGUAdABGAG8A
bgB0AFMAZQB0AEYAbwBuAHQAUwBlAHQARgBvAG4AdABTAGUAdABpAG0AaQBzAHQAeQBsAGUAcwAu
AHgAbQBsAA==
</w:fldData>
        </w:fldChar>
      </w:r>
      <w:r w:rsidR="006B6A35">
        <w:instrText xml:space="preserve"> ADDIN  \* MERGEFORMAT </w:instrText>
      </w:r>
      <w:r w:rsidR="00C952A4">
        <w:fldChar w:fldCharType="end"/>
      </w:r>
      <w:r w:rsidR="00AD2C6C">
        <w:fldChar w:fldCharType="begin">
          <w:fldData xml:space="preserve">RABvAGMAVABlAG0AcAAxAFYAYQByAFQAcgBhAGQAaQB0AGkAbwBuAGEAbAA=
</w:fldData>
        </w:fldChar>
      </w:r>
      <w:r w:rsidR="00AD2C6C">
        <w:instrText xml:space="preserve"> ADDIN  \* MERGEFORMAT </w:instrText>
      </w:r>
      <w:r w:rsidR="00AD2C6C">
        <w:fldChar w:fldCharType="end"/>
      </w:r>
      <w:r w:rsidR="00AD2C6C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AG4AdABTAGUAdABGAG8AbgB0AFMAZQB0AEYAbwBuAHQAUwBlAHQARgBvAG4AdABTAGUAdABGAG8A
bgB0AFMAZQB0AEYAbwBuAHQAUwBlAHQARgBvAG4AdABTAGUAdABGAG8AbgB0AFMAZQB0AGkAbQBp
AHMAdAB5AGwAZQBzAC4AeABtAGwA
</w:fldData>
        </w:fldChar>
      </w:r>
      <w:r w:rsidR="00AD2C6C">
        <w:instrText xml:space="preserve"> ADDIN  \* MERGEFORMAT </w:instrText>
      </w:r>
      <w:r w:rsidR="00AD2C6C">
        <w:fldChar w:fldCharType="end"/>
      </w:r>
    </w:p>
    <w:sectPr w:rsidR="00B470F1" w:rsidRPr="00C1150F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59" w:rsidRDefault="00C84759" w:rsidP="00C765C7">
      <w:r>
        <w:separator/>
      </w:r>
    </w:p>
  </w:endnote>
  <w:endnote w:type="continuationSeparator" w:id="0">
    <w:p w:rsidR="00C84759" w:rsidRDefault="00C84759" w:rsidP="00C7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59" w:rsidRDefault="00C952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47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4759" w:rsidRDefault="00C847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59" w:rsidRDefault="00C952A4">
    <w:pPr>
      <w:pStyle w:val="Footer"/>
      <w:jc w:val="center"/>
    </w:pPr>
    <w:fldSimple w:instr=" PAGE   \* MERGEFORMAT ">
      <w:r w:rsidR="00AD2C6C">
        <w:rPr>
          <w:noProof/>
        </w:rPr>
        <w:t>iv</w:t>
      </w:r>
    </w:fldSimple>
  </w:p>
  <w:p w:rsidR="00C84759" w:rsidRDefault="00C847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59" w:rsidRDefault="00C84759" w:rsidP="00C765C7">
      <w:r>
        <w:separator/>
      </w:r>
    </w:p>
  </w:footnote>
  <w:footnote w:type="continuationSeparator" w:id="0">
    <w:p w:rsidR="00C84759" w:rsidRDefault="00C84759" w:rsidP="00C76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2pt;height:12pt" o:bullet="t">
        <v:imagedata r:id="rId1" o:title="fspro_2columns"/>
      </v:shape>
    </w:pict>
  </w:numPicBullet>
  <w:numPicBullet w:numPicBulletId="1">
    <w:pict>
      <v:shape id="_x0000_i1147" type="#_x0000_t75" style="width:12pt;height:12pt" o:bullet="t">
        <v:imagedata r:id="rId2" o:title="advanced"/>
      </v:shape>
    </w:pict>
  </w:numPicBullet>
  <w:numPicBullet w:numPicBulletId="2">
    <w:pict>
      <v:shape id="_x0000_i1148" type="#_x0000_t75" style="width:12pt;height:12pt" o:bullet="t">
        <v:imagedata r:id="rId3" o:title="continue"/>
      </v:shape>
    </w:pict>
  </w:numPicBullet>
  <w:numPicBullet w:numPicBulletId="3">
    <w:pict>
      <v:shape id="_x0000_i114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1717"/>
        </w:tabs>
        <w:ind w:left="1717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E0BAD"/>
    <w:multiLevelType w:val="singleLevel"/>
    <w:tmpl w:val="1916D2C8"/>
    <w:lvl w:ilvl="0">
      <w:start w:val="606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AA0C29"/>
    <w:multiLevelType w:val="singleLevel"/>
    <w:tmpl w:val="60B43106"/>
    <w:lvl w:ilvl="0">
      <w:start w:val="50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>
    <w:nsid w:val="65535DCC"/>
    <w:multiLevelType w:val="singleLevel"/>
    <w:tmpl w:val="675E19D6"/>
    <w:lvl w:ilvl="0">
      <w:start w:val="752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Temp1Var" w:val="Traditional"/>
    <w:docVar w:name="FontSet" w:val="FontSetFontSetFontSetFontSetFontSetFontSetFontSetFontSetFontSetFontSetFontSetFontSetFontSetFontSetFontSetFontSetFontSetFontSetFontSetimistyles.xml"/>
  </w:docVars>
  <w:rsids>
    <w:rsidRoot w:val="00504F80"/>
    <w:rsid w:val="00002A1E"/>
    <w:rsid w:val="00014A89"/>
    <w:rsid w:val="000252C6"/>
    <w:rsid w:val="000256FB"/>
    <w:rsid w:val="000503C4"/>
    <w:rsid w:val="00065F00"/>
    <w:rsid w:val="0007434C"/>
    <w:rsid w:val="00093228"/>
    <w:rsid w:val="00093993"/>
    <w:rsid w:val="000D6952"/>
    <w:rsid w:val="000F3110"/>
    <w:rsid w:val="000F711D"/>
    <w:rsid w:val="00100433"/>
    <w:rsid w:val="0010215F"/>
    <w:rsid w:val="00106EEF"/>
    <w:rsid w:val="00112B7A"/>
    <w:rsid w:val="0012292B"/>
    <w:rsid w:val="0013626B"/>
    <w:rsid w:val="00137CD1"/>
    <w:rsid w:val="001629F1"/>
    <w:rsid w:val="0016567A"/>
    <w:rsid w:val="00186D46"/>
    <w:rsid w:val="001A1D97"/>
    <w:rsid w:val="001B63BF"/>
    <w:rsid w:val="001C3AE3"/>
    <w:rsid w:val="001C3EB5"/>
    <w:rsid w:val="001C696E"/>
    <w:rsid w:val="00237C22"/>
    <w:rsid w:val="00240624"/>
    <w:rsid w:val="002607BE"/>
    <w:rsid w:val="00284231"/>
    <w:rsid w:val="002B11C7"/>
    <w:rsid w:val="002B7922"/>
    <w:rsid w:val="002B7A7E"/>
    <w:rsid w:val="002F5B21"/>
    <w:rsid w:val="00332B80"/>
    <w:rsid w:val="00341981"/>
    <w:rsid w:val="00342118"/>
    <w:rsid w:val="00366D36"/>
    <w:rsid w:val="00386999"/>
    <w:rsid w:val="00393604"/>
    <w:rsid w:val="003B2927"/>
    <w:rsid w:val="003F6048"/>
    <w:rsid w:val="003F672A"/>
    <w:rsid w:val="0040351B"/>
    <w:rsid w:val="00435BA5"/>
    <w:rsid w:val="00436804"/>
    <w:rsid w:val="00455EF7"/>
    <w:rsid w:val="004562CC"/>
    <w:rsid w:val="00471ECA"/>
    <w:rsid w:val="00482FA3"/>
    <w:rsid w:val="0048559D"/>
    <w:rsid w:val="00494175"/>
    <w:rsid w:val="004B68E4"/>
    <w:rsid w:val="004D584E"/>
    <w:rsid w:val="004F17ED"/>
    <w:rsid w:val="004F375E"/>
    <w:rsid w:val="00504F80"/>
    <w:rsid w:val="00506485"/>
    <w:rsid w:val="00510E5B"/>
    <w:rsid w:val="00513DA7"/>
    <w:rsid w:val="00516C82"/>
    <w:rsid w:val="00523867"/>
    <w:rsid w:val="0053117C"/>
    <w:rsid w:val="005875DB"/>
    <w:rsid w:val="00594258"/>
    <w:rsid w:val="005C3364"/>
    <w:rsid w:val="005E4363"/>
    <w:rsid w:val="00616F0C"/>
    <w:rsid w:val="0062068D"/>
    <w:rsid w:val="006317AA"/>
    <w:rsid w:val="006473C3"/>
    <w:rsid w:val="006708D7"/>
    <w:rsid w:val="006837E0"/>
    <w:rsid w:val="00687684"/>
    <w:rsid w:val="006A48FB"/>
    <w:rsid w:val="006B32B8"/>
    <w:rsid w:val="006B6A35"/>
    <w:rsid w:val="006B7262"/>
    <w:rsid w:val="006C48FF"/>
    <w:rsid w:val="006E12C2"/>
    <w:rsid w:val="006E221A"/>
    <w:rsid w:val="006F6D37"/>
    <w:rsid w:val="0070022E"/>
    <w:rsid w:val="007009C1"/>
    <w:rsid w:val="00711DCF"/>
    <w:rsid w:val="00732186"/>
    <w:rsid w:val="0073337E"/>
    <w:rsid w:val="00737049"/>
    <w:rsid w:val="007508A1"/>
    <w:rsid w:val="00751113"/>
    <w:rsid w:val="007A0C5F"/>
    <w:rsid w:val="007B0B71"/>
    <w:rsid w:val="007C2B3C"/>
    <w:rsid w:val="007C5AF3"/>
    <w:rsid w:val="007D437C"/>
    <w:rsid w:val="007D5B97"/>
    <w:rsid w:val="007E2AD9"/>
    <w:rsid w:val="007E5515"/>
    <w:rsid w:val="0080590C"/>
    <w:rsid w:val="008215DA"/>
    <w:rsid w:val="0086475B"/>
    <w:rsid w:val="00875AFA"/>
    <w:rsid w:val="0088609E"/>
    <w:rsid w:val="008A510A"/>
    <w:rsid w:val="008B4CB5"/>
    <w:rsid w:val="008D1052"/>
    <w:rsid w:val="008D12C3"/>
    <w:rsid w:val="008D458B"/>
    <w:rsid w:val="008E22CF"/>
    <w:rsid w:val="008E4B05"/>
    <w:rsid w:val="008E5824"/>
    <w:rsid w:val="008E589A"/>
    <w:rsid w:val="00916AE6"/>
    <w:rsid w:val="009203B1"/>
    <w:rsid w:val="00923185"/>
    <w:rsid w:val="009769CD"/>
    <w:rsid w:val="00993D9D"/>
    <w:rsid w:val="00995D78"/>
    <w:rsid w:val="009A642B"/>
    <w:rsid w:val="009E6E1A"/>
    <w:rsid w:val="00A315CB"/>
    <w:rsid w:val="00A3579D"/>
    <w:rsid w:val="00A55356"/>
    <w:rsid w:val="00A8520D"/>
    <w:rsid w:val="00AC2993"/>
    <w:rsid w:val="00AD2C6C"/>
    <w:rsid w:val="00AE3173"/>
    <w:rsid w:val="00AF2B15"/>
    <w:rsid w:val="00AF2CD6"/>
    <w:rsid w:val="00B30D2F"/>
    <w:rsid w:val="00B470F1"/>
    <w:rsid w:val="00B93A3C"/>
    <w:rsid w:val="00BA7076"/>
    <w:rsid w:val="00BC6B80"/>
    <w:rsid w:val="00BF6138"/>
    <w:rsid w:val="00BF7FE3"/>
    <w:rsid w:val="00C1150F"/>
    <w:rsid w:val="00C32919"/>
    <w:rsid w:val="00C642AF"/>
    <w:rsid w:val="00C658A6"/>
    <w:rsid w:val="00C765C7"/>
    <w:rsid w:val="00C84759"/>
    <w:rsid w:val="00C90E31"/>
    <w:rsid w:val="00C952A4"/>
    <w:rsid w:val="00CA601D"/>
    <w:rsid w:val="00CC3269"/>
    <w:rsid w:val="00CD2D08"/>
    <w:rsid w:val="00CE1DE5"/>
    <w:rsid w:val="00D17D02"/>
    <w:rsid w:val="00D31A46"/>
    <w:rsid w:val="00D36508"/>
    <w:rsid w:val="00D57B91"/>
    <w:rsid w:val="00D72E22"/>
    <w:rsid w:val="00D77146"/>
    <w:rsid w:val="00D823AF"/>
    <w:rsid w:val="00D87D3D"/>
    <w:rsid w:val="00DA11C2"/>
    <w:rsid w:val="00DB074F"/>
    <w:rsid w:val="00DB2902"/>
    <w:rsid w:val="00DB7436"/>
    <w:rsid w:val="00DB743E"/>
    <w:rsid w:val="00DD2786"/>
    <w:rsid w:val="00DE0E35"/>
    <w:rsid w:val="00DE757F"/>
    <w:rsid w:val="00DF44AC"/>
    <w:rsid w:val="00DF76C9"/>
    <w:rsid w:val="00E2529E"/>
    <w:rsid w:val="00E2725D"/>
    <w:rsid w:val="00E33A0E"/>
    <w:rsid w:val="00E346FE"/>
    <w:rsid w:val="00E36906"/>
    <w:rsid w:val="00E604CF"/>
    <w:rsid w:val="00E733E7"/>
    <w:rsid w:val="00E964FD"/>
    <w:rsid w:val="00ED4D5E"/>
    <w:rsid w:val="00F006B2"/>
    <w:rsid w:val="00F03606"/>
    <w:rsid w:val="00F21236"/>
    <w:rsid w:val="00F31804"/>
    <w:rsid w:val="00F43DFA"/>
    <w:rsid w:val="00F51CB8"/>
    <w:rsid w:val="00F74216"/>
    <w:rsid w:val="00F87670"/>
    <w:rsid w:val="00F90609"/>
    <w:rsid w:val="00FA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AF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642AF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642AF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642AF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642AF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642AF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642AF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642AF"/>
    <w:pPr>
      <w:pBdr>
        <w:top w:val="single" w:sz="6" w:space="1" w:color="000000"/>
        <w:between w:val="single" w:sz="6" w:space="1" w:color="auto"/>
      </w:pBdr>
      <w:spacing w:before="240"/>
      <w:ind w:left="1720"/>
    </w:pPr>
    <w:rPr>
      <w:szCs w:val="20"/>
    </w:rPr>
  </w:style>
  <w:style w:type="paragraph" w:styleId="BlockText">
    <w:name w:val="Block Text"/>
    <w:basedOn w:val="Normal"/>
    <w:rsid w:val="00C642AF"/>
  </w:style>
  <w:style w:type="paragraph" w:customStyle="1" w:styleId="BulletText1">
    <w:name w:val="Bullet Text 1"/>
    <w:basedOn w:val="Normal"/>
    <w:rsid w:val="00C642AF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642AF"/>
    <w:pPr>
      <w:pBdr>
        <w:top w:val="single" w:sz="6" w:space="1" w:color="000000"/>
        <w:between w:val="single" w:sz="6" w:space="1" w:color="auto"/>
      </w:pBdr>
      <w:spacing w:before="240"/>
      <w:ind w:left="1720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642AF"/>
    <w:rPr>
      <w:szCs w:val="20"/>
    </w:rPr>
  </w:style>
  <w:style w:type="paragraph" w:customStyle="1" w:styleId="TableHeaderText">
    <w:name w:val="Table Header Text"/>
    <w:basedOn w:val="Normal"/>
    <w:rsid w:val="00C642AF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642AF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642AF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642AF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642AF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642AF"/>
  </w:style>
  <w:style w:type="paragraph" w:styleId="Footer">
    <w:name w:val="footer"/>
    <w:basedOn w:val="Normal"/>
    <w:link w:val="FooterChar"/>
    <w:uiPriority w:val="99"/>
    <w:rsid w:val="00C642AF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uiPriority w:val="99"/>
    <w:rsid w:val="00C642AF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customStyle="1" w:styleId="Heading1Char">
    <w:name w:val="Heading 1 Char"/>
    <w:aliases w:val="Part Title Char"/>
    <w:basedOn w:val="DefaultParagraphFont"/>
    <w:link w:val="Heading1"/>
    <w:rsid w:val="00C642AF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642AF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642AF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642AF"/>
    <w:rPr>
      <w:rFonts w:eastAsia="Times New Roman"/>
      <w:b/>
      <w:i/>
      <w:color w:val="000000"/>
      <w:sz w:val="22"/>
    </w:rPr>
  </w:style>
  <w:style w:type="paragraph" w:styleId="BalloonText">
    <w:name w:val="Balloon Text"/>
    <w:basedOn w:val="Normal"/>
    <w:link w:val="BalloonTextChar"/>
    <w:semiHidden/>
    <w:rsid w:val="00C6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642AF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rsid w:val="00C642AF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642AF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642AF"/>
    <w:rPr>
      <w:szCs w:val="20"/>
    </w:rPr>
  </w:style>
  <w:style w:type="character" w:styleId="HTMLAcronym">
    <w:name w:val="HTML Acronym"/>
    <w:basedOn w:val="DefaultParagraphFont"/>
    <w:rsid w:val="00C642AF"/>
  </w:style>
  <w:style w:type="paragraph" w:customStyle="1" w:styleId="IMTOC">
    <w:name w:val="IMTOC"/>
    <w:rsid w:val="00C642AF"/>
    <w:rPr>
      <w:rFonts w:eastAsia="Times New Roman"/>
      <w:sz w:val="24"/>
    </w:rPr>
  </w:style>
  <w:style w:type="paragraph" w:customStyle="1" w:styleId="NoteText">
    <w:name w:val="Note Text"/>
    <w:basedOn w:val="Normal"/>
    <w:rsid w:val="00C642AF"/>
    <w:rPr>
      <w:szCs w:val="20"/>
    </w:rPr>
  </w:style>
  <w:style w:type="paragraph" w:customStyle="1" w:styleId="PublicationTitle">
    <w:name w:val="Publication Title"/>
    <w:basedOn w:val="Normal"/>
    <w:next w:val="Heading4"/>
    <w:rsid w:val="00C642AF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642A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642AF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642AF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642AF"/>
    <w:rPr>
      <w:szCs w:val="20"/>
    </w:rPr>
  </w:style>
  <w:style w:type="paragraph" w:styleId="Header">
    <w:name w:val="header"/>
    <w:basedOn w:val="Normal"/>
    <w:link w:val="HeaderChar"/>
    <w:rsid w:val="00C642AF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642AF"/>
    <w:rPr>
      <w:rFonts w:eastAsia="Times New Roman"/>
      <w:sz w:val="24"/>
      <w:szCs w:val="24"/>
    </w:rPr>
  </w:style>
  <w:style w:type="character" w:styleId="FollowedHyperlink">
    <w:name w:val="FollowedHyperlink"/>
    <w:rsid w:val="00C642AF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642AF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642AF"/>
    <w:pPr>
      <w:ind w:left="720"/>
    </w:pPr>
  </w:style>
  <w:style w:type="character" w:customStyle="1" w:styleId="referencecode1">
    <w:name w:val="referencecode1"/>
    <w:basedOn w:val="DefaultParagraphFont"/>
    <w:rsid w:val="00B470F1"/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vbaw.vba.va.gov/bl/21/Systems/awards.htm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1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C3A49C1CDA34C8A8DBFD75C1DD13C" ma:contentTypeVersion="0" ma:contentTypeDescription="Create a new document." ma:contentTypeScope="" ma:versionID="1bee4ecabd05a40697f011d3a31da575">
  <xsd:schema xmlns:xsd="http://www.w3.org/2001/XMLSchema" xmlns:p="http://schemas.microsoft.com/office/2006/metadata/properties" targetNamespace="http://schemas.microsoft.com/office/2006/metadata/properties" ma:root="true" ma:fieldsID="46a794065921c4818d40ff1823962b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7B0E5C3-A606-4E28-86F8-925CC17CA5BD}"/>
</file>

<file path=customXml/itemProps2.xml><?xml version="1.0" encoding="utf-8"?>
<ds:datastoreItem xmlns:ds="http://schemas.openxmlformats.org/officeDocument/2006/customXml" ds:itemID="{25F55FE2-175B-4D19-B4BB-51FFB039E27D}"/>
</file>

<file path=customXml/itemProps3.xml><?xml version="1.0" encoding="utf-8"?>
<ds:datastoreItem xmlns:ds="http://schemas.openxmlformats.org/officeDocument/2006/customXml" ds:itemID="{1FE47C57-BFF0-4638-8115-702A0BC91A4C}"/>
</file>

<file path=customXml/itemProps4.xml><?xml version="1.0" encoding="utf-8"?>
<ds:datastoreItem xmlns:ds="http://schemas.openxmlformats.org/officeDocument/2006/customXml" ds:itemID="{A1A9CFD9-3967-4D1E-93B4-FA40BC23C79F}"/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5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7102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capjpier</dc:creator>
  <cp:keywords/>
  <dc:description/>
  <cp:lastModifiedBy>capjpier</cp:lastModifiedBy>
  <cp:revision>6</cp:revision>
  <dcterms:created xsi:type="dcterms:W3CDTF">2011-12-12T21:11:00Z</dcterms:created>
  <dcterms:modified xsi:type="dcterms:W3CDTF">2011-12-19T18:01:00Z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0x01010087CC3A49C1CDA34C8A8DBFD75C1DD13C</vt:lpwstr>
  </property>
</Properties>
</file>