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15CD2" w14:textId="77777777" w:rsidR="00307CD4" w:rsidRPr="006433A4" w:rsidRDefault="00307CD4" w:rsidP="00CC310E">
      <w:pPr>
        <w:pStyle w:val="Heading2"/>
      </w:pPr>
      <w:r w:rsidRPr="006433A4">
        <w:t>Section B.  Forfeiture Discontinuance Provisions</w:t>
      </w:r>
    </w:p>
    <w:p w14:paraId="2B415CD3" w14:textId="77777777" w:rsidR="00307CD4" w:rsidRPr="006433A4" w:rsidRDefault="00307CD4">
      <w:pPr>
        <w:pStyle w:val="Heading4"/>
      </w:pPr>
      <w:r w:rsidRPr="006433A4">
        <w:fldChar w:fldCharType="begin"/>
      </w:r>
      <w:r w:rsidRPr="006433A4">
        <w:instrText xml:space="preserve"> PRIVATE INFOTYPE="OTHER" </w:instrText>
      </w:r>
      <w:r w:rsidRPr="006433A4">
        <w:fldChar w:fldCharType="end"/>
      </w:r>
      <w:r w:rsidRPr="006433A4">
        <w:t>Overview</w:t>
      </w:r>
    </w:p>
    <w:p w14:paraId="2B415CD4" w14:textId="77777777" w:rsidR="00307CD4" w:rsidRPr="006433A4" w:rsidRDefault="00307CD4">
      <w:pPr>
        <w:pStyle w:val="BlockLine"/>
      </w:pPr>
    </w:p>
    <w:tbl>
      <w:tblPr>
        <w:tblW w:w="0" w:type="auto"/>
        <w:tblLayout w:type="fixed"/>
        <w:tblLook w:val="0000" w:firstRow="0" w:lastRow="0" w:firstColumn="0" w:lastColumn="0" w:noHBand="0" w:noVBand="0"/>
      </w:tblPr>
      <w:tblGrid>
        <w:gridCol w:w="1728"/>
        <w:gridCol w:w="7740"/>
      </w:tblGrid>
      <w:tr w:rsidR="00307CD4" w:rsidRPr="006433A4" w14:paraId="2B415CD7" w14:textId="77777777">
        <w:trPr>
          <w:cantSplit/>
        </w:trPr>
        <w:tc>
          <w:tcPr>
            <w:tcW w:w="1728" w:type="dxa"/>
          </w:tcPr>
          <w:p w14:paraId="2B415CD5" w14:textId="77777777" w:rsidR="00307CD4" w:rsidRPr="006433A4" w:rsidRDefault="00307CD4">
            <w:pPr>
              <w:pStyle w:val="Heading5"/>
            </w:pPr>
            <w:r w:rsidRPr="006433A4">
              <w:t xml:space="preserve">In </w:t>
            </w:r>
            <w:r w:rsidR="009E00E5" w:rsidRPr="006433A4">
              <w:t>T</w:t>
            </w:r>
            <w:r w:rsidRPr="006433A4">
              <w:t>his Section</w:t>
            </w:r>
          </w:p>
        </w:tc>
        <w:tc>
          <w:tcPr>
            <w:tcW w:w="7740" w:type="dxa"/>
          </w:tcPr>
          <w:p w14:paraId="2B415CD6" w14:textId="2E5B8E03" w:rsidR="00307CD4" w:rsidRPr="006433A4" w:rsidRDefault="00307CD4">
            <w:pPr>
              <w:pStyle w:val="BlockText"/>
            </w:pPr>
            <w:r w:rsidRPr="006433A4">
              <w:t>This section contains the following topics</w:t>
            </w:r>
            <w:r w:rsidR="00272A45" w:rsidRPr="006433A4">
              <w:t>:</w:t>
            </w:r>
            <w:r w:rsidRPr="006433A4">
              <w:t xml:space="preserve"> </w:t>
            </w:r>
          </w:p>
        </w:tc>
      </w:tr>
    </w:tbl>
    <w:p w14:paraId="2B415CD8" w14:textId="77777777" w:rsidR="00307CD4" w:rsidRPr="006433A4" w:rsidRDefault="00307CD4"/>
    <w:tbl>
      <w:tblPr>
        <w:tblW w:w="7550" w:type="dxa"/>
        <w:tblInd w:w="1800" w:type="dxa"/>
        <w:tblLayout w:type="fixed"/>
        <w:tblCellMar>
          <w:left w:w="80" w:type="dxa"/>
          <w:right w:w="80" w:type="dxa"/>
        </w:tblCellMar>
        <w:tblLook w:val="0000" w:firstRow="0" w:lastRow="0" w:firstColumn="0" w:lastColumn="0" w:noHBand="0" w:noVBand="0"/>
      </w:tblPr>
      <w:tblGrid>
        <w:gridCol w:w="1296"/>
        <w:gridCol w:w="6254"/>
      </w:tblGrid>
      <w:tr w:rsidR="009E00E5" w:rsidRPr="006433A4" w14:paraId="2B415CDB" w14:textId="77777777" w:rsidTr="00112CB7">
        <w:trPr>
          <w:cantSplit/>
        </w:trPr>
        <w:tc>
          <w:tcPr>
            <w:tcW w:w="1296" w:type="dxa"/>
            <w:tcBorders>
              <w:top w:val="single" w:sz="6" w:space="0" w:color="auto"/>
              <w:left w:val="single" w:sz="6" w:space="0" w:color="auto"/>
              <w:bottom w:val="single" w:sz="6" w:space="0" w:color="auto"/>
              <w:right w:val="single" w:sz="6" w:space="0" w:color="auto"/>
            </w:tcBorders>
          </w:tcPr>
          <w:p w14:paraId="2B415CD9" w14:textId="77777777" w:rsidR="009E00E5" w:rsidRPr="006433A4" w:rsidRDefault="009E00E5">
            <w:pPr>
              <w:pStyle w:val="TableHeaderText"/>
            </w:pPr>
            <w:r w:rsidRPr="006433A4">
              <w:t>Topic</w:t>
            </w:r>
          </w:p>
        </w:tc>
        <w:tc>
          <w:tcPr>
            <w:tcW w:w="6254" w:type="dxa"/>
            <w:tcBorders>
              <w:top w:val="single" w:sz="6" w:space="0" w:color="auto"/>
              <w:left w:val="single" w:sz="6" w:space="0" w:color="auto"/>
              <w:bottom w:val="single" w:sz="6" w:space="0" w:color="auto"/>
              <w:right w:val="single" w:sz="6" w:space="0" w:color="auto"/>
            </w:tcBorders>
          </w:tcPr>
          <w:p w14:paraId="2B415CDA" w14:textId="77777777" w:rsidR="009E00E5" w:rsidRPr="006433A4" w:rsidRDefault="009E00E5">
            <w:pPr>
              <w:pStyle w:val="TableHeaderText"/>
            </w:pPr>
            <w:r w:rsidRPr="006433A4">
              <w:t>Topic Name</w:t>
            </w:r>
          </w:p>
        </w:tc>
      </w:tr>
      <w:tr w:rsidR="009E00E5" w:rsidRPr="006433A4" w14:paraId="2B415CDE" w14:textId="77777777" w:rsidTr="00112CB7">
        <w:trPr>
          <w:cantSplit/>
        </w:trPr>
        <w:tc>
          <w:tcPr>
            <w:tcW w:w="1296" w:type="dxa"/>
            <w:tcBorders>
              <w:top w:val="single" w:sz="6" w:space="0" w:color="auto"/>
              <w:left w:val="single" w:sz="6" w:space="0" w:color="auto"/>
              <w:bottom w:val="single" w:sz="6" w:space="0" w:color="auto"/>
              <w:right w:val="single" w:sz="6" w:space="0" w:color="auto"/>
            </w:tcBorders>
          </w:tcPr>
          <w:p w14:paraId="2B415CDC" w14:textId="78569CB5" w:rsidR="009E00E5" w:rsidRPr="006433A4" w:rsidRDefault="009E00E5" w:rsidP="00272A45">
            <w:pPr>
              <w:pStyle w:val="TableText"/>
              <w:jc w:val="center"/>
            </w:pPr>
            <w:r w:rsidRPr="006433A4">
              <w:t>1</w:t>
            </w:r>
          </w:p>
        </w:tc>
        <w:tc>
          <w:tcPr>
            <w:tcW w:w="6254" w:type="dxa"/>
            <w:tcBorders>
              <w:top w:val="single" w:sz="6" w:space="0" w:color="auto"/>
              <w:left w:val="single" w:sz="6" w:space="0" w:color="auto"/>
              <w:bottom w:val="single" w:sz="6" w:space="0" w:color="auto"/>
              <w:right w:val="single" w:sz="6" w:space="0" w:color="auto"/>
            </w:tcBorders>
          </w:tcPr>
          <w:p w14:paraId="2B415CDD" w14:textId="77777777" w:rsidR="009E00E5" w:rsidRPr="006433A4" w:rsidRDefault="009E00E5">
            <w:pPr>
              <w:pStyle w:val="TableText"/>
            </w:pPr>
            <w:r w:rsidRPr="006433A4">
              <w:t>General Information on Forfeiture of Benefits</w:t>
            </w:r>
          </w:p>
        </w:tc>
      </w:tr>
      <w:tr w:rsidR="009E00E5" w:rsidRPr="006433A4" w14:paraId="2B415CE1" w14:textId="77777777" w:rsidTr="00112CB7">
        <w:trPr>
          <w:cantSplit/>
        </w:trPr>
        <w:tc>
          <w:tcPr>
            <w:tcW w:w="1296" w:type="dxa"/>
            <w:tcBorders>
              <w:top w:val="single" w:sz="6" w:space="0" w:color="auto"/>
              <w:left w:val="single" w:sz="6" w:space="0" w:color="auto"/>
              <w:bottom w:val="single" w:sz="6" w:space="0" w:color="auto"/>
              <w:right w:val="single" w:sz="6" w:space="0" w:color="auto"/>
            </w:tcBorders>
          </w:tcPr>
          <w:p w14:paraId="2B415CDF" w14:textId="2DC6C60A" w:rsidR="009E00E5" w:rsidRPr="006433A4" w:rsidRDefault="009E00E5" w:rsidP="00272A45">
            <w:pPr>
              <w:pStyle w:val="TableText"/>
              <w:jc w:val="center"/>
            </w:pPr>
            <w:r w:rsidRPr="006433A4">
              <w:t>2</w:t>
            </w:r>
          </w:p>
        </w:tc>
        <w:tc>
          <w:tcPr>
            <w:tcW w:w="6254" w:type="dxa"/>
            <w:tcBorders>
              <w:top w:val="single" w:sz="6" w:space="0" w:color="auto"/>
              <w:left w:val="single" w:sz="6" w:space="0" w:color="auto"/>
              <w:bottom w:val="single" w:sz="6" w:space="0" w:color="auto"/>
              <w:right w:val="single" w:sz="6" w:space="0" w:color="auto"/>
            </w:tcBorders>
          </w:tcPr>
          <w:p w14:paraId="2B415CE0" w14:textId="77777777" w:rsidR="009E00E5" w:rsidRPr="006433A4" w:rsidRDefault="009E00E5">
            <w:pPr>
              <w:pStyle w:val="TableText"/>
            </w:pPr>
            <w:r w:rsidRPr="006433A4">
              <w:t>Handling Forfeiture of Benefits</w:t>
            </w:r>
          </w:p>
        </w:tc>
      </w:tr>
    </w:tbl>
    <w:p w14:paraId="2B415CE2" w14:textId="77777777" w:rsidR="00307CD4" w:rsidRPr="006433A4" w:rsidRDefault="00307CD4">
      <w:pPr>
        <w:pStyle w:val="BlockLine"/>
      </w:pPr>
    </w:p>
    <w:p w14:paraId="2B415CE3" w14:textId="77777777" w:rsidR="00307CD4" w:rsidRPr="006433A4" w:rsidRDefault="00307CD4">
      <w:pPr>
        <w:pStyle w:val="Heading4"/>
      </w:pPr>
      <w:r w:rsidRPr="006433A4">
        <w:br w:type="page"/>
      </w:r>
      <w:r w:rsidR="00136F0B" w:rsidRPr="006433A4">
        <w:lastRenderedPageBreak/>
        <w:t>1</w:t>
      </w:r>
      <w:r w:rsidRPr="006433A4">
        <w:t>.  General Information on Forfeiture of Benefits</w:t>
      </w:r>
    </w:p>
    <w:p w14:paraId="2B415CE4" w14:textId="77777777" w:rsidR="00307CD4" w:rsidRPr="006433A4" w:rsidRDefault="00307CD4">
      <w:pPr>
        <w:pStyle w:val="BlockLine"/>
      </w:pPr>
      <w:r w:rsidRPr="006433A4">
        <w:fldChar w:fldCharType="begin"/>
      </w:r>
      <w:r w:rsidRPr="006433A4">
        <w:instrText xml:space="preserve"> PRIVATE INFOTYPE="OTHER" </w:instrText>
      </w:r>
      <w:r w:rsidRPr="006433A4">
        <w:fldChar w:fldCharType="end"/>
      </w:r>
    </w:p>
    <w:tbl>
      <w:tblPr>
        <w:tblW w:w="0" w:type="auto"/>
        <w:tblLayout w:type="fixed"/>
        <w:tblLook w:val="0000" w:firstRow="0" w:lastRow="0" w:firstColumn="0" w:lastColumn="0" w:noHBand="0" w:noVBand="0"/>
      </w:tblPr>
      <w:tblGrid>
        <w:gridCol w:w="1728"/>
        <w:gridCol w:w="7740"/>
      </w:tblGrid>
      <w:tr w:rsidR="00307CD4" w:rsidRPr="006433A4" w14:paraId="2B415CED" w14:textId="77777777">
        <w:trPr>
          <w:cantSplit/>
        </w:trPr>
        <w:tc>
          <w:tcPr>
            <w:tcW w:w="1728" w:type="dxa"/>
          </w:tcPr>
          <w:p w14:paraId="2B415CE5" w14:textId="77777777" w:rsidR="00307CD4" w:rsidRPr="006433A4" w:rsidRDefault="00307CD4">
            <w:pPr>
              <w:pStyle w:val="Heading5"/>
            </w:pPr>
            <w:r w:rsidRPr="006433A4">
              <w:t>Introduction</w:t>
            </w:r>
          </w:p>
        </w:tc>
        <w:tc>
          <w:tcPr>
            <w:tcW w:w="7740" w:type="dxa"/>
          </w:tcPr>
          <w:p w14:paraId="2B415CE6" w14:textId="77777777" w:rsidR="00307CD4" w:rsidRPr="006433A4" w:rsidRDefault="00307CD4">
            <w:pPr>
              <w:pStyle w:val="BlockText"/>
            </w:pPr>
            <w:r w:rsidRPr="006433A4">
              <w:t>This topic contains general information on forfeiture of benefits, including information on</w:t>
            </w:r>
          </w:p>
          <w:p w14:paraId="2B415CE7" w14:textId="77777777" w:rsidR="00307CD4" w:rsidRPr="006433A4" w:rsidRDefault="00307CD4">
            <w:pPr>
              <w:pStyle w:val="BlockText"/>
            </w:pPr>
          </w:p>
          <w:p w14:paraId="2B415CE8" w14:textId="77777777" w:rsidR="00307CD4" w:rsidRPr="006433A4" w:rsidRDefault="00307CD4" w:rsidP="00272A45">
            <w:pPr>
              <w:pStyle w:val="ListParagraph"/>
              <w:numPr>
                <w:ilvl w:val="0"/>
                <w:numId w:val="38"/>
              </w:numPr>
              <w:ind w:left="158" w:hanging="187"/>
            </w:pPr>
            <w:r w:rsidRPr="006433A4">
              <w:t>when forfeiture of benefits occurs</w:t>
            </w:r>
          </w:p>
          <w:p w14:paraId="2B415CE9" w14:textId="3DA831E5" w:rsidR="00307CD4" w:rsidRPr="006433A4" w:rsidRDefault="00307CD4" w:rsidP="00272A45">
            <w:pPr>
              <w:pStyle w:val="ListParagraph"/>
              <w:numPr>
                <w:ilvl w:val="0"/>
                <w:numId w:val="38"/>
              </w:numPr>
              <w:ind w:left="158" w:hanging="187"/>
            </w:pPr>
            <w:r w:rsidRPr="006433A4">
              <w:t xml:space="preserve">definition </w:t>
            </w:r>
            <w:r w:rsidR="009F5478" w:rsidRPr="006433A4">
              <w:t xml:space="preserve">of a </w:t>
            </w:r>
            <w:r w:rsidRPr="006433A4">
              <w:rPr>
                <w:b/>
                <w:i/>
              </w:rPr>
              <w:t>foreign case</w:t>
            </w:r>
          </w:p>
          <w:p w14:paraId="2B415CEA" w14:textId="77777777" w:rsidR="00307CD4" w:rsidRPr="006433A4" w:rsidRDefault="00307CD4" w:rsidP="00272A45">
            <w:pPr>
              <w:pStyle w:val="ListParagraph"/>
              <w:numPr>
                <w:ilvl w:val="0"/>
                <w:numId w:val="38"/>
              </w:numPr>
              <w:ind w:left="158" w:hanging="187"/>
            </w:pPr>
            <w:r w:rsidRPr="006433A4">
              <w:t>activities that result in the automatic forfeiture of benefits</w:t>
            </w:r>
          </w:p>
          <w:p w14:paraId="2B415CEB" w14:textId="77777777" w:rsidR="00307CD4" w:rsidRPr="006433A4" w:rsidRDefault="00307CD4" w:rsidP="00272A45">
            <w:pPr>
              <w:pStyle w:val="ListParagraph"/>
              <w:numPr>
                <w:ilvl w:val="0"/>
                <w:numId w:val="38"/>
              </w:numPr>
              <w:ind w:left="158" w:hanging="187"/>
            </w:pPr>
            <w:r w:rsidRPr="006433A4">
              <w:t>entitlement to benefits based on subsequent service, and</w:t>
            </w:r>
          </w:p>
          <w:p w14:paraId="2B415CEC" w14:textId="77777777" w:rsidR="00307CD4" w:rsidRPr="006433A4" w:rsidRDefault="00307CD4" w:rsidP="00272A45">
            <w:pPr>
              <w:pStyle w:val="ListParagraph"/>
              <w:numPr>
                <w:ilvl w:val="0"/>
                <w:numId w:val="38"/>
              </w:numPr>
              <w:ind w:left="158" w:hanging="187"/>
            </w:pPr>
            <w:proofErr w:type="gramStart"/>
            <w:r w:rsidRPr="006433A4">
              <w:t>presidential</w:t>
            </w:r>
            <w:proofErr w:type="gramEnd"/>
            <w:r w:rsidRPr="006433A4">
              <w:t xml:space="preserve"> pardon petitions.</w:t>
            </w:r>
          </w:p>
        </w:tc>
      </w:tr>
    </w:tbl>
    <w:p w14:paraId="2B415CEE" w14:textId="77777777" w:rsidR="00307CD4" w:rsidRPr="006433A4" w:rsidRDefault="00307CD4">
      <w:pPr>
        <w:pStyle w:val="BlockLine"/>
      </w:pPr>
    </w:p>
    <w:tbl>
      <w:tblPr>
        <w:tblW w:w="0" w:type="auto"/>
        <w:tblLayout w:type="fixed"/>
        <w:tblLook w:val="0000" w:firstRow="0" w:lastRow="0" w:firstColumn="0" w:lastColumn="0" w:noHBand="0" w:noVBand="0"/>
      </w:tblPr>
      <w:tblGrid>
        <w:gridCol w:w="1728"/>
        <w:gridCol w:w="7740"/>
      </w:tblGrid>
      <w:tr w:rsidR="00307CD4" w:rsidRPr="006433A4" w14:paraId="2B415CF1" w14:textId="77777777">
        <w:trPr>
          <w:cantSplit/>
        </w:trPr>
        <w:tc>
          <w:tcPr>
            <w:tcW w:w="1728" w:type="dxa"/>
          </w:tcPr>
          <w:p w14:paraId="2B415CEF" w14:textId="77777777" w:rsidR="00307CD4" w:rsidRPr="006433A4" w:rsidRDefault="00307CD4">
            <w:pPr>
              <w:pStyle w:val="Heading5"/>
            </w:pPr>
            <w:r w:rsidRPr="006433A4">
              <w:t>Change Date</w:t>
            </w:r>
          </w:p>
        </w:tc>
        <w:tc>
          <w:tcPr>
            <w:tcW w:w="7740" w:type="dxa"/>
          </w:tcPr>
          <w:p w14:paraId="2B415CF0" w14:textId="788EE3DF" w:rsidR="00307CD4" w:rsidRPr="006433A4" w:rsidRDefault="00272A45">
            <w:pPr>
              <w:pStyle w:val="BlockText"/>
            </w:pPr>
            <w:r w:rsidRPr="006433A4">
              <w:t>September 24, 2015</w:t>
            </w:r>
          </w:p>
        </w:tc>
      </w:tr>
    </w:tbl>
    <w:p w14:paraId="2B415CF2" w14:textId="77777777" w:rsidR="00307CD4" w:rsidRPr="006433A4" w:rsidRDefault="00307CD4">
      <w:pPr>
        <w:pStyle w:val="BlockLine"/>
      </w:pPr>
    </w:p>
    <w:tbl>
      <w:tblPr>
        <w:tblW w:w="0" w:type="auto"/>
        <w:tblLayout w:type="fixed"/>
        <w:tblLook w:val="0000" w:firstRow="0" w:lastRow="0" w:firstColumn="0" w:lastColumn="0" w:noHBand="0" w:noVBand="0"/>
      </w:tblPr>
      <w:tblGrid>
        <w:gridCol w:w="1728"/>
        <w:gridCol w:w="7740"/>
      </w:tblGrid>
      <w:tr w:rsidR="00307CD4" w:rsidRPr="006433A4" w14:paraId="2B415CFC" w14:textId="77777777">
        <w:trPr>
          <w:cantSplit/>
        </w:trPr>
        <w:tc>
          <w:tcPr>
            <w:tcW w:w="1728" w:type="dxa"/>
          </w:tcPr>
          <w:p w14:paraId="2B415CF3" w14:textId="77777777" w:rsidR="00307CD4" w:rsidRPr="006433A4" w:rsidRDefault="00307CD4">
            <w:pPr>
              <w:pStyle w:val="Heading5"/>
            </w:pPr>
            <w:proofErr w:type="gramStart"/>
            <w:r w:rsidRPr="006433A4">
              <w:t>a.  When</w:t>
            </w:r>
            <w:proofErr w:type="gramEnd"/>
            <w:r w:rsidRPr="006433A4">
              <w:t xml:space="preserve"> Forfeiture of Benefits Occurs</w:t>
            </w:r>
          </w:p>
        </w:tc>
        <w:tc>
          <w:tcPr>
            <w:tcW w:w="7740" w:type="dxa"/>
          </w:tcPr>
          <w:p w14:paraId="2B415CF4" w14:textId="77777777" w:rsidR="00307CD4" w:rsidRPr="006433A4" w:rsidRDefault="00307CD4">
            <w:pPr>
              <w:pStyle w:val="BlockText"/>
            </w:pPr>
            <w:r w:rsidRPr="006433A4">
              <w:t xml:space="preserve">Forfeiture of benefits </w:t>
            </w:r>
            <w:r w:rsidR="007118FD" w:rsidRPr="006433A4">
              <w:t xml:space="preserve">may </w:t>
            </w:r>
            <w:r w:rsidRPr="006433A4">
              <w:t xml:space="preserve">be declared </w:t>
            </w:r>
            <w:r w:rsidRPr="006433A4">
              <w:rPr>
                <w:i/>
              </w:rPr>
              <w:t>after</w:t>
            </w:r>
            <w:r w:rsidRPr="006433A4">
              <w:t xml:space="preserve"> September 1, 1959, for fraud or treasonable acts </w:t>
            </w:r>
            <w:r w:rsidRPr="006433A4">
              <w:rPr>
                <w:b/>
                <w:i/>
              </w:rPr>
              <w:t>only</w:t>
            </w:r>
            <w:r w:rsidRPr="006433A4">
              <w:t xml:space="preserve"> in</w:t>
            </w:r>
          </w:p>
          <w:p w14:paraId="2B415CF5" w14:textId="77777777" w:rsidR="00307CD4" w:rsidRPr="006433A4" w:rsidRDefault="00307CD4">
            <w:pPr>
              <w:pStyle w:val="BlockText"/>
            </w:pPr>
          </w:p>
          <w:p w14:paraId="2B415CF6" w14:textId="77777777" w:rsidR="00307CD4" w:rsidRPr="006433A4" w:rsidRDefault="00307CD4" w:rsidP="003A5863">
            <w:pPr>
              <w:numPr>
                <w:ilvl w:val="0"/>
                <w:numId w:val="4"/>
              </w:numPr>
              <w:ind w:left="158" w:hanging="187"/>
            </w:pPr>
            <w:r w:rsidRPr="006433A4">
              <w:t xml:space="preserve">foreign cases, or </w:t>
            </w:r>
          </w:p>
          <w:p w14:paraId="2B415CF7" w14:textId="77777777" w:rsidR="00307CD4" w:rsidRPr="006433A4" w:rsidRDefault="00307CD4" w:rsidP="003A5863">
            <w:pPr>
              <w:numPr>
                <w:ilvl w:val="0"/>
                <w:numId w:val="4"/>
              </w:numPr>
              <w:ind w:left="158" w:hanging="187"/>
            </w:pPr>
            <w:proofErr w:type="gramStart"/>
            <w:r w:rsidRPr="006433A4">
              <w:t>cases</w:t>
            </w:r>
            <w:proofErr w:type="gramEnd"/>
            <w:r w:rsidRPr="006433A4">
              <w:t xml:space="preserve"> in which the act was committed in the Republic of the Philippines. </w:t>
            </w:r>
          </w:p>
          <w:p w14:paraId="2B415CF8" w14:textId="77777777" w:rsidR="00307CD4" w:rsidRPr="006433A4" w:rsidRDefault="00307CD4">
            <w:pPr>
              <w:pStyle w:val="BlockText"/>
            </w:pPr>
          </w:p>
          <w:p w14:paraId="2B415CF9" w14:textId="77777777" w:rsidR="00307CD4" w:rsidRPr="006433A4" w:rsidRDefault="00307CD4">
            <w:pPr>
              <w:pStyle w:val="BlockText"/>
            </w:pPr>
            <w:r w:rsidRPr="006433A4">
              <w:rPr>
                <w:b/>
                <w:i/>
              </w:rPr>
              <w:t>Reference</w:t>
            </w:r>
            <w:r w:rsidRPr="006433A4">
              <w:t>:  For more information on fraud and treasonable acts, see</w:t>
            </w:r>
          </w:p>
          <w:p w14:paraId="2B415CFA" w14:textId="77777777" w:rsidR="00307CD4" w:rsidRPr="006433A4" w:rsidRDefault="006433A4" w:rsidP="003A5863">
            <w:pPr>
              <w:numPr>
                <w:ilvl w:val="0"/>
                <w:numId w:val="5"/>
              </w:numPr>
              <w:ind w:left="158" w:hanging="187"/>
            </w:pPr>
            <w:hyperlink r:id="rId13" w:history="1">
              <w:r w:rsidR="00307CD4" w:rsidRPr="006433A4">
                <w:rPr>
                  <w:rStyle w:val="Hyperlink"/>
                </w:rPr>
                <w:t>38 CFR 3.901</w:t>
              </w:r>
            </w:hyperlink>
            <w:r w:rsidR="00307CD4" w:rsidRPr="006433A4">
              <w:t xml:space="preserve">, and </w:t>
            </w:r>
          </w:p>
          <w:p w14:paraId="2B415CFB" w14:textId="77777777" w:rsidR="00307CD4" w:rsidRPr="006433A4" w:rsidRDefault="006433A4" w:rsidP="003A5863">
            <w:pPr>
              <w:numPr>
                <w:ilvl w:val="0"/>
                <w:numId w:val="5"/>
              </w:numPr>
              <w:ind w:left="158" w:hanging="187"/>
            </w:pPr>
            <w:hyperlink r:id="rId14" w:history="1">
              <w:r w:rsidR="00307CD4" w:rsidRPr="006433A4">
                <w:rPr>
                  <w:rStyle w:val="Hyperlink"/>
                </w:rPr>
                <w:t>38 CFR 3.902</w:t>
              </w:r>
            </w:hyperlink>
            <w:r w:rsidR="00307CD4" w:rsidRPr="006433A4">
              <w:t>.</w:t>
            </w:r>
          </w:p>
        </w:tc>
      </w:tr>
    </w:tbl>
    <w:p w14:paraId="2B415CFD" w14:textId="77777777" w:rsidR="00307CD4" w:rsidRPr="006433A4" w:rsidRDefault="00307CD4">
      <w:pPr>
        <w:pStyle w:val="BlockLine"/>
      </w:pPr>
      <w:r w:rsidRPr="006433A4">
        <w:t xml:space="preserve"> </w:t>
      </w:r>
    </w:p>
    <w:tbl>
      <w:tblPr>
        <w:tblW w:w="0" w:type="auto"/>
        <w:tblLayout w:type="fixed"/>
        <w:tblLook w:val="0000" w:firstRow="0" w:lastRow="0" w:firstColumn="0" w:lastColumn="0" w:noHBand="0" w:noVBand="0"/>
      </w:tblPr>
      <w:tblGrid>
        <w:gridCol w:w="1728"/>
        <w:gridCol w:w="7740"/>
      </w:tblGrid>
      <w:tr w:rsidR="00307CD4" w:rsidRPr="006433A4" w14:paraId="2B415D05" w14:textId="77777777">
        <w:trPr>
          <w:cantSplit/>
        </w:trPr>
        <w:tc>
          <w:tcPr>
            <w:tcW w:w="1728" w:type="dxa"/>
          </w:tcPr>
          <w:p w14:paraId="2B415CFE" w14:textId="77777777" w:rsidR="00307CD4" w:rsidRPr="006433A4" w:rsidRDefault="00307CD4">
            <w:pPr>
              <w:pStyle w:val="Heading5"/>
            </w:pPr>
            <w:proofErr w:type="gramStart"/>
            <w:r w:rsidRPr="006433A4">
              <w:t>b.  Definition</w:t>
            </w:r>
            <w:proofErr w:type="gramEnd"/>
            <w:r w:rsidRPr="006433A4">
              <w:t>: Foreign Case</w:t>
            </w:r>
          </w:p>
        </w:tc>
        <w:tc>
          <w:tcPr>
            <w:tcW w:w="7740" w:type="dxa"/>
          </w:tcPr>
          <w:p w14:paraId="2B415CFF" w14:textId="77777777" w:rsidR="00307CD4" w:rsidRPr="006433A4" w:rsidRDefault="00307CD4">
            <w:pPr>
              <w:pStyle w:val="BlockText"/>
            </w:pPr>
            <w:r w:rsidRPr="006433A4">
              <w:t xml:space="preserve">A </w:t>
            </w:r>
            <w:r w:rsidRPr="006433A4">
              <w:rPr>
                <w:b/>
                <w:i/>
              </w:rPr>
              <w:t>foreign case</w:t>
            </w:r>
            <w:r w:rsidRPr="006433A4">
              <w:t xml:space="preserve"> is a case in which the beneficiary </w:t>
            </w:r>
          </w:p>
          <w:p w14:paraId="2B415D00" w14:textId="77777777" w:rsidR="00307CD4" w:rsidRPr="006433A4" w:rsidRDefault="00307CD4">
            <w:pPr>
              <w:pStyle w:val="BlockText"/>
            </w:pPr>
          </w:p>
          <w:p w14:paraId="2B415D01" w14:textId="77777777" w:rsidR="00307CD4" w:rsidRPr="006433A4" w:rsidRDefault="004512AB" w:rsidP="003A5863">
            <w:pPr>
              <w:numPr>
                <w:ilvl w:val="0"/>
                <w:numId w:val="6"/>
              </w:numPr>
              <w:ind w:left="158" w:hanging="187"/>
            </w:pPr>
            <w:r w:rsidRPr="006433A4">
              <w:t>was</w:t>
            </w:r>
            <w:r w:rsidRPr="006433A4">
              <w:rPr>
                <w:b/>
                <w:i/>
              </w:rPr>
              <w:t xml:space="preserve"> </w:t>
            </w:r>
            <w:r w:rsidR="00307CD4" w:rsidRPr="006433A4">
              <w:rPr>
                <w:b/>
                <w:i/>
              </w:rPr>
              <w:t>not</w:t>
            </w:r>
            <w:r w:rsidR="00307CD4" w:rsidRPr="006433A4">
              <w:t xml:space="preserve"> residing in a State when the fraudulent or treasonable act or acts occurred, or</w:t>
            </w:r>
          </w:p>
          <w:p w14:paraId="2B415D02" w14:textId="77777777" w:rsidR="00307CD4" w:rsidRPr="006433A4" w:rsidRDefault="00307CD4" w:rsidP="003A5863">
            <w:pPr>
              <w:numPr>
                <w:ilvl w:val="0"/>
                <w:numId w:val="6"/>
              </w:numPr>
              <w:ind w:left="158" w:hanging="187"/>
            </w:pPr>
            <w:proofErr w:type="gramStart"/>
            <w:r w:rsidRPr="006433A4">
              <w:t>ceased</w:t>
            </w:r>
            <w:proofErr w:type="gramEnd"/>
            <w:r w:rsidRPr="006433A4">
              <w:t xml:space="preserve"> to be a resident of or domiciled in a State before the expiration of the period during which criminal prosecution could be instituted.</w:t>
            </w:r>
          </w:p>
          <w:p w14:paraId="2B415D03" w14:textId="77777777" w:rsidR="00307CD4" w:rsidRPr="006433A4" w:rsidRDefault="00307CD4">
            <w:pPr>
              <w:pStyle w:val="BlockText"/>
            </w:pPr>
          </w:p>
          <w:p w14:paraId="2B415D04" w14:textId="77777777" w:rsidR="00307CD4" w:rsidRPr="006433A4" w:rsidRDefault="00307CD4">
            <w:pPr>
              <w:pStyle w:val="BlockText"/>
            </w:pPr>
            <w:r w:rsidRPr="006433A4">
              <w:rPr>
                <w:b/>
                <w:bCs/>
                <w:i/>
                <w:iCs/>
              </w:rPr>
              <w:t>Note</w:t>
            </w:r>
            <w:r w:rsidRPr="006433A4">
              <w:t xml:space="preserve">:  </w:t>
            </w:r>
            <w:hyperlink r:id="rId15" w:history="1">
              <w:r w:rsidRPr="006433A4">
                <w:rPr>
                  <w:rStyle w:val="Hyperlink"/>
                </w:rPr>
                <w:t>38 CFR 3.1(i)</w:t>
              </w:r>
            </w:hyperlink>
            <w:r w:rsidRPr="006433A4">
              <w:t xml:space="preserve"> </w:t>
            </w:r>
            <w:proofErr w:type="gramStart"/>
            <w:r w:rsidRPr="006433A4">
              <w:t>defines</w:t>
            </w:r>
            <w:proofErr w:type="gramEnd"/>
            <w:r w:rsidRPr="006433A4">
              <w:t xml:space="preserve"> “State” for </w:t>
            </w:r>
            <w:r w:rsidR="004C733E" w:rsidRPr="006433A4">
              <w:t>Department of Veterans Affairs (</w:t>
            </w:r>
            <w:r w:rsidRPr="006433A4">
              <w:t>VA</w:t>
            </w:r>
            <w:r w:rsidR="004C733E" w:rsidRPr="006433A4">
              <w:t>)</w:t>
            </w:r>
            <w:r w:rsidRPr="006433A4">
              <w:t xml:space="preserve"> purposes.  </w:t>
            </w:r>
          </w:p>
        </w:tc>
      </w:tr>
    </w:tbl>
    <w:p w14:paraId="2B415D06" w14:textId="77777777" w:rsidR="00307CD4" w:rsidRPr="006433A4" w:rsidRDefault="00307CD4">
      <w:pPr>
        <w:pStyle w:val="BlockLine"/>
      </w:pPr>
    </w:p>
    <w:tbl>
      <w:tblPr>
        <w:tblW w:w="0" w:type="auto"/>
        <w:tblLayout w:type="fixed"/>
        <w:tblLook w:val="0000" w:firstRow="0" w:lastRow="0" w:firstColumn="0" w:lastColumn="0" w:noHBand="0" w:noVBand="0"/>
      </w:tblPr>
      <w:tblGrid>
        <w:gridCol w:w="1728"/>
        <w:gridCol w:w="7740"/>
      </w:tblGrid>
      <w:tr w:rsidR="00307CD4" w:rsidRPr="006433A4" w14:paraId="2B415D09" w14:textId="77777777">
        <w:trPr>
          <w:cantSplit/>
        </w:trPr>
        <w:tc>
          <w:tcPr>
            <w:tcW w:w="1728" w:type="dxa"/>
          </w:tcPr>
          <w:p w14:paraId="2B415D07" w14:textId="77777777" w:rsidR="00307CD4" w:rsidRPr="006433A4" w:rsidRDefault="00307CD4">
            <w:pPr>
              <w:pStyle w:val="Heading5"/>
            </w:pPr>
            <w:proofErr w:type="gramStart"/>
            <w:r w:rsidRPr="006433A4">
              <w:t>c.  Activities</w:t>
            </w:r>
            <w:proofErr w:type="gramEnd"/>
            <w:r w:rsidRPr="006433A4">
              <w:t xml:space="preserve"> That Result in the Automatic Forfeiture of Benefits</w:t>
            </w:r>
          </w:p>
        </w:tc>
        <w:tc>
          <w:tcPr>
            <w:tcW w:w="7740" w:type="dxa"/>
          </w:tcPr>
          <w:p w14:paraId="2B415D08" w14:textId="77777777" w:rsidR="00307CD4" w:rsidRPr="006433A4" w:rsidRDefault="00307CD4">
            <w:pPr>
              <w:pStyle w:val="BlockText"/>
            </w:pPr>
            <w:r w:rsidRPr="006433A4">
              <w:t>The table below shows the activities that would result in the automatic forfeiture of benefits depending on when the claim was filed.</w:t>
            </w:r>
          </w:p>
        </w:tc>
      </w:tr>
    </w:tbl>
    <w:p w14:paraId="2B415D0A" w14:textId="77777777" w:rsidR="00307CD4" w:rsidRPr="006433A4" w:rsidRDefault="00307CD4"/>
    <w:tbl>
      <w:tblPr>
        <w:tblW w:w="0" w:type="auto"/>
        <w:tblInd w:w="1829" w:type="dxa"/>
        <w:tblLayout w:type="fixed"/>
        <w:tblLook w:val="0000" w:firstRow="0" w:lastRow="0" w:firstColumn="0" w:lastColumn="0" w:noHBand="0" w:noVBand="0"/>
      </w:tblPr>
      <w:tblGrid>
        <w:gridCol w:w="3774"/>
        <w:gridCol w:w="3774"/>
      </w:tblGrid>
      <w:tr w:rsidR="00307CD4" w:rsidRPr="006433A4" w14:paraId="2B415D0D" w14:textId="77777777" w:rsidTr="007317C7">
        <w:trPr>
          <w:trHeight w:val="271"/>
        </w:trPr>
        <w:tc>
          <w:tcPr>
            <w:tcW w:w="3774" w:type="dxa"/>
            <w:tcBorders>
              <w:top w:val="single" w:sz="6" w:space="0" w:color="auto"/>
              <w:left w:val="single" w:sz="6" w:space="0" w:color="auto"/>
              <w:bottom w:val="single" w:sz="6" w:space="0" w:color="auto"/>
              <w:right w:val="single" w:sz="6" w:space="0" w:color="auto"/>
            </w:tcBorders>
          </w:tcPr>
          <w:p w14:paraId="2B415D0B" w14:textId="77777777" w:rsidR="00307CD4" w:rsidRPr="006433A4" w:rsidRDefault="00307CD4" w:rsidP="001B07F4">
            <w:pPr>
              <w:pStyle w:val="TableHeaderText"/>
              <w:jc w:val="left"/>
            </w:pPr>
            <w:r w:rsidRPr="006433A4">
              <w:t xml:space="preserve">If the claim was filed </w:t>
            </w:r>
            <w:r w:rsidR="001B07F4" w:rsidRPr="006433A4">
              <w:t>...</w:t>
            </w:r>
          </w:p>
        </w:tc>
        <w:tc>
          <w:tcPr>
            <w:tcW w:w="3774" w:type="dxa"/>
            <w:tcBorders>
              <w:top w:val="single" w:sz="6" w:space="0" w:color="auto"/>
              <w:bottom w:val="single" w:sz="6" w:space="0" w:color="auto"/>
              <w:right w:val="single" w:sz="6" w:space="0" w:color="auto"/>
            </w:tcBorders>
          </w:tcPr>
          <w:p w14:paraId="2B415D0C" w14:textId="77777777" w:rsidR="00307CD4" w:rsidRPr="006433A4" w:rsidRDefault="00307CD4" w:rsidP="001B07F4">
            <w:pPr>
              <w:pStyle w:val="TableHeaderText"/>
              <w:jc w:val="left"/>
            </w:pPr>
            <w:r w:rsidRPr="006433A4">
              <w:t xml:space="preserve">Then the beneficiary would forfeit benefits upon conviction of </w:t>
            </w:r>
            <w:r w:rsidR="001B07F4" w:rsidRPr="006433A4">
              <w:t>...</w:t>
            </w:r>
          </w:p>
        </w:tc>
      </w:tr>
      <w:tr w:rsidR="00307CD4" w:rsidRPr="006433A4" w14:paraId="2B415D10" w14:textId="77777777" w:rsidTr="007317C7">
        <w:trPr>
          <w:trHeight w:val="272"/>
        </w:trPr>
        <w:tc>
          <w:tcPr>
            <w:tcW w:w="3774" w:type="dxa"/>
            <w:tcBorders>
              <w:top w:val="single" w:sz="6" w:space="0" w:color="auto"/>
              <w:left w:val="single" w:sz="6" w:space="0" w:color="auto"/>
              <w:bottom w:val="single" w:sz="6" w:space="0" w:color="auto"/>
              <w:right w:val="single" w:sz="6" w:space="0" w:color="auto"/>
            </w:tcBorders>
          </w:tcPr>
          <w:p w14:paraId="2B415D0E" w14:textId="77777777" w:rsidR="00307CD4" w:rsidRPr="006433A4" w:rsidRDefault="00307CD4">
            <w:pPr>
              <w:pStyle w:val="TableText"/>
            </w:pPr>
            <w:r w:rsidRPr="006433A4">
              <w:rPr>
                <w:i/>
              </w:rPr>
              <w:t>before</w:t>
            </w:r>
            <w:r w:rsidRPr="006433A4">
              <w:t xml:space="preserve"> December 17, 2003</w:t>
            </w:r>
          </w:p>
        </w:tc>
        <w:tc>
          <w:tcPr>
            <w:tcW w:w="3774" w:type="dxa"/>
            <w:tcBorders>
              <w:top w:val="single" w:sz="6" w:space="0" w:color="auto"/>
              <w:bottom w:val="single" w:sz="6" w:space="0" w:color="auto"/>
              <w:right w:val="single" w:sz="6" w:space="0" w:color="auto"/>
            </w:tcBorders>
          </w:tcPr>
          <w:p w14:paraId="2B415D0F" w14:textId="77777777" w:rsidR="00307CD4" w:rsidRPr="006433A4" w:rsidRDefault="00307CD4">
            <w:pPr>
              <w:pStyle w:val="TableText"/>
            </w:pPr>
            <w:proofErr w:type="gramStart"/>
            <w:r w:rsidRPr="006433A4">
              <w:t>any</w:t>
            </w:r>
            <w:proofErr w:type="gramEnd"/>
            <w:r w:rsidRPr="006433A4">
              <w:t xml:space="preserve"> of the subversive activities specified in </w:t>
            </w:r>
            <w:hyperlink r:id="rId16" w:history="1">
              <w:r w:rsidRPr="006433A4">
                <w:rPr>
                  <w:rStyle w:val="Hyperlink"/>
                </w:rPr>
                <w:t xml:space="preserve">38 CFR 3.903(a)(1), (3), </w:t>
              </w:r>
              <w:r w:rsidRPr="006433A4">
                <w:rPr>
                  <w:rStyle w:val="Hyperlink"/>
                </w:rPr>
                <w:lastRenderedPageBreak/>
                <w:t>(4), or (5)</w:t>
              </w:r>
            </w:hyperlink>
            <w:r w:rsidRPr="006433A4">
              <w:t>.</w:t>
            </w:r>
          </w:p>
        </w:tc>
      </w:tr>
      <w:tr w:rsidR="00307CD4" w:rsidRPr="006433A4" w14:paraId="2B415D1A" w14:textId="77777777" w:rsidTr="007317C7">
        <w:trPr>
          <w:trHeight w:val="272"/>
        </w:trPr>
        <w:tc>
          <w:tcPr>
            <w:tcW w:w="3774" w:type="dxa"/>
            <w:tcBorders>
              <w:top w:val="single" w:sz="6" w:space="0" w:color="auto"/>
              <w:left w:val="single" w:sz="6" w:space="0" w:color="auto"/>
              <w:bottom w:val="single" w:sz="6" w:space="0" w:color="auto"/>
              <w:right w:val="single" w:sz="6" w:space="0" w:color="auto"/>
            </w:tcBorders>
          </w:tcPr>
          <w:p w14:paraId="2B415D11" w14:textId="77777777" w:rsidR="00307CD4" w:rsidRPr="006433A4" w:rsidRDefault="00307CD4">
            <w:pPr>
              <w:pStyle w:val="TableText"/>
            </w:pPr>
            <w:r w:rsidRPr="006433A4">
              <w:rPr>
                <w:i/>
              </w:rPr>
              <w:lastRenderedPageBreak/>
              <w:t>on or after</w:t>
            </w:r>
            <w:r w:rsidRPr="006433A4">
              <w:t xml:space="preserve"> December 17, 2003</w:t>
            </w:r>
          </w:p>
        </w:tc>
        <w:tc>
          <w:tcPr>
            <w:tcW w:w="3774" w:type="dxa"/>
            <w:tcBorders>
              <w:top w:val="single" w:sz="6" w:space="0" w:color="auto"/>
              <w:bottom w:val="single" w:sz="6" w:space="0" w:color="auto"/>
              <w:right w:val="single" w:sz="6" w:space="0" w:color="auto"/>
            </w:tcBorders>
          </w:tcPr>
          <w:p w14:paraId="2B415D12" w14:textId="77777777" w:rsidR="00307CD4" w:rsidRPr="006433A4" w:rsidRDefault="00307CD4" w:rsidP="003A5863">
            <w:pPr>
              <w:numPr>
                <w:ilvl w:val="0"/>
                <w:numId w:val="7"/>
              </w:numPr>
              <w:ind w:left="158" w:hanging="187"/>
            </w:pPr>
            <w:r w:rsidRPr="006433A4">
              <w:t xml:space="preserve">any of the subversive activities specified in </w:t>
            </w:r>
            <w:hyperlink r:id="rId17" w:history="1">
              <w:r w:rsidRPr="006433A4">
                <w:rPr>
                  <w:rStyle w:val="Hyperlink"/>
                </w:rPr>
                <w:t>38 CFR 3.903(a)(1), (2), (3), (4), or (5)</w:t>
              </w:r>
            </w:hyperlink>
          </w:p>
          <w:p w14:paraId="2B415D13" w14:textId="77777777" w:rsidR="00307CD4" w:rsidRPr="006433A4" w:rsidRDefault="00307CD4" w:rsidP="003A5863">
            <w:pPr>
              <w:numPr>
                <w:ilvl w:val="0"/>
                <w:numId w:val="7"/>
              </w:numPr>
              <w:ind w:left="158" w:hanging="187"/>
            </w:pPr>
            <w:r w:rsidRPr="006433A4">
              <w:t>prohibited activities involving</w:t>
            </w:r>
          </w:p>
          <w:p w14:paraId="2B415D14" w14:textId="77777777" w:rsidR="00307CD4" w:rsidRPr="006433A4" w:rsidRDefault="00307CD4" w:rsidP="003A5863">
            <w:pPr>
              <w:numPr>
                <w:ilvl w:val="0"/>
                <w:numId w:val="8"/>
              </w:numPr>
              <w:ind w:left="346" w:hanging="187"/>
            </w:pPr>
            <w:r w:rsidRPr="006433A4">
              <w:t>biological weapons</w:t>
            </w:r>
          </w:p>
          <w:p w14:paraId="2B415D15" w14:textId="77777777" w:rsidR="00307CD4" w:rsidRPr="006433A4" w:rsidRDefault="00307CD4" w:rsidP="003A5863">
            <w:pPr>
              <w:numPr>
                <w:ilvl w:val="0"/>
                <w:numId w:val="8"/>
              </w:numPr>
              <w:ind w:left="346" w:hanging="187"/>
            </w:pPr>
            <w:r w:rsidRPr="006433A4">
              <w:t>chemical weapons, or</w:t>
            </w:r>
          </w:p>
          <w:p w14:paraId="2B415D16" w14:textId="77777777" w:rsidR="00307CD4" w:rsidRPr="006433A4" w:rsidRDefault="00307CD4" w:rsidP="003A5863">
            <w:pPr>
              <w:numPr>
                <w:ilvl w:val="0"/>
                <w:numId w:val="8"/>
              </w:numPr>
              <w:ind w:left="346" w:hanging="187"/>
            </w:pPr>
            <w:r w:rsidRPr="006433A4">
              <w:t>nuclear materials</w:t>
            </w:r>
          </w:p>
          <w:p w14:paraId="2B415D17" w14:textId="77777777" w:rsidR="00307CD4" w:rsidRPr="006433A4" w:rsidRDefault="00307CD4" w:rsidP="003A5863">
            <w:pPr>
              <w:numPr>
                <w:ilvl w:val="0"/>
                <w:numId w:val="9"/>
              </w:numPr>
              <w:ind w:left="158" w:hanging="187"/>
            </w:pPr>
            <w:r w:rsidRPr="006433A4">
              <w:t>genocide</w:t>
            </w:r>
          </w:p>
          <w:p w14:paraId="2B415D18" w14:textId="77777777" w:rsidR="00307CD4" w:rsidRPr="006433A4" w:rsidRDefault="00307CD4" w:rsidP="003A5863">
            <w:pPr>
              <w:numPr>
                <w:ilvl w:val="0"/>
                <w:numId w:val="9"/>
              </w:numPr>
              <w:ind w:left="158" w:hanging="187"/>
            </w:pPr>
            <w:r w:rsidRPr="006433A4">
              <w:t>use of certain weapons of mass destruction, and</w:t>
            </w:r>
          </w:p>
          <w:p w14:paraId="2B415D19" w14:textId="77777777" w:rsidR="00307CD4" w:rsidRPr="006433A4" w:rsidRDefault="00307CD4" w:rsidP="003A5863">
            <w:pPr>
              <w:numPr>
                <w:ilvl w:val="0"/>
                <w:numId w:val="9"/>
              </w:numPr>
              <w:ind w:left="158" w:hanging="187"/>
            </w:pPr>
            <w:proofErr w:type="gramStart"/>
            <w:r w:rsidRPr="006433A4">
              <w:t>acts</w:t>
            </w:r>
            <w:proofErr w:type="gramEnd"/>
            <w:r w:rsidRPr="006433A4">
              <w:t xml:space="preserve"> of terrorism transcending national boundaries.</w:t>
            </w:r>
          </w:p>
        </w:tc>
      </w:tr>
    </w:tbl>
    <w:p w14:paraId="2B415D1B" w14:textId="77777777" w:rsidR="00307CD4" w:rsidRPr="006433A4" w:rsidRDefault="00307CD4">
      <w:pPr>
        <w:pStyle w:val="BlockLine"/>
      </w:pPr>
    </w:p>
    <w:tbl>
      <w:tblPr>
        <w:tblW w:w="0" w:type="auto"/>
        <w:tblLayout w:type="fixed"/>
        <w:tblLook w:val="0000" w:firstRow="0" w:lastRow="0" w:firstColumn="0" w:lastColumn="0" w:noHBand="0" w:noVBand="0"/>
      </w:tblPr>
      <w:tblGrid>
        <w:gridCol w:w="1728"/>
        <w:gridCol w:w="7740"/>
      </w:tblGrid>
      <w:tr w:rsidR="00307CD4" w:rsidRPr="006433A4" w14:paraId="2B415D22" w14:textId="77777777">
        <w:trPr>
          <w:cantSplit/>
        </w:trPr>
        <w:tc>
          <w:tcPr>
            <w:tcW w:w="1728" w:type="dxa"/>
          </w:tcPr>
          <w:p w14:paraId="2B415D1C" w14:textId="77777777" w:rsidR="00307CD4" w:rsidRPr="006433A4" w:rsidRDefault="00307CD4">
            <w:pPr>
              <w:pStyle w:val="Heading5"/>
            </w:pPr>
            <w:proofErr w:type="gramStart"/>
            <w:r w:rsidRPr="006433A4">
              <w:t>d.  Entitlement</w:t>
            </w:r>
            <w:proofErr w:type="gramEnd"/>
            <w:r w:rsidRPr="006433A4">
              <w:t xml:space="preserve"> to Benefits Based on Subsequent Service</w:t>
            </w:r>
          </w:p>
        </w:tc>
        <w:tc>
          <w:tcPr>
            <w:tcW w:w="7740" w:type="dxa"/>
          </w:tcPr>
          <w:p w14:paraId="2B415D1D" w14:textId="77777777" w:rsidR="00307CD4" w:rsidRPr="006433A4" w:rsidRDefault="00307CD4">
            <w:pPr>
              <w:pStyle w:val="BlockText"/>
            </w:pPr>
            <w:r w:rsidRPr="006433A4">
              <w:t xml:space="preserve">Forfeiture of benefits based on one period of service </w:t>
            </w:r>
            <w:r w:rsidRPr="006433A4">
              <w:rPr>
                <w:i/>
              </w:rPr>
              <w:t xml:space="preserve">does not </w:t>
            </w:r>
            <w:r w:rsidRPr="006433A4">
              <w:t xml:space="preserve">affect entitlement to benefits based on a period of service beginning </w:t>
            </w:r>
            <w:r w:rsidRPr="006433A4">
              <w:rPr>
                <w:b/>
                <w:i/>
              </w:rPr>
              <w:t>after</w:t>
            </w:r>
            <w:r w:rsidRPr="006433A4">
              <w:t xml:space="preserve"> the offense causing the forfeiture.  </w:t>
            </w:r>
          </w:p>
          <w:p w14:paraId="2B415D1E" w14:textId="77777777" w:rsidR="00307CD4" w:rsidRPr="006433A4" w:rsidRDefault="00307CD4">
            <w:pPr>
              <w:pStyle w:val="BlockText"/>
            </w:pPr>
          </w:p>
          <w:p w14:paraId="2B415D1F" w14:textId="77777777" w:rsidR="00307CD4" w:rsidRPr="006433A4" w:rsidRDefault="00307CD4">
            <w:pPr>
              <w:pStyle w:val="BlockText"/>
            </w:pPr>
            <w:r w:rsidRPr="006433A4">
              <w:rPr>
                <w:b/>
                <w:i/>
              </w:rPr>
              <w:t>Important</w:t>
            </w:r>
            <w:r w:rsidRPr="006433A4">
              <w:t xml:space="preserve">:  Process a claim of this type based on the nonforfeiture period of service </w:t>
            </w:r>
            <w:r w:rsidRPr="006433A4">
              <w:rPr>
                <w:i/>
              </w:rPr>
              <w:t>only</w:t>
            </w:r>
            <w:r w:rsidRPr="006433A4">
              <w:t xml:space="preserve">. </w:t>
            </w:r>
          </w:p>
          <w:p w14:paraId="2B415D20" w14:textId="77777777" w:rsidR="00307CD4" w:rsidRPr="006433A4" w:rsidRDefault="00307CD4">
            <w:pPr>
              <w:pStyle w:val="BlockText"/>
            </w:pPr>
          </w:p>
          <w:p w14:paraId="2B415D21" w14:textId="77777777" w:rsidR="00307CD4" w:rsidRPr="006433A4" w:rsidRDefault="00307CD4">
            <w:pPr>
              <w:pStyle w:val="BlockText"/>
            </w:pPr>
            <w:r w:rsidRPr="006433A4">
              <w:rPr>
                <w:b/>
                <w:i/>
              </w:rPr>
              <w:t>Reference</w:t>
            </w:r>
            <w:r w:rsidRPr="006433A4">
              <w:t xml:space="preserve">:  For information on forfeiture of benefits based on one period of service, see </w:t>
            </w:r>
            <w:hyperlink r:id="rId18" w:history="1">
              <w:r w:rsidRPr="006433A4">
                <w:rPr>
                  <w:rStyle w:val="Hyperlink"/>
                </w:rPr>
                <w:t>38 CFR 3.900(a)</w:t>
              </w:r>
            </w:hyperlink>
            <w:r w:rsidRPr="006433A4">
              <w:t>.</w:t>
            </w:r>
          </w:p>
        </w:tc>
      </w:tr>
    </w:tbl>
    <w:p w14:paraId="2B415D23" w14:textId="77777777" w:rsidR="00307CD4" w:rsidRPr="006433A4" w:rsidRDefault="00307CD4">
      <w:pPr>
        <w:pStyle w:val="BlockLine"/>
      </w:pPr>
    </w:p>
    <w:tbl>
      <w:tblPr>
        <w:tblW w:w="0" w:type="auto"/>
        <w:tblLayout w:type="fixed"/>
        <w:tblLook w:val="0000" w:firstRow="0" w:lastRow="0" w:firstColumn="0" w:lastColumn="0" w:noHBand="0" w:noVBand="0"/>
      </w:tblPr>
      <w:tblGrid>
        <w:gridCol w:w="1728"/>
        <w:gridCol w:w="7740"/>
      </w:tblGrid>
      <w:tr w:rsidR="00307CD4" w:rsidRPr="006433A4" w14:paraId="2B415D26" w14:textId="77777777">
        <w:trPr>
          <w:cantSplit/>
        </w:trPr>
        <w:tc>
          <w:tcPr>
            <w:tcW w:w="1728" w:type="dxa"/>
          </w:tcPr>
          <w:p w14:paraId="2B415D24" w14:textId="77777777" w:rsidR="00307CD4" w:rsidRPr="006433A4" w:rsidRDefault="00307CD4" w:rsidP="000C6698">
            <w:pPr>
              <w:pStyle w:val="Heading5"/>
            </w:pPr>
            <w:proofErr w:type="gramStart"/>
            <w:r w:rsidRPr="006433A4">
              <w:t>e.</w:t>
            </w:r>
            <w:r w:rsidR="000C6698" w:rsidRPr="006433A4">
              <w:t xml:space="preserve">  </w:t>
            </w:r>
            <w:r w:rsidRPr="006433A4">
              <w:t>Presidential</w:t>
            </w:r>
            <w:proofErr w:type="gramEnd"/>
            <w:r w:rsidRPr="006433A4">
              <w:t xml:space="preserve"> Pardon Petitions</w:t>
            </w:r>
          </w:p>
        </w:tc>
        <w:tc>
          <w:tcPr>
            <w:tcW w:w="7740" w:type="dxa"/>
          </w:tcPr>
          <w:p w14:paraId="4E7EF389" w14:textId="589ECC2B" w:rsidR="00307CD4" w:rsidRPr="006433A4" w:rsidRDefault="00307CD4">
            <w:pPr>
              <w:pStyle w:val="BlockText"/>
            </w:pPr>
            <w:r w:rsidRPr="006433A4">
              <w:t>Persons whose benefits have been forfeited may apply through the Department of Justice</w:t>
            </w:r>
            <w:r w:rsidR="006A50E3" w:rsidRPr="006433A4">
              <w:t xml:space="preserve"> (DOJ)</w:t>
            </w:r>
            <w:r w:rsidRPr="006433A4">
              <w:t xml:space="preserve"> for a pardon from the President of the United States.  </w:t>
            </w:r>
            <w:r w:rsidR="0071633D" w:rsidRPr="006433A4">
              <w:t xml:space="preserve"> </w:t>
            </w:r>
          </w:p>
          <w:p w14:paraId="7751B126" w14:textId="77777777" w:rsidR="004052EA" w:rsidRPr="006433A4" w:rsidRDefault="004052EA">
            <w:pPr>
              <w:pStyle w:val="BlockText"/>
            </w:pPr>
          </w:p>
          <w:p w14:paraId="1405EB9B" w14:textId="77777777" w:rsidR="004052EA" w:rsidRPr="006433A4" w:rsidRDefault="004052EA">
            <w:pPr>
              <w:pStyle w:val="BlockText"/>
            </w:pPr>
            <w:r w:rsidRPr="006433A4">
              <w:rPr>
                <w:b/>
                <w:i/>
              </w:rPr>
              <w:t>Important</w:t>
            </w:r>
            <w:r w:rsidRPr="006433A4">
              <w:t>:  The effective date of the resumption of benefits based on a presidential pardon (after discontinuation based on forfeiture) is the date of the pardon.</w:t>
            </w:r>
          </w:p>
          <w:p w14:paraId="370F1DC3" w14:textId="77777777" w:rsidR="004052EA" w:rsidRPr="006433A4" w:rsidRDefault="004052EA">
            <w:pPr>
              <w:pStyle w:val="BlockText"/>
            </w:pPr>
          </w:p>
          <w:p w14:paraId="1C880F79" w14:textId="14FACECF" w:rsidR="00475145" w:rsidRPr="006433A4" w:rsidRDefault="004052EA" w:rsidP="004052EA">
            <w:pPr>
              <w:pStyle w:val="BlockText"/>
            </w:pPr>
            <w:r w:rsidRPr="006433A4">
              <w:rPr>
                <w:b/>
                <w:i/>
              </w:rPr>
              <w:t>Reference</w:t>
            </w:r>
            <w:r w:rsidRPr="006433A4">
              <w:t xml:space="preserve">:  For more information on the resumption of benefits based on a presidential pardon, see </w:t>
            </w:r>
          </w:p>
          <w:p w14:paraId="4C885273" w14:textId="5AF0B386" w:rsidR="00475145" w:rsidRPr="006433A4" w:rsidRDefault="006433A4" w:rsidP="00475145">
            <w:pPr>
              <w:pStyle w:val="ListParagraph"/>
              <w:numPr>
                <w:ilvl w:val="0"/>
                <w:numId w:val="37"/>
              </w:numPr>
              <w:ind w:left="158" w:hanging="187"/>
            </w:pPr>
            <w:hyperlink r:id="rId19" w:history="1">
              <w:proofErr w:type="spellStart"/>
              <w:r w:rsidR="00475145" w:rsidRPr="006433A4">
                <w:rPr>
                  <w:rStyle w:val="Hyperlink"/>
                  <w:i/>
                </w:rPr>
                <w:t>Ricafort</w:t>
              </w:r>
              <w:proofErr w:type="spellEnd"/>
              <w:r w:rsidR="00475145" w:rsidRPr="006433A4">
                <w:rPr>
                  <w:rStyle w:val="Hyperlink"/>
                  <w:i/>
                </w:rPr>
                <w:t xml:space="preserve"> v. Nicholson</w:t>
              </w:r>
            </w:hyperlink>
            <w:r w:rsidR="00475145" w:rsidRPr="006433A4">
              <w:t xml:space="preserve">, 21 </w:t>
            </w:r>
            <w:proofErr w:type="spellStart"/>
            <w:r w:rsidR="00475145" w:rsidRPr="006433A4">
              <w:t>Vet.App</w:t>
            </w:r>
            <w:proofErr w:type="spellEnd"/>
            <w:proofErr w:type="gramStart"/>
            <w:r w:rsidR="00475145" w:rsidRPr="006433A4">
              <w:t xml:space="preserve">. </w:t>
            </w:r>
            <w:proofErr w:type="gramEnd"/>
            <w:r w:rsidR="00475145" w:rsidRPr="006433A4">
              <w:t>198 (2007), and</w:t>
            </w:r>
          </w:p>
          <w:p w14:paraId="2B415D25" w14:textId="7317B600" w:rsidR="004052EA" w:rsidRPr="006433A4" w:rsidRDefault="006433A4" w:rsidP="00475145">
            <w:pPr>
              <w:pStyle w:val="ListParagraph"/>
              <w:numPr>
                <w:ilvl w:val="0"/>
                <w:numId w:val="37"/>
              </w:numPr>
              <w:ind w:left="158" w:hanging="187"/>
            </w:pPr>
            <w:hyperlink r:id="rId20" w:history="1">
              <w:r w:rsidR="004052EA" w:rsidRPr="006433A4">
                <w:rPr>
                  <w:rStyle w:val="Hyperlink"/>
                </w:rPr>
                <w:t>38 CFR 3.669(d</w:t>
              </w:r>
              <w:proofErr w:type="gramStart"/>
              <w:r w:rsidR="004052EA" w:rsidRPr="006433A4">
                <w:rPr>
                  <w:rStyle w:val="Hyperlink"/>
                </w:rPr>
                <w:t>)(</w:t>
              </w:r>
              <w:proofErr w:type="gramEnd"/>
              <w:r w:rsidR="004052EA" w:rsidRPr="006433A4">
                <w:rPr>
                  <w:rStyle w:val="Hyperlink"/>
                </w:rPr>
                <w:t>1)</w:t>
              </w:r>
            </w:hyperlink>
            <w:r w:rsidR="00475145" w:rsidRPr="006433A4">
              <w:t>.</w:t>
            </w:r>
          </w:p>
        </w:tc>
      </w:tr>
    </w:tbl>
    <w:p w14:paraId="2B415D27" w14:textId="422C42E5" w:rsidR="00307CD4" w:rsidRPr="006433A4" w:rsidRDefault="00307CD4">
      <w:pPr>
        <w:pStyle w:val="BlockLine"/>
      </w:pPr>
    </w:p>
    <w:p w14:paraId="2B415D28" w14:textId="77777777" w:rsidR="00307CD4" w:rsidRPr="006433A4" w:rsidRDefault="00307CD4">
      <w:pPr>
        <w:pStyle w:val="Heading4"/>
      </w:pPr>
      <w:r w:rsidRPr="006433A4">
        <w:br w:type="page"/>
      </w:r>
      <w:r w:rsidR="00136F0B" w:rsidRPr="006433A4">
        <w:lastRenderedPageBreak/>
        <w:t>2</w:t>
      </w:r>
      <w:r w:rsidRPr="006433A4">
        <w:t>.  Handling Forfeiture of Benefits</w:t>
      </w:r>
    </w:p>
    <w:p w14:paraId="2B415D29" w14:textId="77777777" w:rsidR="00307CD4" w:rsidRPr="006433A4" w:rsidRDefault="00307CD4">
      <w:pPr>
        <w:pStyle w:val="BlockLine"/>
      </w:pPr>
      <w:r w:rsidRPr="006433A4">
        <w:fldChar w:fldCharType="begin"/>
      </w:r>
      <w:r w:rsidRPr="006433A4">
        <w:instrText xml:space="preserve"> PRIVATE INFOTYPE="OTHER" </w:instrText>
      </w:r>
      <w:r w:rsidRPr="006433A4">
        <w:fldChar w:fldCharType="end"/>
      </w:r>
    </w:p>
    <w:tbl>
      <w:tblPr>
        <w:tblW w:w="0" w:type="auto"/>
        <w:tblLayout w:type="fixed"/>
        <w:tblLook w:val="0000" w:firstRow="0" w:lastRow="0" w:firstColumn="0" w:lastColumn="0" w:noHBand="0" w:noVBand="0"/>
      </w:tblPr>
      <w:tblGrid>
        <w:gridCol w:w="1728"/>
        <w:gridCol w:w="7740"/>
      </w:tblGrid>
      <w:tr w:rsidR="00307CD4" w:rsidRPr="006433A4" w14:paraId="2B415D34" w14:textId="77777777">
        <w:trPr>
          <w:cantSplit/>
        </w:trPr>
        <w:tc>
          <w:tcPr>
            <w:tcW w:w="1728" w:type="dxa"/>
          </w:tcPr>
          <w:p w14:paraId="2B415D2A" w14:textId="77777777" w:rsidR="00307CD4" w:rsidRPr="006433A4" w:rsidRDefault="00307CD4">
            <w:pPr>
              <w:pStyle w:val="Heading5"/>
            </w:pPr>
            <w:r w:rsidRPr="006433A4">
              <w:t>Introduction</w:t>
            </w:r>
          </w:p>
        </w:tc>
        <w:tc>
          <w:tcPr>
            <w:tcW w:w="7740" w:type="dxa"/>
          </w:tcPr>
          <w:p w14:paraId="2B415D2B" w14:textId="77777777" w:rsidR="00307CD4" w:rsidRPr="006433A4" w:rsidRDefault="00307CD4">
            <w:pPr>
              <w:pStyle w:val="BlockText"/>
            </w:pPr>
            <w:r w:rsidRPr="006433A4">
              <w:t>This topic describes the process</w:t>
            </w:r>
            <w:r w:rsidR="006933F1" w:rsidRPr="006433A4">
              <w:t>es</w:t>
            </w:r>
            <w:r w:rsidRPr="006433A4">
              <w:t xml:space="preserve"> for handling forfeiture of benefits, including</w:t>
            </w:r>
          </w:p>
          <w:p w14:paraId="2B415D2C" w14:textId="77777777" w:rsidR="00307CD4" w:rsidRPr="006433A4" w:rsidRDefault="00307CD4">
            <w:pPr>
              <w:pStyle w:val="BlockText"/>
            </w:pPr>
          </w:p>
          <w:p w14:paraId="2B415D2D" w14:textId="77777777" w:rsidR="00307CD4" w:rsidRPr="006433A4" w:rsidRDefault="00307CD4" w:rsidP="00272A45">
            <w:pPr>
              <w:pStyle w:val="ListParagraph"/>
              <w:numPr>
                <w:ilvl w:val="0"/>
                <w:numId w:val="39"/>
              </w:numPr>
              <w:ind w:left="158" w:hanging="187"/>
            </w:pPr>
            <w:r w:rsidRPr="006433A4">
              <w:t>handling forfeiture of benefits based on fraud or treasonable acts</w:t>
            </w:r>
          </w:p>
          <w:p w14:paraId="2B415D2E" w14:textId="77777777" w:rsidR="00307CD4" w:rsidRPr="006433A4" w:rsidRDefault="00307CD4" w:rsidP="00272A45">
            <w:pPr>
              <w:pStyle w:val="ListParagraph"/>
              <w:numPr>
                <w:ilvl w:val="0"/>
                <w:numId w:val="39"/>
              </w:numPr>
              <w:ind w:left="158" w:hanging="187"/>
            </w:pPr>
            <w:r w:rsidRPr="006433A4">
              <w:t xml:space="preserve">submitting cases of forfeiture based on fraud or treasonable acts to Compensation </w:t>
            </w:r>
            <w:r w:rsidR="00401C69" w:rsidRPr="006433A4">
              <w:t xml:space="preserve">Service </w:t>
            </w:r>
            <w:r w:rsidRPr="006433A4">
              <w:t>and Pension</w:t>
            </w:r>
            <w:r w:rsidR="00401C69" w:rsidRPr="006433A4">
              <w:t xml:space="preserve"> and Fiduciary (P&amp;F) </w:t>
            </w:r>
            <w:r w:rsidRPr="006433A4">
              <w:t>Service</w:t>
            </w:r>
          </w:p>
          <w:p w14:paraId="2B415D2F" w14:textId="77777777" w:rsidR="00307CD4" w:rsidRPr="006433A4" w:rsidRDefault="00307CD4" w:rsidP="00272A45">
            <w:pPr>
              <w:pStyle w:val="ListParagraph"/>
              <w:numPr>
                <w:ilvl w:val="0"/>
                <w:numId w:val="39"/>
              </w:numPr>
              <w:ind w:left="158" w:hanging="187"/>
            </w:pPr>
            <w:r w:rsidRPr="006433A4">
              <w:t>handling forfeiture of benefits based on claimant’s subversive activity</w:t>
            </w:r>
            <w:r w:rsidR="00401C69" w:rsidRPr="006433A4">
              <w:t xml:space="preserve"> under </w:t>
            </w:r>
            <w:hyperlink r:id="rId21" w:history="1">
              <w:r w:rsidR="00401C69" w:rsidRPr="006433A4">
                <w:t>38 CFR 3.903</w:t>
              </w:r>
            </w:hyperlink>
          </w:p>
          <w:p w14:paraId="2B415D30" w14:textId="77777777" w:rsidR="00307CD4" w:rsidRPr="006433A4" w:rsidRDefault="00307CD4" w:rsidP="00272A45">
            <w:pPr>
              <w:pStyle w:val="ListParagraph"/>
              <w:numPr>
                <w:ilvl w:val="0"/>
                <w:numId w:val="39"/>
              </w:numPr>
              <w:ind w:left="158" w:hanging="187"/>
            </w:pPr>
            <w:r w:rsidRPr="006433A4">
              <w:t>handling the jurisdiction of the claims folder in cases invoking forfeiture</w:t>
            </w:r>
          </w:p>
          <w:p w14:paraId="2B415D31" w14:textId="77BFB3CA" w:rsidR="00307CD4" w:rsidRPr="006433A4" w:rsidRDefault="00307CD4" w:rsidP="00272A45">
            <w:pPr>
              <w:pStyle w:val="ListParagraph"/>
              <w:numPr>
                <w:ilvl w:val="0"/>
                <w:numId w:val="39"/>
              </w:numPr>
              <w:ind w:left="158" w:hanging="187"/>
            </w:pPr>
            <w:r w:rsidRPr="006433A4">
              <w:t>resuming payments in cases with non</w:t>
            </w:r>
            <w:r w:rsidR="00F24499" w:rsidRPr="006433A4">
              <w:t>-</w:t>
            </w:r>
            <w:r w:rsidRPr="006433A4">
              <w:t>forfeiture determinations</w:t>
            </w:r>
          </w:p>
          <w:p w14:paraId="2B415D32" w14:textId="77777777" w:rsidR="00307CD4" w:rsidRPr="006433A4" w:rsidRDefault="00307CD4" w:rsidP="00272A45">
            <w:pPr>
              <w:pStyle w:val="ListParagraph"/>
              <w:numPr>
                <w:ilvl w:val="0"/>
                <w:numId w:val="39"/>
              </w:numPr>
              <w:ind w:left="158" w:hanging="187"/>
            </w:pPr>
            <w:r w:rsidRPr="006433A4">
              <w:t>handling appeals of forfeiture decisions, and</w:t>
            </w:r>
          </w:p>
          <w:p w14:paraId="2B415D33" w14:textId="77777777" w:rsidR="00307CD4" w:rsidRPr="006433A4" w:rsidRDefault="00307CD4" w:rsidP="00272A45">
            <w:pPr>
              <w:pStyle w:val="ListParagraph"/>
              <w:numPr>
                <w:ilvl w:val="0"/>
                <w:numId w:val="39"/>
              </w:numPr>
              <w:ind w:left="158" w:hanging="187"/>
            </w:pPr>
            <w:proofErr w:type="gramStart"/>
            <w:r w:rsidRPr="006433A4">
              <w:t>processing</w:t>
            </w:r>
            <w:proofErr w:type="gramEnd"/>
            <w:r w:rsidRPr="006433A4">
              <w:t xml:space="preserve"> apportionments in forfeiture cases.</w:t>
            </w:r>
          </w:p>
        </w:tc>
      </w:tr>
    </w:tbl>
    <w:p w14:paraId="2B415D35" w14:textId="77777777" w:rsidR="00307CD4" w:rsidRPr="006433A4" w:rsidRDefault="00307CD4">
      <w:pPr>
        <w:pStyle w:val="BlockLine"/>
      </w:pPr>
    </w:p>
    <w:tbl>
      <w:tblPr>
        <w:tblW w:w="0" w:type="auto"/>
        <w:tblLayout w:type="fixed"/>
        <w:tblLook w:val="0000" w:firstRow="0" w:lastRow="0" w:firstColumn="0" w:lastColumn="0" w:noHBand="0" w:noVBand="0"/>
      </w:tblPr>
      <w:tblGrid>
        <w:gridCol w:w="1728"/>
        <w:gridCol w:w="7740"/>
      </w:tblGrid>
      <w:tr w:rsidR="00307CD4" w:rsidRPr="006433A4" w14:paraId="2B415D38" w14:textId="77777777">
        <w:trPr>
          <w:cantSplit/>
        </w:trPr>
        <w:tc>
          <w:tcPr>
            <w:tcW w:w="1728" w:type="dxa"/>
          </w:tcPr>
          <w:p w14:paraId="2B415D36" w14:textId="77777777" w:rsidR="00307CD4" w:rsidRPr="006433A4" w:rsidRDefault="00307CD4">
            <w:pPr>
              <w:pStyle w:val="Heading5"/>
            </w:pPr>
            <w:r w:rsidRPr="006433A4">
              <w:t>Change Date</w:t>
            </w:r>
          </w:p>
        </w:tc>
        <w:tc>
          <w:tcPr>
            <w:tcW w:w="7740" w:type="dxa"/>
          </w:tcPr>
          <w:p w14:paraId="2B415D37" w14:textId="77777777" w:rsidR="00307CD4" w:rsidRPr="006433A4" w:rsidRDefault="00B47865">
            <w:pPr>
              <w:pStyle w:val="BlockText"/>
            </w:pPr>
            <w:r w:rsidRPr="006433A4">
              <w:t>May 12, 2015</w:t>
            </w:r>
          </w:p>
        </w:tc>
      </w:tr>
    </w:tbl>
    <w:p w14:paraId="2B415D39" w14:textId="77777777" w:rsidR="007B14CA" w:rsidRPr="006433A4" w:rsidRDefault="007B14CA" w:rsidP="007B14CA">
      <w:pPr>
        <w:pStyle w:val="BlockLine"/>
      </w:pPr>
    </w:p>
    <w:tbl>
      <w:tblPr>
        <w:tblW w:w="0" w:type="auto"/>
        <w:tblLayout w:type="fixed"/>
        <w:tblLook w:val="0000" w:firstRow="0" w:lastRow="0" w:firstColumn="0" w:lastColumn="0" w:noHBand="0" w:noVBand="0"/>
      </w:tblPr>
      <w:tblGrid>
        <w:gridCol w:w="1728"/>
        <w:gridCol w:w="7740"/>
      </w:tblGrid>
      <w:tr w:rsidR="00307CD4" w:rsidRPr="006433A4" w14:paraId="2B415D40" w14:textId="77777777" w:rsidTr="007B14CA">
        <w:tc>
          <w:tcPr>
            <w:tcW w:w="1728" w:type="dxa"/>
          </w:tcPr>
          <w:p w14:paraId="2B415D3A" w14:textId="77777777" w:rsidR="00307CD4" w:rsidRPr="006433A4" w:rsidRDefault="00307CD4" w:rsidP="008355FD">
            <w:pPr>
              <w:pStyle w:val="Heading5"/>
            </w:pPr>
            <w:r w:rsidRPr="006433A4">
              <w:br w:type="page"/>
            </w:r>
            <w:proofErr w:type="gramStart"/>
            <w:r w:rsidRPr="006433A4">
              <w:t>a.  Handling</w:t>
            </w:r>
            <w:proofErr w:type="gramEnd"/>
            <w:r w:rsidRPr="006433A4">
              <w:t xml:space="preserve"> Forfeiture of Benefits Based on Fraud or Treasonable Acts</w:t>
            </w:r>
          </w:p>
        </w:tc>
        <w:tc>
          <w:tcPr>
            <w:tcW w:w="7740" w:type="dxa"/>
          </w:tcPr>
          <w:p w14:paraId="2B415D3B" w14:textId="77777777" w:rsidR="00307CD4" w:rsidRPr="006433A4" w:rsidRDefault="00307CD4">
            <w:pPr>
              <w:pStyle w:val="BlockText"/>
            </w:pPr>
            <w:r w:rsidRPr="006433A4">
              <w:t xml:space="preserve">The table below </w:t>
            </w:r>
          </w:p>
          <w:p w14:paraId="2B415D3C" w14:textId="77777777" w:rsidR="00307CD4" w:rsidRPr="006433A4" w:rsidRDefault="00307CD4">
            <w:pPr>
              <w:pStyle w:val="BlockText"/>
            </w:pPr>
          </w:p>
          <w:p w14:paraId="2B415D3D" w14:textId="77777777" w:rsidR="00307CD4" w:rsidRPr="006433A4" w:rsidRDefault="00307CD4" w:rsidP="003A5863">
            <w:pPr>
              <w:numPr>
                <w:ilvl w:val="0"/>
                <w:numId w:val="11"/>
              </w:numPr>
              <w:ind w:left="158" w:hanging="187"/>
            </w:pPr>
            <w:r w:rsidRPr="006433A4">
              <w:t>describes the stages in the process for handling forfeiture of benefits based on fraud or treasonable acts, and</w:t>
            </w:r>
          </w:p>
          <w:p w14:paraId="2B415D3E" w14:textId="77777777" w:rsidR="00307CD4" w:rsidRPr="006433A4" w:rsidRDefault="00307CD4" w:rsidP="003A5863">
            <w:pPr>
              <w:numPr>
                <w:ilvl w:val="0"/>
                <w:numId w:val="11"/>
              </w:numPr>
              <w:ind w:left="158" w:hanging="187"/>
            </w:pPr>
            <w:proofErr w:type="gramStart"/>
            <w:r w:rsidRPr="006433A4">
              <w:t>indicates</w:t>
            </w:r>
            <w:proofErr w:type="gramEnd"/>
            <w:r w:rsidRPr="006433A4">
              <w:t xml:space="preserve"> the </w:t>
            </w:r>
            <w:r w:rsidR="002C77F2" w:rsidRPr="006433A4">
              <w:t xml:space="preserve">activity </w:t>
            </w:r>
            <w:r w:rsidRPr="006433A4">
              <w:t>responsible for each stage.</w:t>
            </w:r>
          </w:p>
          <w:p w14:paraId="2B415D3F" w14:textId="77777777" w:rsidR="00307CD4" w:rsidRPr="006433A4" w:rsidRDefault="00307CD4">
            <w:pPr>
              <w:pStyle w:val="BlockText"/>
            </w:pPr>
          </w:p>
        </w:tc>
      </w:tr>
    </w:tbl>
    <w:p w14:paraId="2B415D41" w14:textId="77777777" w:rsidR="00307CD4" w:rsidRPr="006433A4" w:rsidRDefault="00307CD4"/>
    <w:tbl>
      <w:tblPr>
        <w:tblW w:w="0" w:type="auto"/>
        <w:tblInd w:w="1829" w:type="dxa"/>
        <w:tblLayout w:type="fixed"/>
        <w:tblLook w:val="0000" w:firstRow="0" w:lastRow="0" w:firstColumn="0" w:lastColumn="0" w:noHBand="0" w:noVBand="0"/>
      </w:tblPr>
      <w:tblGrid>
        <w:gridCol w:w="878"/>
        <w:gridCol w:w="6670"/>
      </w:tblGrid>
      <w:tr w:rsidR="00307CD4" w:rsidRPr="006433A4" w14:paraId="2B415D44" w14:textId="77777777" w:rsidTr="0049756B">
        <w:tc>
          <w:tcPr>
            <w:tcW w:w="878" w:type="dxa"/>
            <w:tcBorders>
              <w:top w:val="single" w:sz="6" w:space="0" w:color="auto"/>
              <w:left w:val="single" w:sz="6" w:space="0" w:color="auto"/>
              <w:bottom w:val="single" w:sz="6" w:space="0" w:color="auto"/>
              <w:right w:val="single" w:sz="6" w:space="0" w:color="auto"/>
            </w:tcBorders>
          </w:tcPr>
          <w:p w14:paraId="2B415D42" w14:textId="77777777" w:rsidR="00307CD4" w:rsidRPr="006433A4" w:rsidRDefault="00307CD4">
            <w:pPr>
              <w:pStyle w:val="TableHeaderText"/>
            </w:pPr>
            <w:r w:rsidRPr="006433A4">
              <w:t>Stage</w:t>
            </w:r>
          </w:p>
        </w:tc>
        <w:tc>
          <w:tcPr>
            <w:tcW w:w="6670" w:type="dxa"/>
            <w:tcBorders>
              <w:top w:val="single" w:sz="6" w:space="0" w:color="auto"/>
              <w:bottom w:val="single" w:sz="6" w:space="0" w:color="auto"/>
              <w:right w:val="single" w:sz="6" w:space="0" w:color="auto"/>
            </w:tcBorders>
          </w:tcPr>
          <w:p w14:paraId="2B415D43" w14:textId="77777777" w:rsidR="00307CD4" w:rsidRPr="006433A4" w:rsidRDefault="00307CD4">
            <w:pPr>
              <w:pStyle w:val="TableHeaderText"/>
            </w:pPr>
            <w:r w:rsidRPr="006433A4">
              <w:t>Description</w:t>
            </w:r>
          </w:p>
        </w:tc>
      </w:tr>
      <w:tr w:rsidR="00307CD4" w:rsidRPr="006433A4" w14:paraId="2B415D4E" w14:textId="77777777" w:rsidTr="0049756B">
        <w:tc>
          <w:tcPr>
            <w:tcW w:w="878" w:type="dxa"/>
            <w:tcBorders>
              <w:top w:val="single" w:sz="6" w:space="0" w:color="auto"/>
              <w:left w:val="single" w:sz="6" w:space="0" w:color="auto"/>
              <w:bottom w:val="single" w:sz="6" w:space="0" w:color="auto"/>
              <w:right w:val="single" w:sz="6" w:space="0" w:color="auto"/>
            </w:tcBorders>
          </w:tcPr>
          <w:p w14:paraId="2B415D45" w14:textId="77777777" w:rsidR="00307CD4" w:rsidRPr="006433A4" w:rsidRDefault="00307CD4">
            <w:pPr>
              <w:pStyle w:val="TableText"/>
              <w:jc w:val="center"/>
            </w:pPr>
            <w:r w:rsidRPr="006433A4">
              <w:t>1</w:t>
            </w:r>
          </w:p>
        </w:tc>
        <w:tc>
          <w:tcPr>
            <w:tcW w:w="6670" w:type="dxa"/>
            <w:tcBorders>
              <w:top w:val="single" w:sz="6" w:space="0" w:color="auto"/>
              <w:bottom w:val="single" w:sz="6" w:space="0" w:color="auto"/>
              <w:right w:val="single" w:sz="6" w:space="0" w:color="auto"/>
            </w:tcBorders>
          </w:tcPr>
          <w:p w14:paraId="2B415D46" w14:textId="77777777" w:rsidR="00307CD4" w:rsidRPr="006433A4" w:rsidRDefault="00307CD4">
            <w:pPr>
              <w:pStyle w:val="TableText"/>
            </w:pPr>
            <w:r w:rsidRPr="006433A4">
              <w:t xml:space="preserve">The </w:t>
            </w:r>
            <w:r w:rsidR="002C77F2" w:rsidRPr="006433A4">
              <w:t>development activity</w:t>
            </w:r>
          </w:p>
          <w:p w14:paraId="2B415D47" w14:textId="77777777" w:rsidR="00307CD4" w:rsidRPr="006433A4" w:rsidRDefault="00307CD4">
            <w:pPr>
              <w:pStyle w:val="TableText"/>
            </w:pPr>
          </w:p>
          <w:p w14:paraId="2B415D48" w14:textId="77777777" w:rsidR="00307CD4" w:rsidRPr="006433A4" w:rsidRDefault="00307CD4" w:rsidP="003A5863">
            <w:pPr>
              <w:numPr>
                <w:ilvl w:val="0"/>
                <w:numId w:val="12"/>
              </w:numPr>
              <w:ind w:left="158" w:hanging="187"/>
            </w:pPr>
            <w:r w:rsidRPr="006433A4">
              <w:t>determines the credibility of evidence submitted in connection with all claims, and</w:t>
            </w:r>
          </w:p>
          <w:p w14:paraId="2B415D49" w14:textId="77777777" w:rsidR="00307CD4" w:rsidRPr="006433A4" w:rsidRDefault="00307CD4" w:rsidP="003A5863">
            <w:pPr>
              <w:numPr>
                <w:ilvl w:val="0"/>
                <w:numId w:val="12"/>
              </w:numPr>
              <w:ind w:left="158" w:hanging="187"/>
            </w:pPr>
            <w:r w:rsidRPr="006433A4">
              <w:t xml:space="preserve">develops for sufficient evidence to establish the probability that the information submitted in connection with a claim is </w:t>
            </w:r>
          </w:p>
          <w:p w14:paraId="2B415D4A" w14:textId="77777777" w:rsidR="00307CD4" w:rsidRPr="006433A4" w:rsidRDefault="00307CD4" w:rsidP="003A5863">
            <w:pPr>
              <w:numPr>
                <w:ilvl w:val="0"/>
                <w:numId w:val="13"/>
              </w:numPr>
              <w:ind w:left="346" w:hanging="187"/>
            </w:pPr>
            <w:r w:rsidRPr="006433A4">
              <w:t>false or fraudulent, and</w:t>
            </w:r>
          </w:p>
          <w:p w14:paraId="2B415D4B" w14:textId="77777777" w:rsidR="00307CD4" w:rsidRPr="006433A4" w:rsidRDefault="00307CD4" w:rsidP="003A5863">
            <w:pPr>
              <w:numPr>
                <w:ilvl w:val="0"/>
                <w:numId w:val="13"/>
              </w:numPr>
              <w:ind w:left="346" w:hanging="187"/>
            </w:pPr>
            <w:proofErr w:type="gramStart"/>
            <w:r w:rsidRPr="006433A4">
              <w:t>material</w:t>
            </w:r>
            <w:proofErr w:type="gramEnd"/>
            <w:r w:rsidRPr="006433A4">
              <w:t xml:space="preserve"> to the question of eligibility for the particular benefit.</w:t>
            </w:r>
          </w:p>
          <w:p w14:paraId="2B415D4C" w14:textId="77777777" w:rsidR="00307CD4" w:rsidRPr="006433A4" w:rsidRDefault="00307CD4">
            <w:pPr>
              <w:pStyle w:val="TableText"/>
            </w:pPr>
          </w:p>
          <w:p w14:paraId="2B415D4D" w14:textId="77777777" w:rsidR="00307CD4" w:rsidRPr="006433A4" w:rsidRDefault="00307CD4" w:rsidP="0049756B">
            <w:pPr>
              <w:pStyle w:val="TableText"/>
            </w:pPr>
            <w:r w:rsidRPr="006433A4">
              <w:rPr>
                <w:b/>
                <w:i/>
              </w:rPr>
              <w:t>Note</w:t>
            </w:r>
            <w:r w:rsidRPr="006433A4">
              <w:t xml:space="preserve">:  The </w:t>
            </w:r>
            <w:r w:rsidR="0049756B" w:rsidRPr="006433A4">
              <w:t xml:space="preserve">development activity </w:t>
            </w:r>
            <w:r w:rsidRPr="006433A4">
              <w:t>is also responsible for reviewing evidence developed by field examination.</w:t>
            </w:r>
          </w:p>
        </w:tc>
      </w:tr>
      <w:tr w:rsidR="00307CD4" w:rsidRPr="006433A4" w14:paraId="2B415D58" w14:textId="77777777" w:rsidTr="0049756B">
        <w:tc>
          <w:tcPr>
            <w:tcW w:w="878" w:type="dxa"/>
            <w:tcBorders>
              <w:top w:val="single" w:sz="6" w:space="0" w:color="auto"/>
              <w:left w:val="single" w:sz="6" w:space="0" w:color="auto"/>
              <w:bottom w:val="single" w:sz="6" w:space="0" w:color="auto"/>
              <w:right w:val="single" w:sz="6" w:space="0" w:color="auto"/>
            </w:tcBorders>
          </w:tcPr>
          <w:p w14:paraId="2B415D4F" w14:textId="77777777" w:rsidR="00307CD4" w:rsidRPr="006433A4" w:rsidRDefault="00307CD4">
            <w:pPr>
              <w:pStyle w:val="TableText"/>
              <w:jc w:val="center"/>
            </w:pPr>
            <w:r w:rsidRPr="006433A4">
              <w:t>2</w:t>
            </w:r>
          </w:p>
        </w:tc>
        <w:tc>
          <w:tcPr>
            <w:tcW w:w="6670" w:type="dxa"/>
            <w:tcBorders>
              <w:top w:val="single" w:sz="6" w:space="0" w:color="auto"/>
              <w:bottom w:val="single" w:sz="6" w:space="0" w:color="auto"/>
              <w:right w:val="single" w:sz="6" w:space="0" w:color="auto"/>
            </w:tcBorders>
          </w:tcPr>
          <w:p w14:paraId="2B415D50" w14:textId="77777777" w:rsidR="00307CD4" w:rsidRPr="006433A4" w:rsidRDefault="00307CD4">
            <w:pPr>
              <w:pStyle w:val="TableText"/>
            </w:pPr>
            <w:r w:rsidRPr="006433A4">
              <w:t xml:space="preserve">The </w:t>
            </w:r>
            <w:r w:rsidR="0049756B" w:rsidRPr="006433A4">
              <w:t xml:space="preserve">development and/or authorization activity </w:t>
            </w:r>
            <w:r w:rsidRPr="006433A4">
              <w:t>prepares a proposed decision if the evidence presented indicates forfeiture.  The decision should include</w:t>
            </w:r>
          </w:p>
          <w:p w14:paraId="2B415D51" w14:textId="77777777" w:rsidR="00307CD4" w:rsidRPr="006433A4" w:rsidRDefault="00307CD4">
            <w:pPr>
              <w:pStyle w:val="TableText"/>
            </w:pPr>
          </w:p>
          <w:p w14:paraId="2B415D52" w14:textId="77777777" w:rsidR="00307CD4" w:rsidRPr="006433A4" w:rsidRDefault="00307CD4" w:rsidP="003A5863">
            <w:pPr>
              <w:numPr>
                <w:ilvl w:val="0"/>
                <w:numId w:val="14"/>
              </w:numPr>
              <w:ind w:left="158" w:hanging="187"/>
            </w:pPr>
            <w:r w:rsidRPr="006433A4">
              <w:t>the specific charges against the person</w:t>
            </w:r>
          </w:p>
          <w:p w14:paraId="2B415D53" w14:textId="77777777" w:rsidR="00307CD4" w:rsidRPr="006433A4" w:rsidRDefault="00307CD4" w:rsidP="003A5863">
            <w:pPr>
              <w:numPr>
                <w:ilvl w:val="0"/>
                <w:numId w:val="14"/>
              </w:numPr>
              <w:ind w:left="158" w:hanging="187"/>
            </w:pPr>
            <w:r w:rsidRPr="006433A4">
              <w:t>a detailed statement of the evidence supporting the charges, subject to regulatory limitations on disclosure of information</w:t>
            </w:r>
          </w:p>
          <w:p w14:paraId="2B415D54" w14:textId="77777777" w:rsidR="00307CD4" w:rsidRPr="006433A4" w:rsidRDefault="00307CD4" w:rsidP="003A5863">
            <w:pPr>
              <w:numPr>
                <w:ilvl w:val="0"/>
                <w:numId w:val="14"/>
              </w:numPr>
              <w:ind w:left="158" w:hanging="187"/>
            </w:pPr>
            <w:r w:rsidRPr="006433A4">
              <w:t>citation and discussion of the applicable statute(s), and</w:t>
            </w:r>
          </w:p>
          <w:p w14:paraId="2B415D55" w14:textId="77777777" w:rsidR="00307CD4" w:rsidRPr="006433A4" w:rsidRDefault="00307CD4" w:rsidP="003A5863">
            <w:pPr>
              <w:numPr>
                <w:ilvl w:val="0"/>
                <w:numId w:val="14"/>
              </w:numPr>
              <w:ind w:left="158" w:hanging="187"/>
            </w:pPr>
            <w:r w:rsidRPr="006433A4">
              <w:lastRenderedPageBreak/>
              <w:t>notification of</w:t>
            </w:r>
          </w:p>
          <w:p w14:paraId="2B415D56" w14:textId="77777777" w:rsidR="00307CD4" w:rsidRPr="006433A4" w:rsidRDefault="00307CD4" w:rsidP="003A5863">
            <w:pPr>
              <w:numPr>
                <w:ilvl w:val="0"/>
                <w:numId w:val="15"/>
              </w:numPr>
              <w:ind w:left="346" w:hanging="187"/>
            </w:pPr>
            <w:r w:rsidRPr="006433A4">
              <w:t>the right to submit a statement or evidence within 60 days, either to rebut the charges or to explain the person’s position, and</w:t>
            </w:r>
          </w:p>
          <w:p w14:paraId="2B415D57" w14:textId="77777777" w:rsidR="00307CD4" w:rsidRPr="006433A4" w:rsidRDefault="00307CD4" w:rsidP="003A5863">
            <w:pPr>
              <w:numPr>
                <w:ilvl w:val="0"/>
                <w:numId w:val="15"/>
              </w:numPr>
              <w:ind w:left="346" w:hanging="187"/>
            </w:pPr>
            <w:proofErr w:type="gramStart"/>
            <w:r w:rsidRPr="006433A4">
              <w:t>the</w:t>
            </w:r>
            <w:proofErr w:type="gramEnd"/>
            <w:r w:rsidRPr="006433A4">
              <w:t xml:space="preserve"> right to a hearing within 60 days, with representation by counsel of the person’s own choosing.</w:t>
            </w:r>
          </w:p>
        </w:tc>
      </w:tr>
      <w:tr w:rsidR="00307CD4" w:rsidRPr="006433A4" w14:paraId="2B415D5E" w14:textId="77777777" w:rsidTr="0049756B">
        <w:tc>
          <w:tcPr>
            <w:tcW w:w="878" w:type="dxa"/>
            <w:tcBorders>
              <w:top w:val="single" w:sz="6" w:space="0" w:color="auto"/>
              <w:left w:val="single" w:sz="6" w:space="0" w:color="auto"/>
              <w:bottom w:val="single" w:sz="6" w:space="0" w:color="auto"/>
              <w:right w:val="single" w:sz="6" w:space="0" w:color="auto"/>
            </w:tcBorders>
          </w:tcPr>
          <w:p w14:paraId="2B415D59" w14:textId="77777777" w:rsidR="00307CD4" w:rsidRPr="006433A4" w:rsidRDefault="00307CD4">
            <w:pPr>
              <w:pStyle w:val="TableText"/>
              <w:jc w:val="center"/>
            </w:pPr>
            <w:r w:rsidRPr="006433A4">
              <w:lastRenderedPageBreak/>
              <w:t>3</w:t>
            </w:r>
          </w:p>
        </w:tc>
        <w:tc>
          <w:tcPr>
            <w:tcW w:w="6670" w:type="dxa"/>
            <w:tcBorders>
              <w:top w:val="single" w:sz="6" w:space="0" w:color="auto"/>
              <w:bottom w:val="single" w:sz="6" w:space="0" w:color="auto"/>
              <w:right w:val="single" w:sz="6" w:space="0" w:color="auto"/>
            </w:tcBorders>
          </w:tcPr>
          <w:p w14:paraId="2B415D5A" w14:textId="77777777" w:rsidR="00307CD4" w:rsidRPr="006433A4" w:rsidRDefault="00307CD4">
            <w:pPr>
              <w:pStyle w:val="TableText"/>
            </w:pPr>
            <w:r w:rsidRPr="006433A4">
              <w:t xml:space="preserve">The </w:t>
            </w:r>
            <w:r w:rsidR="0049756B" w:rsidRPr="006433A4">
              <w:t xml:space="preserve">development and/or authorization activity </w:t>
            </w:r>
            <w:r w:rsidRPr="006433A4">
              <w:t>submits the proposed decision to</w:t>
            </w:r>
          </w:p>
          <w:p w14:paraId="2B415D5B" w14:textId="77777777" w:rsidR="00307CD4" w:rsidRPr="006433A4" w:rsidRDefault="00307CD4">
            <w:pPr>
              <w:pStyle w:val="TableText"/>
            </w:pPr>
          </w:p>
          <w:p w14:paraId="2B415D5C" w14:textId="77777777" w:rsidR="00307CD4" w:rsidRPr="006433A4" w:rsidRDefault="00307CD4" w:rsidP="003A5863">
            <w:pPr>
              <w:numPr>
                <w:ilvl w:val="0"/>
                <w:numId w:val="16"/>
              </w:numPr>
              <w:ind w:left="158" w:hanging="187"/>
            </w:pPr>
            <w:r w:rsidRPr="006433A4">
              <w:t>an authorizer for concurrence, and</w:t>
            </w:r>
          </w:p>
          <w:p w14:paraId="2B415D5D" w14:textId="77777777" w:rsidR="00307CD4" w:rsidRPr="006433A4" w:rsidRDefault="00307CD4" w:rsidP="003A5863">
            <w:pPr>
              <w:numPr>
                <w:ilvl w:val="0"/>
                <w:numId w:val="16"/>
              </w:numPr>
              <w:ind w:left="158" w:hanging="187"/>
            </w:pPr>
            <w:proofErr w:type="gramStart"/>
            <w:r w:rsidRPr="006433A4">
              <w:t>the</w:t>
            </w:r>
            <w:proofErr w:type="gramEnd"/>
            <w:r w:rsidRPr="006433A4">
              <w:t xml:space="preserve"> </w:t>
            </w:r>
            <w:r w:rsidR="00D065CB" w:rsidRPr="006433A4">
              <w:t>Veterans Service Center Manager (</w:t>
            </w:r>
            <w:r w:rsidRPr="006433A4">
              <w:t>VSCM</w:t>
            </w:r>
            <w:r w:rsidR="00D065CB" w:rsidRPr="006433A4">
              <w:t>)</w:t>
            </w:r>
            <w:r w:rsidRPr="006433A4">
              <w:t xml:space="preserve"> or Pension Maintenance Center Manager (PMCM) or his/her supervisory designee for approval.</w:t>
            </w:r>
          </w:p>
        </w:tc>
      </w:tr>
      <w:tr w:rsidR="00307CD4" w:rsidRPr="006433A4" w14:paraId="2B415D61" w14:textId="77777777" w:rsidTr="0049756B">
        <w:tc>
          <w:tcPr>
            <w:tcW w:w="878" w:type="dxa"/>
            <w:tcBorders>
              <w:top w:val="single" w:sz="6" w:space="0" w:color="auto"/>
              <w:left w:val="single" w:sz="6" w:space="0" w:color="auto"/>
              <w:bottom w:val="single" w:sz="6" w:space="0" w:color="auto"/>
              <w:right w:val="single" w:sz="6" w:space="0" w:color="auto"/>
            </w:tcBorders>
          </w:tcPr>
          <w:p w14:paraId="2B415D5F" w14:textId="77777777" w:rsidR="00307CD4" w:rsidRPr="006433A4" w:rsidRDefault="00307CD4">
            <w:pPr>
              <w:pStyle w:val="TableText"/>
              <w:jc w:val="center"/>
            </w:pPr>
            <w:r w:rsidRPr="006433A4">
              <w:t>4</w:t>
            </w:r>
          </w:p>
        </w:tc>
        <w:tc>
          <w:tcPr>
            <w:tcW w:w="6670" w:type="dxa"/>
            <w:tcBorders>
              <w:top w:val="single" w:sz="6" w:space="0" w:color="auto"/>
              <w:bottom w:val="single" w:sz="6" w:space="0" w:color="auto"/>
              <w:right w:val="single" w:sz="6" w:space="0" w:color="auto"/>
            </w:tcBorders>
          </w:tcPr>
          <w:p w14:paraId="2B415D60" w14:textId="77777777" w:rsidR="00307CD4" w:rsidRPr="006433A4" w:rsidRDefault="00307CD4">
            <w:pPr>
              <w:pStyle w:val="TableText"/>
            </w:pPr>
            <w:r w:rsidRPr="006433A4">
              <w:t xml:space="preserve">The VSCM or PMCM approves or rejects the proposed decision.  </w:t>
            </w:r>
          </w:p>
        </w:tc>
      </w:tr>
      <w:tr w:rsidR="00307CD4" w:rsidRPr="006433A4" w14:paraId="2B415D67" w14:textId="77777777" w:rsidTr="0049756B">
        <w:tc>
          <w:tcPr>
            <w:tcW w:w="878" w:type="dxa"/>
            <w:tcBorders>
              <w:top w:val="single" w:sz="6" w:space="0" w:color="auto"/>
              <w:left w:val="single" w:sz="6" w:space="0" w:color="auto"/>
              <w:bottom w:val="single" w:sz="6" w:space="0" w:color="auto"/>
              <w:right w:val="single" w:sz="6" w:space="0" w:color="auto"/>
            </w:tcBorders>
          </w:tcPr>
          <w:p w14:paraId="2B415D62" w14:textId="77777777" w:rsidR="00307CD4" w:rsidRPr="006433A4" w:rsidRDefault="00307CD4">
            <w:pPr>
              <w:pStyle w:val="TableText"/>
              <w:jc w:val="center"/>
            </w:pPr>
            <w:r w:rsidRPr="006433A4">
              <w:t>5</w:t>
            </w:r>
          </w:p>
        </w:tc>
        <w:tc>
          <w:tcPr>
            <w:tcW w:w="6670" w:type="dxa"/>
            <w:tcBorders>
              <w:top w:val="single" w:sz="6" w:space="0" w:color="auto"/>
              <w:bottom w:val="single" w:sz="6" w:space="0" w:color="auto"/>
              <w:right w:val="single" w:sz="6" w:space="0" w:color="auto"/>
            </w:tcBorders>
          </w:tcPr>
          <w:p w14:paraId="2B415D63" w14:textId="77777777" w:rsidR="00307CD4" w:rsidRPr="006433A4" w:rsidRDefault="00307CD4">
            <w:pPr>
              <w:pStyle w:val="TableText"/>
            </w:pPr>
            <w:r w:rsidRPr="006433A4">
              <w:t xml:space="preserve">The </w:t>
            </w:r>
            <w:r w:rsidR="008202EB" w:rsidRPr="006433A4">
              <w:t>development and/or authorization activity</w:t>
            </w:r>
            <w:r w:rsidRPr="006433A4">
              <w:t xml:space="preserve"> </w:t>
            </w:r>
          </w:p>
          <w:p w14:paraId="2B415D64" w14:textId="77777777" w:rsidR="00307CD4" w:rsidRPr="006433A4" w:rsidRDefault="00307CD4">
            <w:pPr>
              <w:pStyle w:val="TableText"/>
            </w:pPr>
          </w:p>
          <w:p w14:paraId="2B415D65" w14:textId="77777777" w:rsidR="00307CD4" w:rsidRPr="006433A4" w:rsidRDefault="00307CD4" w:rsidP="003A5863">
            <w:pPr>
              <w:numPr>
                <w:ilvl w:val="0"/>
                <w:numId w:val="17"/>
              </w:numPr>
              <w:ind w:left="158" w:hanging="187"/>
            </w:pPr>
            <w:r w:rsidRPr="006433A4">
              <w:t>refers the claims folder and proposed decision to the Regional Counsel, and</w:t>
            </w:r>
          </w:p>
          <w:p w14:paraId="2B415D66" w14:textId="77777777" w:rsidR="00307CD4" w:rsidRPr="006433A4" w:rsidRDefault="00307CD4" w:rsidP="008202EB">
            <w:pPr>
              <w:numPr>
                <w:ilvl w:val="0"/>
                <w:numId w:val="17"/>
              </w:numPr>
              <w:ind w:left="158" w:hanging="187"/>
            </w:pPr>
            <w:proofErr w:type="gramStart"/>
            <w:r w:rsidRPr="006433A4">
              <w:t>establishes</w:t>
            </w:r>
            <w:proofErr w:type="gramEnd"/>
            <w:r w:rsidRPr="006433A4">
              <w:t xml:space="preserve"> a </w:t>
            </w:r>
            <w:r w:rsidR="00940AB6" w:rsidRPr="006433A4">
              <w:t xml:space="preserve">suspense date </w:t>
            </w:r>
            <w:r w:rsidRPr="006433A4">
              <w:t>to trigger the review of the status of the Regional Counsel referral.</w:t>
            </w:r>
          </w:p>
        </w:tc>
      </w:tr>
      <w:tr w:rsidR="00307CD4" w:rsidRPr="006433A4" w14:paraId="2B415D6D" w14:textId="77777777" w:rsidTr="0049756B">
        <w:tc>
          <w:tcPr>
            <w:tcW w:w="878" w:type="dxa"/>
            <w:tcBorders>
              <w:top w:val="single" w:sz="6" w:space="0" w:color="auto"/>
              <w:left w:val="single" w:sz="6" w:space="0" w:color="auto"/>
              <w:bottom w:val="single" w:sz="6" w:space="0" w:color="auto"/>
              <w:right w:val="single" w:sz="6" w:space="0" w:color="auto"/>
            </w:tcBorders>
          </w:tcPr>
          <w:p w14:paraId="2B415D68" w14:textId="77777777" w:rsidR="00307CD4" w:rsidRPr="006433A4" w:rsidRDefault="00307CD4">
            <w:pPr>
              <w:pStyle w:val="TableText"/>
              <w:jc w:val="center"/>
            </w:pPr>
            <w:r w:rsidRPr="006433A4">
              <w:t>6</w:t>
            </w:r>
          </w:p>
        </w:tc>
        <w:tc>
          <w:tcPr>
            <w:tcW w:w="6670" w:type="dxa"/>
            <w:tcBorders>
              <w:top w:val="single" w:sz="6" w:space="0" w:color="auto"/>
              <w:bottom w:val="single" w:sz="6" w:space="0" w:color="auto"/>
              <w:right w:val="single" w:sz="6" w:space="0" w:color="auto"/>
            </w:tcBorders>
          </w:tcPr>
          <w:p w14:paraId="2B415D69" w14:textId="77777777" w:rsidR="00307CD4" w:rsidRPr="006433A4" w:rsidRDefault="00307CD4">
            <w:pPr>
              <w:pStyle w:val="TableText"/>
            </w:pPr>
            <w:r w:rsidRPr="006433A4">
              <w:t>The Regional Counsel</w:t>
            </w:r>
          </w:p>
          <w:p w14:paraId="2B415D6A" w14:textId="77777777" w:rsidR="00307CD4" w:rsidRPr="006433A4" w:rsidRDefault="00307CD4">
            <w:pPr>
              <w:pStyle w:val="TableText"/>
            </w:pPr>
          </w:p>
          <w:p w14:paraId="2B415D6B" w14:textId="77777777" w:rsidR="00307CD4" w:rsidRPr="006433A4" w:rsidRDefault="00307CD4" w:rsidP="003A5863">
            <w:pPr>
              <w:numPr>
                <w:ilvl w:val="0"/>
                <w:numId w:val="18"/>
              </w:numPr>
              <w:ind w:left="158" w:hanging="187"/>
            </w:pPr>
            <w:r w:rsidRPr="006433A4">
              <w:t xml:space="preserve">furnishes the claimant with due process as provided in </w:t>
            </w:r>
            <w:hyperlink r:id="rId22" w:history="1">
              <w:r w:rsidRPr="006433A4">
                <w:rPr>
                  <w:rStyle w:val="Hyperlink"/>
                </w:rPr>
                <w:t>38 CFR 3.905</w:t>
              </w:r>
            </w:hyperlink>
            <w:r w:rsidRPr="006433A4">
              <w:t>, and</w:t>
            </w:r>
          </w:p>
          <w:p w14:paraId="2B415D6C" w14:textId="77777777" w:rsidR="00307CD4" w:rsidRPr="006433A4" w:rsidRDefault="00307CD4" w:rsidP="00855055">
            <w:pPr>
              <w:numPr>
                <w:ilvl w:val="0"/>
                <w:numId w:val="18"/>
              </w:numPr>
              <w:ind w:left="158" w:hanging="187"/>
            </w:pPr>
            <w:proofErr w:type="gramStart"/>
            <w:r w:rsidRPr="006433A4">
              <w:t>returns</w:t>
            </w:r>
            <w:proofErr w:type="gramEnd"/>
            <w:r w:rsidRPr="006433A4">
              <w:t xml:space="preserve"> the claims folder to the</w:t>
            </w:r>
            <w:r w:rsidR="006A50E3" w:rsidRPr="006433A4">
              <w:t xml:space="preserve"> </w:t>
            </w:r>
            <w:r w:rsidR="00D065CB" w:rsidRPr="006433A4">
              <w:t>regional office (</w:t>
            </w:r>
            <w:r w:rsidR="006A50E3" w:rsidRPr="006433A4">
              <w:t>R</w:t>
            </w:r>
            <w:r w:rsidR="004C733E" w:rsidRPr="006433A4">
              <w:t>O</w:t>
            </w:r>
            <w:r w:rsidR="00D065CB" w:rsidRPr="006433A4">
              <w:t>)</w:t>
            </w:r>
            <w:r w:rsidRPr="006433A4">
              <w:t>.</w:t>
            </w:r>
          </w:p>
        </w:tc>
      </w:tr>
      <w:tr w:rsidR="00307CD4" w:rsidRPr="006433A4" w14:paraId="2B415D75" w14:textId="77777777" w:rsidTr="0049756B">
        <w:tc>
          <w:tcPr>
            <w:tcW w:w="878" w:type="dxa"/>
            <w:tcBorders>
              <w:top w:val="single" w:sz="6" w:space="0" w:color="auto"/>
              <w:left w:val="single" w:sz="6" w:space="0" w:color="auto"/>
              <w:bottom w:val="single" w:sz="6" w:space="0" w:color="auto"/>
              <w:right w:val="single" w:sz="6" w:space="0" w:color="auto"/>
            </w:tcBorders>
          </w:tcPr>
          <w:p w14:paraId="2B415D6E" w14:textId="77777777" w:rsidR="00307CD4" w:rsidRPr="006433A4" w:rsidRDefault="00307CD4">
            <w:pPr>
              <w:pStyle w:val="TableText"/>
              <w:jc w:val="center"/>
            </w:pPr>
            <w:r w:rsidRPr="006433A4">
              <w:t>7</w:t>
            </w:r>
          </w:p>
        </w:tc>
        <w:tc>
          <w:tcPr>
            <w:tcW w:w="6670" w:type="dxa"/>
            <w:tcBorders>
              <w:top w:val="single" w:sz="6" w:space="0" w:color="auto"/>
              <w:bottom w:val="single" w:sz="6" w:space="0" w:color="auto"/>
              <w:right w:val="single" w:sz="6" w:space="0" w:color="auto"/>
            </w:tcBorders>
          </w:tcPr>
          <w:p w14:paraId="2B415D6F" w14:textId="77777777" w:rsidR="00307CD4" w:rsidRPr="006433A4" w:rsidRDefault="00307CD4">
            <w:pPr>
              <w:pStyle w:val="TableText"/>
            </w:pPr>
            <w:r w:rsidRPr="006433A4">
              <w:t xml:space="preserve">At the end of the 60-day due process period, if the Regional Counsel still recommends forfeiture, the </w:t>
            </w:r>
            <w:r w:rsidR="00B17381" w:rsidRPr="006433A4">
              <w:t>development and/or authorization activity</w:t>
            </w:r>
          </w:p>
          <w:p w14:paraId="2B415D70" w14:textId="77777777" w:rsidR="00307CD4" w:rsidRPr="006433A4" w:rsidRDefault="00307CD4">
            <w:pPr>
              <w:pStyle w:val="TableText"/>
            </w:pPr>
          </w:p>
          <w:p w14:paraId="2B415D71" w14:textId="77777777" w:rsidR="00307CD4" w:rsidRPr="006433A4" w:rsidRDefault="00307CD4" w:rsidP="003A5863">
            <w:pPr>
              <w:numPr>
                <w:ilvl w:val="0"/>
                <w:numId w:val="19"/>
              </w:numPr>
              <w:ind w:left="158" w:hanging="187"/>
            </w:pPr>
            <w:r w:rsidRPr="006433A4">
              <w:t>prepares a final administrative decision, and</w:t>
            </w:r>
          </w:p>
          <w:p w14:paraId="2B415D72" w14:textId="77777777" w:rsidR="00307CD4" w:rsidRPr="006433A4" w:rsidRDefault="00307CD4" w:rsidP="003A5863">
            <w:pPr>
              <w:numPr>
                <w:ilvl w:val="0"/>
                <w:numId w:val="19"/>
              </w:numPr>
              <w:ind w:left="158" w:hanging="187"/>
            </w:pPr>
            <w:r w:rsidRPr="006433A4">
              <w:t xml:space="preserve">submits the decision to </w:t>
            </w:r>
          </w:p>
          <w:p w14:paraId="2B415D73" w14:textId="77777777" w:rsidR="00307CD4" w:rsidRPr="006433A4" w:rsidRDefault="00307CD4" w:rsidP="003A5863">
            <w:pPr>
              <w:numPr>
                <w:ilvl w:val="0"/>
                <w:numId w:val="20"/>
              </w:numPr>
              <w:ind w:left="346" w:hanging="187"/>
            </w:pPr>
            <w:r w:rsidRPr="006433A4">
              <w:t>an authorizer</w:t>
            </w:r>
            <w:r w:rsidRPr="006433A4">
              <w:rPr>
                <w:b/>
              </w:rPr>
              <w:t xml:space="preserve"> </w:t>
            </w:r>
            <w:r w:rsidRPr="006433A4">
              <w:t>for concurrence, and</w:t>
            </w:r>
          </w:p>
          <w:p w14:paraId="2B415D74" w14:textId="77777777" w:rsidR="00307CD4" w:rsidRPr="006433A4" w:rsidRDefault="00307CD4" w:rsidP="003A5863">
            <w:pPr>
              <w:numPr>
                <w:ilvl w:val="0"/>
                <w:numId w:val="20"/>
              </w:numPr>
              <w:ind w:left="346" w:hanging="187"/>
              <w:rPr>
                <w:b/>
              </w:rPr>
            </w:pPr>
            <w:proofErr w:type="gramStart"/>
            <w:r w:rsidRPr="006433A4">
              <w:t>the</w:t>
            </w:r>
            <w:proofErr w:type="gramEnd"/>
            <w:r w:rsidRPr="006433A4">
              <w:t xml:space="preserve"> VSCM or PMCM or his/her designee for approval.</w:t>
            </w:r>
          </w:p>
        </w:tc>
      </w:tr>
      <w:tr w:rsidR="00307CD4" w:rsidRPr="006433A4" w14:paraId="2B415D78" w14:textId="77777777" w:rsidTr="0049756B">
        <w:tc>
          <w:tcPr>
            <w:tcW w:w="878" w:type="dxa"/>
            <w:tcBorders>
              <w:top w:val="single" w:sz="6" w:space="0" w:color="auto"/>
              <w:left w:val="single" w:sz="6" w:space="0" w:color="auto"/>
              <w:bottom w:val="single" w:sz="6" w:space="0" w:color="auto"/>
              <w:right w:val="single" w:sz="6" w:space="0" w:color="auto"/>
            </w:tcBorders>
          </w:tcPr>
          <w:p w14:paraId="2B415D76" w14:textId="77777777" w:rsidR="00307CD4" w:rsidRPr="006433A4" w:rsidRDefault="00307CD4">
            <w:pPr>
              <w:pStyle w:val="TableText"/>
              <w:jc w:val="center"/>
            </w:pPr>
            <w:r w:rsidRPr="006433A4">
              <w:t>8</w:t>
            </w:r>
          </w:p>
        </w:tc>
        <w:tc>
          <w:tcPr>
            <w:tcW w:w="6670" w:type="dxa"/>
            <w:tcBorders>
              <w:top w:val="single" w:sz="6" w:space="0" w:color="auto"/>
              <w:bottom w:val="single" w:sz="6" w:space="0" w:color="auto"/>
              <w:right w:val="single" w:sz="6" w:space="0" w:color="auto"/>
            </w:tcBorders>
          </w:tcPr>
          <w:p w14:paraId="2B415D77" w14:textId="77777777" w:rsidR="00307CD4" w:rsidRPr="006433A4" w:rsidRDefault="00307CD4">
            <w:pPr>
              <w:pStyle w:val="TableText"/>
            </w:pPr>
            <w:r w:rsidRPr="006433A4">
              <w:t xml:space="preserve">The VSCM, PMCM, or designee approves final decision.  </w:t>
            </w:r>
          </w:p>
        </w:tc>
      </w:tr>
      <w:tr w:rsidR="00307CD4" w:rsidRPr="006433A4" w14:paraId="2B415D7B" w14:textId="77777777" w:rsidTr="0049756B">
        <w:tc>
          <w:tcPr>
            <w:tcW w:w="878" w:type="dxa"/>
            <w:tcBorders>
              <w:top w:val="single" w:sz="6" w:space="0" w:color="auto"/>
              <w:left w:val="single" w:sz="6" w:space="0" w:color="auto"/>
              <w:bottom w:val="single" w:sz="6" w:space="0" w:color="auto"/>
              <w:right w:val="single" w:sz="6" w:space="0" w:color="auto"/>
            </w:tcBorders>
          </w:tcPr>
          <w:p w14:paraId="2B415D79" w14:textId="77777777" w:rsidR="00307CD4" w:rsidRPr="006433A4" w:rsidRDefault="00307CD4">
            <w:pPr>
              <w:pStyle w:val="TableText"/>
              <w:jc w:val="center"/>
            </w:pPr>
            <w:r w:rsidRPr="006433A4">
              <w:t>9</w:t>
            </w:r>
          </w:p>
        </w:tc>
        <w:tc>
          <w:tcPr>
            <w:tcW w:w="6670" w:type="dxa"/>
            <w:tcBorders>
              <w:top w:val="single" w:sz="6" w:space="0" w:color="auto"/>
              <w:bottom w:val="single" w:sz="6" w:space="0" w:color="auto"/>
              <w:right w:val="single" w:sz="6" w:space="0" w:color="auto"/>
            </w:tcBorders>
          </w:tcPr>
          <w:p w14:paraId="2B415D7A" w14:textId="77777777" w:rsidR="00307CD4" w:rsidRPr="006433A4" w:rsidRDefault="00307CD4" w:rsidP="00B17381">
            <w:pPr>
              <w:pStyle w:val="TableText"/>
            </w:pPr>
            <w:r w:rsidRPr="006433A4">
              <w:t xml:space="preserve">The </w:t>
            </w:r>
            <w:r w:rsidR="00B17381" w:rsidRPr="006433A4">
              <w:t xml:space="preserve">authorization activity </w:t>
            </w:r>
            <w:r w:rsidRPr="006433A4">
              <w:t>refers the claims folder and final decision to the Regional Counsel to determine whether or not he/she will submit the case to Compensation</w:t>
            </w:r>
            <w:r w:rsidR="0043530D" w:rsidRPr="006433A4">
              <w:t xml:space="preserve"> Service (21C) or</w:t>
            </w:r>
            <w:r w:rsidRPr="006433A4">
              <w:t xml:space="preserve"> Pension</w:t>
            </w:r>
            <w:r w:rsidR="0043530D" w:rsidRPr="006433A4">
              <w:t xml:space="preserve"> and Fiduciary (P&amp;F) </w:t>
            </w:r>
            <w:r w:rsidRPr="006433A4">
              <w:t>Service (21</w:t>
            </w:r>
            <w:r w:rsidR="0043530D" w:rsidRPr="006433A4">
              <w:t>PF</w:t>
            </w:r>
            <w:r w:rsidRPr="006433A4">
              <w:t>) for consideration of forfeiture.</w:t>
            </w:r>
          </w:p>
        </w:tc>
      </w:tr>
      <w:tr w:rsidR="00307CD4" w:rsidRPr="006433A4" w14:paraId="2B415D81" w14:textId="77777777" w:rsidTr="0049756B">
        <w:tc>
          <w:tcPr>
            <w:tcW w:w="878" w:type="dxa"/>
            <w:tcBorders>
              <w:top w:val="single" w:sz="6" w:space="0" w:color="auto"/>
              <w:left w:val="single" w:sz="6" w:space="0" w:color="auto"/>
              <w:bottom w:val="single" w:sz="6" w:space="0" w:color="auto"/>
              <w:right w:val="single" w:sz="6" w:space="0" w:color="auto"/>
            </w:tcBorders>
          </w:tcPr>
          <w:p w14:paraId="2B415D7C" w14:textId="77777777" w:rsidR="00307CD4" w:rsidRPr="006433A4" w:rsidRDefault="00307CD4">
            <w:pPr>
              <w:pStyle w:val="TableText"/>
              <w:jc w:val="center"/>
            </w:pPr>
            <w:r w:rsidRPr="006433A4">
              <w:t>10</w:t>
            </w:r>
          </w:p>
        </w:tc>
        <w:tc>
          <w:tcPr>
            <w:tcW w:w="6670" w:type="dxa"/>
            <w:tcBorders>
              <w:top w:val="single" w:sz="6" w:space="0" w:color="auto"/>
              <w:bottom w:val="single" w:sz="6" w:space="0" w:color="auto"/>
              <w:right w:val="single" w:sz="6" w:space="0" w:color="auto"/>
            </w:tcBorders>
          </w:tcPr>
          <w:p w14:paraId="2B415D7D" w14:textId="77777777" w:rsidR="00307CD4" w:rsidRPr="006433A4" w:rsidRDefault="00307CD4">
            <w:pPr>
              <w:pStyle w:val="TableText"/>
            </w:pPr>
            <w:r w:rsidRPr="006433A4">
              <w:t xml:space="preserve">The Regional Counsel determines whether or not </w:t>
            </w:r>
            <w:r w:rsidR="00AE6EC3" w:rsidRPr="006433A4">
              <w:t>he/she</w:t>
            </w:r>
            <w:r w:rsidRPr="006433A4">
              <w:t xml:space="preserve"> will submit the case to C</w:t>
            </w:r>
            <w:r w:rsidR="0043530D" w:rsidRPr="006433A4">
              <w:t xml:space="preserve">ompensation Service or </w:t>
            </w:r>
            <w:r w:rsidRPr="006433A4">
              <w:t>P</w:t>
            </w:r>
            <w:r w:rsidR="0043530D" w:rsidRPr="006433A4">
              <w:t>&amp;F</w:t>
            </w:r>
            <w:r w:rsidRPr="006433A4">
              <w:t xml:space="preserve"> Service for consideration of forfeiture.</w:t>
            </w:r>
          </w:p>
          <w:p w14:paraId="2B415D7E" w14:textId="77777777" w:rsidR="00307CD4" w:rsidRPr="006433A4" w:rsidRDefault="00307CD4">
            <w:pPr>
              <w:pStyle w:val="TableText"/>
            </w:pPr>
          </w:p>
          <w:p w14:paraId="2B415D7F" w14:textId="77777777" w:rsidR="00307CD4" w:rsidRPr="006433A4" w:rsidRDefault="00307CD4" w:rsidP="003A5863">
            <w:pPr>
              <w:numPr>
                <w:ilvl w:val="0"/>
                <w:numId w:val="21"/>
              </w:numPr>
              <w:ind w:left="158" w:hanging="187"/>
            </w:pPr>
            <w:r w:rsidRPr="006433A4">
              <w:t xml:space="preserve">If </w:t>
            </w:r>
            <w:r w:rsidRPr="006433A4">
              <w:rPr>
                <w:i/>
              </w:rPr>
              <w:t>yes</w:t>
            </w:r>
            <w:r w:rsidRPr="006433A4">
              <w:t xml:space="preserve">, go to M21-1, Part III, Subpart </w:t>
            </w:r>
            <w:proofErr w:type="gramStart"/>
            <w:r w:rsidRPr="006433A4">
              <w:t>vi</w:t>
            </w:r>
            <w:proofErr w:type="gramEnd"/>
            <w:r w:rsidRPr="006433A4">
              <w:t>,</w:t>
            </w:r>
            <w:r w:rsidR="0043530D" w:rsidRPr="006433A4">
              <w:t xml:space="preserve"> </w:t>
            </w:r>
            <w:r w:rsidRPr="006433A4">
              <w:t>5.B.</w:t>
            </w:r>
            <w:r w:rsidR="00DC4AAC" w:rsidRPr="006433A4">
              <w:t>2</w:t>
            </w:r>
            <w:r w:rsidRPr="006433A4">
              <w:t>.b.</w:t>
            </w:r>
          </w:p>
          <w:p w14:paraId="2B415D80" w14:textId="77777777" w:rsidR="00307CD4" w:rsidRPr="006433A4" w:rsidRDefault="00307CD4" w:rsidP="005E641F">
            <w:pPr>
              <w:numPr>
                <w:ilvl w:val="0"/>
                <w:numId w:val="21"/>
              </w:numPr>
              <w:ind w:left="158" w:hanging="187"/>
            </w:pPr>
            <w:r w:rsidRPr="006433A4">
              <w:t xml:space="preserve">If </w:t>
            </w:r>
            <w:r w:rsidRPr="006433A4">
              <w:rPr>
                <w:i/>
              </w:rPr>
              <w:t>no</w:t>
            </w:r>
            <w:r w:rsidRPr="006433A4">
              <w:t xml:space="preserve">, the Regional Counsel returns the </w:t>
            </w:r>
            <w:proofErr w:type="gramStart"/>
            <w:r w:rsidR="007403F7" w:rsidRPr="006433A4">
              <w:t xml:space="preserve">case </w:t>
            </w:r>
            <w:r w:rsidRPr="006433A4">
              <w:t xml:space="preserve"> to</w:t>
            </w:r>
            <w:proofErr w:type="gramEnd"/>
            <w:r w:rsidRPr="006433A4">
              <w:t xml:space="preserve"> the </w:t>
            </w:r>
            <w:r w:rsidR="005E641F" w:rsidRPr="006433A4">
              <w:t>authorization activity</w:t>
            </w:r>
            <w:r w:rsidRPr="006433A4">
              <w:t xml:space="preserve"> by memorandum setting forth the basis for the decision.</w:t>
            </w:r>
          </w:p>
        </w:tc>
      </w:tr>
      <w:tr w:rsidR="00307CD4" w:rsidRPr="006433A4" w14:paraId="2B415D87" w14:textId="77777777" w:rsidTr="0049756B">
        <w:tc>
          <w:tcPr>
            <w:tcW w:w="878" w:type="dxa"/>
            <w:tcBorders>
              <w:top w:val="single" w:sz="6" w:space="0" w:color="auto"/>
              <w:left w:val="single" w:sz="6" w:space="0" w:color="auto"/>
              <w:bottom w:val="single" w:sz="6" w:space="0" w:color="auto"/>
              <w:right w:val="single" w:sz="6" w:space="0" w:color="auto"/>
            </w:tcBorders>
          </w:tcPr>
          <w:p w14:paraId="2B415D82" w14:textId="77777777" w:rsidR="00307CD4" w:rsidRPr="006433A4" w:rsidRDefault="00307CD4">
            <w:pPr>
              <w:pStyle w:val="TableText"/>
              <w:jc w:val="center"/>
            </w:pPr>
            <w:r w:rsidRPr="006433A4">
              <w:t>11</w:t>
            </w:r>
          </w:p>
        </w:tc>
        <w:tc>
          <w:tcPr>
            <w:tcW w:w="6670" w:type="dxa"/>
            <w:tcBorders>
              <w:top w:val="single" w:sz="6" w:space="0" w:color="auto"/>
              <w:bottom w:val="single" w:sz="6" w:space="0" w:color="auto"/>
              <w:right w:val="single" w:sz="6" w:space="0" w:color="auto"/>
            </w:tcBorders>
          </w:tcPr>
          <w:p w14:paraId="2B415D83" w14:textId="77777777" w:rsidR="00307CD4" w:rsidRPr="006433A4" w:rsidRDefault="00307CD4">
            <w:pPr>
              <w:pStyle w:val="TableText"/>
            </w:pPr>
            <w:r w:rsidRPr="006433A4">
              <w:t xml:space="preserve">The </w:t>
            </w:r>
            <w:r w:rsidR="005E641F" w:rsidRPr="006433A4">
              <w:t>authorization activity</w:t>
            </w:r>
            <w:r w:rsidRPr="006433A4">
              <w:t xml:space="preserve"> </w:t>
            </w:r>
          </w:p>
          <w:p w14:paraId="2B415D84" w14:textId="77777777" w:rsidR="00307CD4" w:rsidRPr="006433A4" w:rsidRDefault="00307CD4">
            <w:pPr>
              <w:pStyle w:val="TableText"/>
            </w:pPr>
          </w:p>
          <w:p w14:paraId="2B415D85" w14:textId="77777777" w:rsidR="00307CD4" w:rsidRPr="006433A4" w:rsidRDefault="00307CD4" w:rsidP="003A5863">
            <w:pPr>
              <w:numPr>
                <w:ilvl w:val="0"/>
                <w:numId w:val="22"/>
              </w:numPr>
              <w:ind w:left="158" w:hanging="187"/>
            </w:pPr>
            <w:r w:rsidRPr="006433A4">
              <w:t>takes action to suspend benefits based on the evidence of record, or</w:t>
            </w:r>
          </w:p>
          <w:p w14:paraId="2B415D86" w14:textId="77777777" w:rsidR="00307CD4" w:rsidRPr="006433A4" w:rsidRDefault="00307CD4" w:rsidP="003A5863">
            <w:pPr>
              <w:numPr>
                <w:ilvl w:val="0"/>
                <w:numId w:val="22"/>
              </w:numPr>
              <w:ind w:left="158" w:hanging="187"/>
            </w:pPr>
            <w:proofErr w:type="gramStart"/>
            <w:r w:rsidRPr="006433A4">
              <w:t>advises</w:t>
            </w:r>
            <w:proofErr w:type="gramEnd"/>
            <w:r w:rsidRPr="006433A4">
              <w:t xml:space="preserve"> the beneficiary that the case is not being submitted to C</w:t>
            </w:r>
            <w:r w:rsidR="0043530D" w:rsidRPr="006433A4">
              <w:t>ompensation Service or P&amp;F</w:t>
            </w:r>
            <w:r w:rsidRPr="006433A4">
              <w:t xml:space="preserve"> Service.</w:t>
            </w:r>
          </w:p>
        </w:tc>
      </w:tr>
    </w:tbl>
    <w:p w14:paraId="2B415D88" w14:textId="77777777" w:rsidR="00B02C9A" w:rsidRPr="006433A4" w:rsidRDefault="00B02C9A" w:rsidP="00B02C9A"/>
    <w:tbl>
      <w:tblPr>
        <w:tblW w:w="7740" w:type="dxa"/>
        <w:tblInd w:w="1728" w:type="dxa"/>
        <w:tblLook w:val="04A0" w:firstRow="1" w:lastRow="0" w:firstColumn="1" w:lastColumn="0" w:noHBand="0" w:noVBand="1"/>
      </w:tblPr>
      <w:tblGrid>
        <w:gridCol w:w="7740"/>
      </w:tblGrid>
      <w:tr w:rsidR="00B02C9A" w:rsidRPr="006433A4" w14:paraId="2B415D8E" w14:textId="77777777" w:rsidTr="00416E70">
        <w:tc>
          <w:tcPr>
            <w:tcW w:w="7740" w:type="dxa"/>
            <w:shd w:val="clear" w:color="auto" w:fill="auto"/>
          </w:tcPr>
          <w:p w14:paraId="2B415D89" w14:textId="77777777" w:rsidR="004D24E7" w:rsidRPr="006433A4" w:rsidRDefault="004D24E7" w:rsidP="00B02C9A">
            <w:pPr>
              <w:rPr>
                <w:b/>
                <w:i/>
              </w:rPr>
            </w:pPr>
            <w:r w:rsidRPr="006433A4">
              <w:rPr>
                <w:b/>
                <w:i/>
              </w:rPr>
              <w:t>Note</w:t>
            </w:r>
            <w:r w:rsidRPr="006433A4">
              <w:t>:  In the Manila RO, the title Regional Counsel also includes the VSCM because the VSCM in the Manila RO performs the Regional Counsel functions for forfeiture cases under jurisdiction of that office.</w:t>
            </w:r>
          </w:p>
          <w:p w14:paraId="2B415D8A" w14:textId="77777777" w:rsidR="004D24E7" w:rsidRPr="006433A4" w:rsidRDefault="004D24E7" w:rsidP="00B02C9A">
            <w:pPr>
              <w:rPr>
                <w:b/>
                <w:i/>
              </w:rPr>
            </w:pPr>
          </w:p>
          <w:p w14:paraId="2B415D8B" w14:textId="77777777" w:rsidR="00CF78A4" w:rsidRPr="006433A4" w:rsidRDefault="00B02C9A" w:rsidP="00B02C9A">
            <w:r w:rsidRPr="006433A4">
              <w:rPr>
                <w:b/>
                <w:i/>
              </w:rPr>
              <w:t>Reference</w:t>
            </w:r>
            <w:r w:rsidR="00CF78A4" w:rsidRPr="006433A4">
              <w:rPr>
                <w:b/>
                <w:i/>
              </w:rPr>
              <w:t>s</w:t>
            </w:r>
            <w:r w:rsidRPr="006433A4">
              <w:t xml:space="preserve">:  For more information on </w:t>
            </w:r>
          </w:p>
          <w:p w14:paraId="2B415D8C" w14:textId="77777777" w:rsidR="00CF78A4" w:rsidRPr="006433A4" w:rsidRDefault="00CF78A4" w:rsidP="00CF78A4">
            <w:pPr>
              <w:pStyle w:val="BulletText1"/>
            </w:pPr>
            <w:r w:rsidRPr="006433A4">
              <w:t>transferring claims folders, see M21-1, Part III, Subpart ii, Chapter 5, and</w:t>
            </w:r>
          </w:p>
          <w:p w14:paraId="2B415D8D" w14:textId="77777777" w:rsidR="00B02C9A" w:rsidRPr="006433A4" w:rsidRDefault="00B02C9A" w:rsidP="00CF78A4">
            <w:pPr>
              <w:pStyle w:val="BulletText1"/>
            </w:pPr>
            <w:proofErr w:type="gramStart"/>
            <w:r w:rsidRPr="006433A4">
              <w:t>jurisdiction</w:t>
            </w:r>
            <w:proofErr w:type="gramEnd"/>
            <w:r w:rsidRPr="006433A4">
              <w:t xml:space="preserve">, see </w:t>
            </w:r>
            <w:hyperlink r:id="rId23" w:history="1">
              <w:r w:rsidRPr="006433A4">
                <w:rPr>
                  <w:rStyle w:val="Hyperlink"/>
                </w:rPr>
                <w:t>38 CFR 3.905</w:t>
              </w:r>
            </w:hyperlink>
            <w:r w:rsidRPr="006433A4">
              <w:t>.</w:t>
            </w:r>
          </w:p>
        </w:tc>
      </w:tr>
    </w:tbl>
    <w:p w14:paraId="2B415D8F" w14:textId="77777777" w:rsidR="00B02C9A" w:rsidRPr="006433A4" w:rsidRDefault="00B02C9A" w:rsidP="00B02C9A">
      <w:pPr>
        <w:tabs>
          <w:tab w:val="left" w:pos="9360"/>
        </w:tabs>
        <w:ind w:left="1714"/>
      </w:pPr>
      <w:r w:rsidRPr="006433A4">
        <w:rPr>
          <w:u w:val="single"/>
        </w:rPr>
        <w:tab/>
      </w:r>
    </w:p>
    <w:p w14:paraId="2B415D90" w14:textId="77777777" w:rsidR="00B02C9A" w:rsidRPr="006433A4" w:rsidRDefault="00B02C9A" w:rsidP="006A50E3"/>
    <w:tbl>
      <w:tblPr>
        <w:tblW w:w="0" w:type="auto"/>
        <w:tblLayout w:type="fixed"/>
        <w:tblLook w:val="0000" w:firstRow="0" w:lastRow="0" w:firstColumn="0" w:lastColumn="0" w:noHBand="0" w:noVBand="0"/>
      </w:tblPr>
      <w:tblGrid>
        <w:gridCol w:w="1728"/>
        <w:gridCol w:w="7740"/>
      </w:tblGrid>
      <w:tr w:rsidR="00307CD4" w:rsidRPr="006433A4" w14:paraId="2B415D93" w14:textId="77777777">
        <w:trPr>
          <w:cantSplit/>
        </w:trPr>
        <w:tc>
          <w:tcPr>
            <w:tcW w:w="1728" w:type="dxa"/>
          </w:tcPr>
          <w:p w14:paraId="2B415D91" w14:textId="77777777" w:rsidR="00307CD4" w:rsidRPr="006433A4" w:rsidRDefault="00307CD4" w:rsidP="00001C17">
            <w:pPr>
              <w:pStyle w:val="Heading5"/>
            </w:pPr>
            <w:proofErr w:type="gramStart"/>
            <w:r w:rsidRPr="006433A4">
              <w:t>b.  Submitting</w:t>
            </w:r>
            <w:proofErr w:type="gramEnd"/>
            <w:r w:rsidRPr="006433A4">
              <w:t xml:space="preserve"> Cases of Forfeiture</w:t>
            </w:r>
            <w:r w:rsidR="00384AC3" w:rsidRPr="006433A4">
              <w:t xml:space="preserve"> Based on Fraud</w:t>
            </w:r>
            <w:r w:rsidR="00401C69" w:rsidRPr="006433A4">
              <w:t xml:space="preserve"> or Treasonable Acts</w:t>
            </w:r>
            <w:r w:rsidRPr="006433A4">
              <w:t xml:space="preserve"> to C</w:t>
            </w:r>
            <w:r w:rsidR="00401C69" w:rsidRPr="006433A4">
              <w:t xml:space="preserve">ompensation Service </w:t>
            </w:r>
            <w:r w:rsidR="00384AC3" w:rsidRPr="006433A4">
              <w:t>and</w:t>
            </w:r>
            <w:r w:rsidR="00401C69" w:rsidRPr="006433A4">
              <w:t xml:space="preserve"> P&amp;F</w:t>
            </w:r>
            <w:r w:rsidRPr="006433A4">
              <w:t xml:space="preserve"> Service</w:t>
            </w:r>
          </w:p>
        </w:tc>
        <w:tc>
          <w:tcPr>
            <w:tcW w:w="7740" w:type="dxa"/>
          </w:tcPr>
          <w:p w14:paraId="2B415D92" w14:textId="77777777" w:rsidR="00307CD4" w:rsidRPr="006433A4" w:rsidRDefault="00307CD4">
            <w:pPr>
              <w:pStyle w:val="BlockText"/>
            </w:pPr>
            <w:r w:rsidRPr="006433A4">
              <w:t>The table below describes the process for submitting cases of forfeiture of benefits based on fraud, fraudulent evidence, or treasonable acts to the C</w:t>
            </w:r>
            <w:r w:rsidR="0043530D" w:rsidRPr="006433A4">
              <w:t>ompensation Service or P&amp;F</w:t>
            </w:r>
            <w:r w:rsidRPr="006433A4">
              <w:t xml:space="preserve"> Service for consideration.</w:t>
            </w:r>
          </w:p>
        </w:tc>
      </w:tr>
    </w:tbl>
    <w:p w14:paraId="2B415D94" w14:textId="77777777" w:rsidR="00307CD4" w:rsidRPr="006433A4" w:rsidRDefault="00307CD4">
      <w:r w:rsidRPr="006433A4">
        <w:t xml:space="preserve"> </w:t>
      </w:r>
    </w:p>
    <w:tbl>
      <w:tblPr>
        <w:tblW w:w="0" w:type="auto"/>
        <w:tblInd w:w="1829" w:type="dxa"/>
        <w:tblLayout w:type="fixed"/>
        <w:tblLook w:val="0000" w:firstRow="0" w:lastRow="0" w:firstColumn="0" w:lastColumn="0" w:noHBand="0" w:noVBand="0"/>
      </w:tblPr>
      <w:tblGrid>
        <w:gridCol w:w="878"/>
        <w:gridCol w:w="6670"/>
      </w:tblGrid>
      <w:tr w:rsidR="00307CD4" w:rsidRPr="006433A4" w14:paraId="2B415D97" w14:textId="77777777" w:rsidTr="00CF78A4">
        <w:tc>
          <w:tcPr>
            <w:tcW w:w="878" w:type="dxa"/>
            <w:tcBorders>
              <w:top w:val="single" w:sz="6" w:space="0" w:color="auto"/>
              <w:left w:val="single" w:sz="6" w:space="0" w:color="auto"/>
              <w:bottom w:val="single" w:sz="6" w:space="0" w:color="auto"/>
              <w:right w:val="single" w:sz="6" w:space="0" w:color="auto"/>
            </w:tcBorders>
          </w:tcPr>
          <w:p w14:paraId="2B415D95" w14:textId="77777777" w:rsidR="00307CD4" w:rsidRPr="006433A4" w:rsidRDefault="00307CD4">
            <w:pPr>
              <w:pStyle w:val="TableHeaderText"/>
            </w:pPr>
            <w:r w:rsidRPr="006433A4">
              <w:t>Stage</w:t>
            </w:r>
          </w:p>
        </w:tc>
        <w:tc>
          <w:tcPr>
            <w:tcW w:w="6670" w:type="dxa"/>
            <w:tcBorders>
              <w:top w:val="single" w:sz="6" w:space="0" w:color="auto"/>
              <w:bottom w:val="single" w:sz="6" w:space="0" w:color="auto"/>
              <w:right w:val="single" w:sz="6" w:space="0" w:color="auto"/>
            </w:tcBorders>
          </w:tcPr>
          <w:p w14:paraId="2B415D96" w14:textId="77777777" w:rsidR="00307CD4" w:rsidRPr="006433A4" w:rsidRDefault="00307CD4">
            <w:pPr>
              <w:pStyle w:val="TableHeaderText"/>
            </w:pPr>
            <w:r w:rsidRPr="006433A4">
              <w:t>Description</w:t>
            </w:r>
          </w:p>
        </w:tc>
      </w:tr>
      <w:tr w:rsidR="00307CD4" w:rsidRPr="006433A4" w14:paraId="2B415D9C" w14:textId="77777777" w:rsidTr="00CF78A4">
        <w:tc>
          <w:tcPr>
            <w:tcW w:w="878" w:type="dxa"/>
            <w:tcBorders>
              <w:top w:val="single" w:sz="6" w:space="0" w:color="auto"/>
              <w:left w:val="single" w:sz="6" w:space="0" w:color="auto"/>
              <w:bottom w:val="single" w:sz="6" w:space="0" w:color="auto"/>
              <w:right w:val="single" w:sz="6" w:space="0" w:color="auto"/>
            </w:tcBorders>
          </w:tcPr>
          <w:p w14:paraId="2B415D98" w14:textId="77777777" w:rsidR="00307CD4" w:rsidRPr="006433A4" w:rsidRDefault="00307CD4">
            <w:pPr>
              <w:pStyle w:val="TableText"/>
              <w:jc w:val="center"/>
            </w:pPr>
            <w:r w:rsidRPr="006433A4">
              <w:t>1</w:t>
            </w:r>
          </w:p>
        </w:tc>
        <w:tc>
          <w:tcPr>
            <w:tcW w:w="6670" w:type="dxa"/>
            <w:tcBorders>
              <w:top w:val="single" w:sz="6" w:space="0" w:color="auto"/>
              <w:bottom w:val="single" w:sz="6" w:space="0" w:color="auto"/>
              <w:right w:val="single" w:sz="6" w:space="0" w:color="auto"/>
            </w:tcBorders>
          </w:tcPr>
          <w:p w14:paraId="2B415D99" w14:textId="77777777" w:rsidR="00307CD4" w:rsidRPr="006433A4" w:rsidRDefault="00307CD4">
            <w:pPr>
              <w:pStyle w:val="TableText"/>
            </w:pPr>
            <w:r w:rsidRPr="006433A4">
              <w:t xml:space="preserve">The Regional Counsel notifies the </w:t>
            </w:r>
            <w:r w:rsidR="00001C17" w:rsidRPr="006433A4">
              <w:t xml:space="preserve">RO </w:t>
            </w:r>
            <w:r w:rsidRPr="006433A4">
              <w:t>that he/she is submitting the case to C</w:t>
            </w:r>
            <w:r w:rsidR="0043530D" w:rsidRPr="006433A4">
              <w:t>ompensation Service or P&amp;F</w:t>
            </w:r>
            <w:r w:rsidRPr="006433A4">
              <w:t xml:space="preserve"> Service for consideration of forfeiture under the circumstances outlined in </w:t>
            </w:r>
            <w:hyperlink r:id="rId24" w:history="1">
              <w:r w:rsidRPr="006433A4">
                <w:rPr>
                  <w:rStyle w:val="Hyperlink"/>
                </w:rPr>
                <w:t>38 CFR 3.901</w:t>
              </w:r>
            </w:hyperlink>
            <w:r w:rsidRPr="006433A4">
              <w:t xml:space="preserve"> or </w:t>
            </w:r>
            <w:hyperlink r:id="rId25" w:history="1">
              <w:r w:rsidRPr="006433A4">
                <w:rPr>
                  <w:rStyle w:val="Hyperlink"/>
                </w:rPr>
                <w:t>38 CFR 3.902</w:t>
              </w:r>
            </w:hyperlink>
            <w:r w:rsidRPr="006433A4">
              <w:t>.</w:t>
            </w:r>
          </w:p>
          <w:p w14:paraId="2B415D9A" w14:textId="77777777" w:rsidR="00307CD4" w:rsidRPr="006433A4" w:rsidRDefault="00307CD4">
            <w:pPr>
              <w:pStyle w:val="TableText"/>
            </w:pPr>
          </w:p>
          <w:p w14:paraId="2B415D9B" w14:textId="77777777" w:rsidR="00307CD4" w:rsidRPr="006433A4" w:rsidRDefault="00307CD4" w:rsidP="00001C17">
            <w:pPr>
              <w:pStyle w:val="TableText"/>
            </w:pPr>
            <w:r w:rsidRPr="006433A4">
              <w:rPr>
                <w:b/>
                <w:i/>
              </w:rPr>
              <w:t>Note</w:t>
            </w:r>
            <w:r w:rsidRPr="006433A4">
              <w:t xml:space="preserve">:  If the </w:t>
            </w:r>
            <w:r w:rsidR="00001C17" w:rsidRPr="006433A4">
              <w:t xml:space="preserve">authorization activity </w:t>
            </w:r>
            <w:r w:rsidRPr="006433A4">
              <w:t>has already suspended payments and furnished a notice of proposed adverse action and final notification to the beneficiary before referring the case to the Regional Counsel, no further action is required.</w:t>
            </w:r>
          </w:p>
        </w:tc>
      </w:tr>
      <w:tr w:rsidR="00307CD4" w:rsidRPr="006433A4" w14:paraId="2B415DA3" w14:textId="77777777" w:rsidTr="00CF78A4">
        <w:tc>
          <w:tcPr>
            <w:tcW w:w="878" w:type="dxa"/>
            <w:tcBorders>
              <w:top w:val="single" w:sz="6" w:space="0" w:color="auto"/>
              <w:left w:val="single" w:sz="6" w:space="0" w:color="auto"/>
              <w:bottom w:val="single" w:sz="6" w:space="0" w:color="auto"/>
              <w:right w:val="single" w:sz="6" w:space="0" w:color="auto"/>
            </w:tcBorders>
          </w:tcPr>
          <w:p w14:paraId="2B415D9D" w14:textId="77777777" w:rsidR="00307CD4" w:rsidRPr="006433A4" w:rsidRDefault="00307CD4">
            <w:pPr>
              <w:pStyle w:val="TableText"/>
              <w:jc w:val="center"/>
            </w:pPr>
            <w:r w:rsidRPr="006433A4">
              <w:t>2</w:t>
            </w:r>
          </w:p>
        </w:tc>
        <w:tc>
          <w:tcPr>
            <w:tcW w:w="6670" w:type="dxa"/>
            <w:tcBorders>
              <w:top w:val="single" w:sz="6" w:space="0" w:color="auto"/>
              <w:bottom w:val="single" w:sz="6" w:space="0" w:color="auto"/>
              <w:right w:val="single" w:sz="6" w:space="0" w:color="auto"/>
            </w:tcBorders>
          </w:tcPr>
          <w:p w14:paraId="2B415D9E" w14:textId="77777777" w:rsidR="00307CD4" w:rsidRPr="006433A4" w:rsidRDefault="00307CD4">
            <w:pPr>
              <w:pStyle w:val="TableText"/>
            </w:pPr>
            <w:r w:rsidRPr="006433A4">
              <w:t xml:space="preserve">The </w:t>
            </w:r>
            <w:r w:rsidR="00001C17" w:rsidRPr="006433A4">
              <w:t>authorization activity</w:t>
            </w:r>
          </w:p>
          <w:p w14:paraId="2B415D9F" w14:textId="77777777" w:rsidR="00307CD4" w:rsidRPr="006433A4" w:rsidRDefault="00307CD4">
            <w:pPr>
              <w:pStyle w:val="TableText"/>
            </w:pPr>
          </w:p>
          <w:p w14:paraId="2B415DA0" w14:textId="77777777" w:rsidR="00307CD4" w:rsidRPr="006433A4" w:rsidRDefault="00307CD4" w:rsidP="003A5863">
            <w:pPr>
              <w:numPr>
                <w:ilvl w:val="0"/>
                <w:numId w:val="23"/>
              </w:numPr>
              <w:ind w:left="158" w:hanging="187"/>
            </w:pPr>
            <w:r w:rsidRPr="006433A4">
              <w:t>suspends payments effective the date of last payment</w:t>
            </w:r>
          </w:p>
          <w:p w14:paraId="2B415DA1" w14:textId="77777777" w:rsidR="00307CD4" w:rsidRPr="006433A4" w:rsidRDefault="00307CD4" w:rsidP="003A5863">
            <w:pPr>
              <w:numPr>
                <w:ilvl w:val="0"/>
                <w:numId w:val="23"/>
              </w:numPr>
              <w:ind w:left="158" w:hanging="187"/>
            </w:pPr>
            <w:r w:rsidRPr="006433A4">
              <w:t xml:space="preserve">furnishes final notification to the beneficiary, and  </w:t>
            </w:r>
          </w:p>
          <w:p w14:paraId="2B415DA2" w14:textId="77777777" w:rsidR="00307CD4" w:rsidRPr="006433A4" w:rsidRDefault="00307CD4" w:rsidP="003A5863">
            <w:pPr>
              <w:numPr>
                <w:ilvl w:val="0"/>
                <w:numId w:val="23"/>
              </w:numPr>
              <w:ind w:left="158" w:hanging="187"/>
            </w:pPr>
            <w:proofErr w:type="gramStart"/>
            <w:r w:rsidRPr="006433A4">
              <w:t>returns</w:t>
            </w:r>
            <w:proofErr w:type="gramEnd"/>
            <w:r w:rsidRPr="006433A4">
              <w:t xml:space="preserve"> the claims folder to the Regional Counsel to submit to C</w:t>
            </w:r>
            <w:r w:rsidR="0043530D" w:rsidRPr="006433A4">
              <w:t>ompensation Service or P&amp;F</w:t>
            </w:r>
            <w:r w:rsidRPr="006433A4">
              <w:t xml:space="preserve"> Service.</w:t>
            </w:r>
          </w:p>
        </w:tc>
      </w:tr>
      <w:tr w:rsidR="00307CD4" w:rsidRPr="006433A4" w14:paraId="2B415DA9" w14:textId="77777777" w:rsidTr="00CF78A4">
        <w:tc>
          <w:tcPr>
            <w:tcW w:w="878" w:type="dxa"/>
            <w:tcBorders>
              <w:top w:val="single" w:sz="6" w:space="0" w:color="auto"/>
              <w:left w:val="single" w:sz="6" w:space="0" w:color="auto"/>
              <w:bottom w:val="single" w:sz="6" w:space="0" w:color="auto"/>
              <w:right w:val="single" w:sz="6" w:space="0" w:color="auto"/>
            </w:tcBorders>
          </w:tcPr>
          <w:p w14:paraId="2B415DA4" w14:textId="77777777" w:rsidR="00307CD4" w:rsidRPr="006433A4" w:rsidRDefault="00307CD4">
            <w:pPr>
              <w:pStyle w:val="TableText"/>
              <w:jc w:val="center"/>
            </w:pPr>
            <w:r w:rsidRPr="006433A4">
              <w:t>3</w:t>
            </w:r>
          </w:p>
        </w:tc>
        <w:tc>
          <w:tcPr>
            <w:tcW w:w="6670" w:type="dxa"/>
            <w:tcBorders>
              <w:top w:val="single" w:sz="6" w:space="0" w:color="auto"/>
              <w:bottom w:val="single" w:sz="6" w:space="0" w:color="auto"/>
              <w:right w:val="single" w:sz="6" w:space="0" w:color="auto"/>
            </w:tcBorders>
          </w:tcPr>
          <w:p w14:paraId="2B415DA5" w14:textId="77777777" w:rsidR="00307CD4" w:rsidRPr="006433A4" w:rsidRDefault="00307CD4">
            <w:pPr>
              <w:pStyle w:val="TableText"/>
            </w:pPr>
            <w:r w:rsidRPr="006433A4">
              <w:t xml:space="preserve">The Regional Counsel </w:t>
            </w:r>
          </w:p>
          <w:p w14:paraId="2B415DA6" w14:textId="77777777" w:rsidR="00307CD4" w:rsidRPr="006433A4" w:rsidRDefault="00307CD4">
            <w:pPr>
              <w:pStyle w:val="TableText"/>
            </w:pPr>
          </w:p>
          <w:p w14:paraId="2B415DA7" w14:textId="77777777" w:rsidR="00307CD4" w:rsidRPr="006433A4" w:rsidRDefault="00307CD4" w:rsidP="003A5863">
            <w:pPr>
              <w:numPr>
                <w:ilvl w:val="0"/>
                <w:numId w:val="24"/>
              </w:numPr>
              <w:ind w:left="158" w:hanging="187"/>
            </w:pPr>
            <w:r w:rsidRPr="006433A4">
              <w:t>prepares the submission letter to C</w:t>
            </w:r>
            <w:r w:rsidR="0043530D" w:rsidRPr="006433A4">
              <w:t>ompensation Service or P&amp;F</w:t>
            </w:r>
            <w:r w:rsidRPr="006433A4">
              <w:t xml:space="preserve"> Service for consideration of forfeiture under the circumstances outlined in </w:t>
            </w:r>
            <w:hyperlink r:id="rId26" w:history="1">
              <w:r w:rsidRPr="006433A4">
                <w:rPr>
                  <w:rStyle w:val="Hyperlink"/>
                </w:rPr>
                <w:t>38 CFR 3.901</w:t>
              </w:r>
            </w:hyperlink>
            <w:r w:rsidRPr="006433A4">
              <w:t xml:space="preserve"> or </w:t>
            </w:r>
            <w:hyperlink r:id="rId27" w:history="1">
              <w:r w:rsidRPr="006433A4">
                <w:rPr>
                  <w:rStyle w:val="Hyperlink"/>
                </w:rPr>
                <w:t>38 CFR 3.902</w:t>
              </w:r>
            </w:hyperlink>
            <w:r w:rsidRPr="006433A4">
              <w:t>, and</w:t>
            </w:r>
          </w:p>
          <w:p w14:paraId="2B415DA8" w14:textId="77777777" w:rsidR="00307CD4" w:rsidRPr="006433A4" w:rsidRDefault="00307CD4" w:rsidP="00CF78A4">
            <w:pPr>
              <w:numPr>
                <w:ilvl w:val="0"/>
                <w:numId w:val="24"/>
              </w:numPr>
              <w:ind w:left="158" w:hanging="187"/>
            </w:pPr>
            <w:r w:rsidRPr="006433A4">
              <w:t xml:space="preserve">notifies the </w:t>
            </w:r>
            <w:r w:rsidR="00894BC9" w:rsidRPr="006433A4">
              <w:t>RO</w:t>
            </w:r>
            <w:r w:rsidRPr="006433A4">
              <w:t xml:space="preserve"> when the claims folder is ready for transfer to C</w:t>
            </w:r>
            <w:r w:rsidR="00894BC9" w:rsidRPr="006433A4">
              <w:t>ompensation Service or P&amp;F</w:t>
            </w:r>
            <w:r w:rsidRPr="006433A4">
              <w:t xml:space="preserve"> Service</w:t>
            </w:r>
          </w:p>
        </w:tc>
      </w:tr>
      <w:tr w:rsidR="00307CD4" w:rsidRPr="006433A4" w14:paraId="2B415DB5" w14:textId="77777777" w:rsidTr="00CF78A4">
        <w:tc>
          <w:tcPr>
            <w:tcW w:w="878" w:type="dxa"/>
            <w:tcBorders>
              <w:top w:val="single" w:sz="6" w:space="0" w:color="auto"/>
              <w:left w:val="single" w:sz="6" w:space="0" w:color="auto"/>
              <w:bottom w:val="single" w:sz="6" w:space="0" w:color="auto"/>
              <w:right w:val="single" w:sz="6" w:space="0" w:color="auto"/>
            </w:tcBorders>
          </w:tcPr>
          <w:p w14:paraId="2B415DAA" w14:textId="77777777" w:rsidR="00307CD4" w:rsidRPr="006433A4" w:rsidRDefault="00307CD4">
            <w:pPr>
              <w:pStyle w:val="TableText"/>
              <w:jc w:val="center"/>
            </w:pPr>
            <w:r w:rsidRPr="006433A4">
              <w:lastRenderedPageBreak/>
              <w:t>4</w:t>
            </w:r>
          </w:p>
        </w:tc>
        <w:tc>
          <w:tcPr>
            <w:tcW w:w="6670" w:type="dxa"/>
            <w:tcBorders>
              <w:top w:val="single" w:sz="6" w:space="0" w:color="auto"/>
              <w:bottom w:val="single" w:sz="6" w:space="0" w:color="auto"/>
              <w:right w:val="single" w:sz="6" w:space="0" w:color="auto"/>
            </w:tcBorders>
          </w:tcPr>
          <w:p w14:paraId="2B415DAB" w14:textId="77777777" w:rsidR="001638CD" w:rsidRPr="006433A4" w:rsidRDefault="00307CD4" w:rsidP="00940AB6">
            <w:pPr>
              <w:pStyle w:val="TableText"/>
            </w:pPr>
            <w:r w:rsidRPr="006433A4">
              <w:t xml:space="preserve">The </w:t>
            </w:r>
            <w:r w:rsidR="00CF78A4" w:rsidRPr="006433A4">
              <w:t xml:space="preserve">development and/or authorization activity </w:t>
            </w:r>
            <w:r w:rsidRPr="006433A4">
              <w:t>transfers the claims folder to C</w:t>
            </w:r>
            <w:r w:rsidR="0043530D" w:rsidRPr="006433A4">
              <w:t>ompensation Service or P&amp;F</w:t>
            </w:r>
            <w:r w:rsidRPr="006433A4">
              <w:t xml:space="preserve"> Service.</w:t>
            </w:r>
          </w:p>
          <w:p w14:paraId="2B415DAC" w14:textId="77777777" w:rsidR="001638CD" w:rsidRPr="006433A4" w:rsidRDefault="001638CD" w:rsidP="00940AB6">
            <w:pPr>
              <w:pStyle w:val="TableText"/>
            </w:pPr>
          </w:p>
          <w:p w14:paraId="2B415DAD" w14:textId="77777777" w:rsidR="00940AB6" w:rsidRPr="006433A4" w:rsidRDefault="00940AB6" w:rsidP="00940AB6">
            <w:pPr>
              <w:pStyle w:val="TableText"/>
            </w:pPr>
            <w:r w:rsidRPr="006433A4">
              <w:t xml:space="preserve">For </w:t>
            </w:r>
            <w:r w:rsidR="001638CD" w:rsidRPr="006433A4">
              <w:t>electronic claims folders (</w:t>
            </w:r>
            <w:r w:rsidRPr="006433A4">
              <w:t>eFolders</w:t>
            </w:r>
            <w:r w:rsidR="001638CD" w:rsidRPr="006433A4">
              <w:t>)</w:t>
            </w:r>
            <w:r w:rsidRPr="006433A4">
              <w:t xml:space="preserve">, </w:t>
            </w:r>
            <w:r w:rsidR="001638CD" w:rsidRPr="006433A4">
              <w:t xml:space="preserve">the VSR </w:t>
            </w:r>
            <w:r w:rsidR="001638CD" w:rsidRPr="006433A4">
              <w:rPr>
                <w:b/>
                <w:i/>
              </w:rPr>
              <w:t>must</w:t>
            </w:r>
            <w:r w:rsidR="001638CD" w:rsidRPr="006433A4">
              <w:t xml:space="preserve"> </w:t>
            </w:r>
            <w:r w:rsidRPr="006433A4">
              <w:t>send notification via e-mail to either Compensation Service or to P&amp;F Service.  The mailbox for</w:t>
            </w:r>
          </w:p>
          <w:p w14:paraId="2B415DAE" w14:textId="77777777" w:rsidR="00940AB6" w:rsidRPr="006433A4" w:rsidRDefault="00940AB6" w:rsidP="00940AB6">
            <w:pPr>
              <w:pStyle w:val="TableText"/>
            </w:pPr>
          </w:p>
          <w:p w14:paraId="2B415DAF" w14:textId="77777777" w:rsidR="00940AB6" w:rsidRPr="006433A4" w:rsidRDefault="00940AB6" w:rsidP="00940AB6">
            <w:pPr>
              <w:numPr>
                <w:ilvl w:val="0"/>
                <w:numId w:val="33"/>
              </w:numPr>
              <w:ind w:left="158" w:hanging="187"/>
            </w:pPr>
            <w:r w:rsidRPr="006433A4">
              <w:t xml:space="preserve">Compensation Service is </w:t>
            </w:r>
            <w:hyperlink r:id="rId28" w:history="1">
              <w:r w:rsidRPr="006433A4">
                <w:rPr>
                  <w:rStyle w:val="Hyperlink"/>
                </w:rPr>
                <w:t>VAVBAWAS/CO/21</w:t>
              </w:r>
            </w:hyperlink>
            <w:r w:rsidRPr="006433A4">
              <w:t>, and</w:t>
            </w:r>
          </w:p>
          <w:p w14:paraId="2B415DB0" w14:textId="77777777" w:rsidR="00940AB6" w:rsidRPr="006433A4" w:rsidRDefault="00940AB6" w:rsidP="00940AB6">
            <w:pPr>
              <w:numPr>
                <w:ilvl w:val="0"/>
                <w:numId w:val="33"/>
              </w:numPr>
              <w:ind w:left="158" w:hanging="187"/>
            </w:pPr>
            <w:r w:rsidRPr="006433A4">
              <w:t xml:space="preserve">P&amp;F Service is </w:t>
            </w:r>
            <w:hyperlink r:id="rId29" w:history="1">
              <w:r w:rsidRPr="006433A4">
                <w:rPr>
                  <w:rStyle w:val="Hyperlink"/>
                </w:rPr>
                <w:t>VAVBAWAS/CO/Pension &amp; Fiduciary Svc</w:t>
              </w:r>
            </w:hyperlink>
            <w:r w:rsidRPr="006433A4">
              <w:t>.</w:t>
            </w:r>
          </w:p>
          <w:p w14:paraId="2B415DB1" w14:textId="77777777" w:rsidR="00940AB6" w:rsidRPr="006433A4" w:rsidRDefault="00940AB6" w:rsidP="00940AB6">
            <w:pPr>
              <w:pStyle w:val="TableText"/>
            </w:pPr>
          </w:p>
          <w:p w14:paraId="2B415DB2" w14:textId="77777777" w:rsidR="00940AB6" w:rsidRPr="006433A4" w:rsidRDefault="00940AB6" w:rsidP="00940AB6">
            <w:pPr>
              <w:pStyle w:val="TableText"/>
            </w:pPr>
            <w:r w:rsidRPr="006433A4">
              <w:rPr>
                <w:b/>
                <w:i/>
              </w:rPr>
              <w:t>Important</w:t>
            </w:r>
            <w:r w:rsidRPr="006433A4">
              <w:t>:  The period behind “Svc” must be included when addressing the e-mail to P&amp;F Service.</w:t>
            </w:r>
          </w:p>
          <w:p w14:paraId="2B415DB3" w14:textId="77777777" w:rsidR="007C778A" w:rsidRPr="006433A4" w:rsidRDefault="007C778A" w:rsidP="00940AB6">
            <w:pPr>
              <w:pStyle w:val="TableText"/>
            </w:pPr>
          </w:p>
          <w:p w14:paraId="2B415DB4" w14:textId="77777777" w:rsidR="00307CD4" w:rsidRPr="006433A4" w:rsidRDefault="00307CD4" w:rsidP="00BD1FB3">
            <w:pPr>
              <w:pStyle w:val="TableText"/>
              <w:rPr>
                <w:b/>
              </w:rPr>
            </w:pPr>
            <w:r w:rsidRPr="006433A4">
              <w:rPr>
                <w:b/>
                <w:i/>
              </w:rPr>
              <w:t>Reference</w:t>
            </w:r>
            <w:r w:rsidRPr="006433A4">
              <w:t>:  For more information on transfer</w:t>
            </w:r>
            <w:r w:rsidR="00BD1FB3" w:rsidRPr="006433A4">
              <w:t>ring claims folders</w:t>
            </w:r>
            <w:r w:rsidRPr="006433A4">
              <w:t>, see M21-1, Part III, Subpart ii, 5.</w:t>
            </w:r>
          </w:p>
        </w:tc>
      </w:tr>
      <w:tr w:rsidR="00307CD4" w:rsidRPr="006433A4" w14:paraId="2B415DC0" w14:textId="77777777" w:rsidTr="00CF78A4">
        <w:tc>
          <w:tcPr>
            <w:tcW w:w="878" w:type="dxa"/>
            <w:tcBorders>
              <w:top w:val="single" w:sz="6" w:space="0" w:color="auto"/>
              <w:left w:val="single" w:sz="6" w:space="0" w:color="auto"/>
              <w:bottom w:val="single" w:sz="6" w:space="0" w:color="auto"/>
              <w:right w:val="single" w:sz="6" w:space="0" w:color="auto"/>
            </w:tcBorders>
          </w:tcPr>
          <w:p w14:paraId="2B415DB6" w14:textId="77777777" w:rsidR="00307CD4" w:rsidRPr="006433A4" w:rsidRDefault="00307CD4">
            <w:pPr>
              <w:pStyle w:val="TableText"/>
              <w:jc w:val="center"/>
            </w:pPr>
            <w:r w:rsidRPr="006433A4">
              <w:t>5</w:t>
            </w:r>
          </w:p>
        </w:tc>
        <w:tc>
          <w:tcPr>
            <w:tcW w:w="6670" w:type="dxa"/>
            <w:tcBorders>
              <w:top w:val="single" w:sz="6" w:space="0" w:color="auto"/>
              <w:bottom w:val="single" w:sz="6" w:space="0" w:color="auto"/>
              <w:right w:val="single" w:sz="6" w:space="0" w:color="auto"/>
            </w:tcBorders>
          </w:tcPr>
          <w:p w14:paraId="2B415DB7" w14:textId="77777777" w:rsidR="00307CD4" w:rsidRPr="006433A4" w:rsidRDefault="00307CD4">
            <w:pPr>
              <w:pStyle w:val="TableText"/>
            </w:pPr>
            <w:r w:rsidRPr="006433A4">
              <w:t>The Director of C</w:t>
            </w:r>
            <w:r w:rsidR="00E052F8" w:rsidRPr="006433A4">
              <w:t>ompensation Service</w:t>
            </w:r>
            <w:r w:rsidR="00413C83" w:rsidRPr="006433A4">
              <w:t>,</w:t>
            </w:r>
            <w:r w:rsidR="00E052F8" w:rsidRPr="006433A4">
              <w:t xml:space="preserve"> the Director of </w:t>
            </w:r>
            <w:r w:rsidRPr="006433A4">
              <w:t>P</w:t>
            </w:r>
            <w:r w:rsidR="00E052F8" w:rsidRPr="006433A4">
              <w:t xml:space="preserve">&amp;F </w:t>
            </w:r>
            <w:r w:rsidRPr="006433A4">
              <w:t>Service</w:t>
            </w:r>
            <w:r w:rsidR="00413C83" w:rsidRPr="006433A4">
              <w:t>,</w:t>
            </w:r>
            <w:r w:rsidRPr="006433A4">
              <w:t xml:space="preserve"> </w:t>
            </w:r>
            <w:r w:rsidR="00413C83" w:rsidRPr="006433A4">
              <w:t>or</w:t>
            </w:r>
            <w:r w:rsidRPr="006433A4">
              <w:t xml:space="preserve"> designated staff officials within </w:t>
            </w:r>
            <w:r w:rsidR="00413C83" w:rsidRPr="006433A4">
              <w:t xml:space="preserve">these </w:t>
            </w:r>
            <w:r w:rsidRPr="006433A4">
              <w:t>service</w:t>
            </w:r>
            <w:r w:rsidR="00413C83" w:rsidRPr="006433A4">
              <w:t>s</w:t>
            </w:r>
            <w:r w:rsidRPr="006433A4">
              <w:t xml:space="preserve"> </w:t>
            </w:r>
          </w:p>
          <w:p w14:paraId="2B415DB8" w14:textId="77777777" w:rsidR="00307CD4" w:rsidRPr="006433A4" w:rsidRDefault="00307CD4">
            <w:pPr>
              <w:pStyle w:val="TableText"/>
            </w:pPr>
          </w:p>
          <w:p w14:paraId="2B415DB9" w14:textId="77777777" w:rsidR="00307CD4" w:rsidRPr="006433A4" w:rsidRDefault="00307CD4" w:rsidP="003A5863">
            <w:pPr>
              <w:numPr>
                <w:ilvl w:val="0"/>
                <w:numId w:val="25"/>
              </w:numPr>
              <w:ind w:left="158" w:hanging="187"/>
            </w:pPr>
            <w:r w:rsidRPr="006433A4">
              <w:t>determine whether or not benefits will be forfeited</w:t>
            </w:r>
          </w:p>
          <w:p w14:paraId="2B415DBA" w14:textId="77777777" w:rsidR="00307CD4" w:rsidRPr="006433A4" w:rsidRDefault="00307CD4" w:rsidP="003A5863">
            <w:pPr>
              <w:numPr>
                <w:ilvl w:val="0"/>
                <w:numId w:val="25"/>
              </w:numPr>
              <w:ind w:left="158" w:hanging="187"/>
            </w:pPr>
            <w:r w:rsidRPr="006433A4">
              <w:t>notify the Regional Counsel of the determination, and</w:t>
            </w:r>
          </w:p>
          <w:p w14:paraId="2B415DBB" w14:textId="77777777" w:rsidR="00307CD4" w:rsidRPr="006433A4" w:rsidRDefault="00307CD4" w:rsidP="003A5863">
            <w:pPr>
              <w:numPr>
                <w:ilvl w:val="0"/>
                <w:numId w:val="25"/>
              </w:numPr>
              <w:ind w:left="158" w:hanging="187"/>
            </w:pPr>
            <w:proofErr w:type="gramStart"/>
            <w:r w:rsidRPr="006433A4">
              <w:t>return</w:t>
            </w:r>
            <w:proofErr w:type="gramEnd"/>
            <w:r w:rsidRPr="006433A4">
              <w:t xml:space="preserve"> the case to the RO.</w:t>
            </w:r>
          </w:p>
          <w:p w14:paraId="2B415DBC" w14:textId="77777777" w:rsidR="00307CD4" w:rsidRPr="006433A4" w:rsidRDefault="00307CD4">
            <w:pPr>
              <w:pStyle w:val="TableText"/>
            </w:pPr>
          </w:p>
          <w:p w14:paraId="2B415DBD" w14:textId="77777777" w:rsidR="00307CD4" w:rsidRPr="006433A4" w:rsidRDefault="00307CD4">
            <w:pPr>
              <w:pStyle w:val="TableText"/>
            </w:pPr>
            <w:r w:rsidRPr="006433A4">
              <w:rPr>
                <w:b/>
                <w:i/>
              </w:rPr>
              <w:t>References</w:t>
            </w:r>
            <w:r w:rsidRPr="006433A4">
              <w:t xml:space="preserve">:  For the </w:t>
            </w:r>
          </w:p>
          <w:p w14:paraId="2B415DBE" w14:textId="77777777" w:rsidR="00307CD4" w:rsidRPr="006433A4" w:rsidRDefault="00307CD4" w:rsidP="003A5863">
            <w:pPr>
              <w:numPr>
                <w:ilvl w:val="0"/>
                <w:numId w:val="26"/>
              </w:numPr>
              <w:ind w:left="158" w:hanging="187"/>
            </w:pPr>
            <w:r w:rsidRPr="006433A4">
              <w:t>process for handling the jurisdiction of the claims folder in cases in which C</w:t>
            </w:r>
            <w:r w:rsidR="00E052F8" w:rsidRPr="006433A4">
              <w:t>ompensation Service or P&amp;F</w:t>
            </w:r>
            <w:r w:rsidRPr="006433A4">
              <w:t xml:space="preserve"> Service declares forfeiture, see M21-1, Part III, Subpart vi, 5.B.</w:t>
            </w:r>
            <w:r w:rsidR="00DC4AAC" w:rsidRPr="006433A4">
              <w:t>2</w:t>
            </w:r>
            <w:r w:rsidRPr="006433A4">
              <w:t>.d, and</w:t>
            </w:r>
          </w:p>
          <w:p w14:paraId="2B415DBF" w14:textId="77777777" w:rsidR="00307CD4" w:rsidRPr="006433A4" w:rsidRDefault="00307CD4" w:rsidP="003A5863">
            <w:pPr>
              <w:numPr>
                <w:ilvl w:val="0"/>
                <w:numId w:val="26"/>
              </w:numPr>
              <w:ind w:left="158" w:hanging="187"/>
            </w:pPr>
            <w:proofErr w:type="gramStart"/>
            <w:r w:rsidRPr="006433A4">
              <w:t>procedure</w:t>
            </w:r>
            <w:proofErr w:type="gramEnd"/>
            <w:r w:rsidRPr="006433A4">
              <w:t xml:space="preserve"> for resuming payments when C</w:t>
            </w:r>
            <w:r w:rsidR="00E052F8" w:rsidRPr="006433A4">
              <w:t>ompensation Service or P&amp;F</w:t>
            </w:r>
            <w:r w:rsidRPr="006433A4">
              <w:t xml:space="preserve"> Service does not declare forfeiture, see M21-1, Part III, Subpart vi, 5.B.</w:t>
            </w:r>
            <w:r w:rsidR="00DC4AAC" w:rsidRPr="006433A4">
              <w:t>2</w:t>
            </w:r>
            <w:r w:rsidRPr="006433A4">
              <w:t>.e.</w:t>
            </w:r>
          </w:p>
        </w:tc>
      </w:tr>
    </w:tbl>
    <w:p w14:paraId="2B415DC1" w14:textId="77777777" w:rsidR="00307CD4" w:rsidRPr="006433A4" w:rsidRDefault="00307CD4">
      <w:pPr>
        <w:pStyle w:val="BlockLine"/>
      </w:pPr>
    </w:p>
    <w:tbl>
      <w:tblPr>
        <w:tblW w:w="0" w:type="auto"/>
        <w:tblLayout w:type="fixed"/>
        <w:tblLook w:val="0000" w:firstRow="0" w:lastRow="0" w:firstColumn="0" w:lastColumn="0" w:noHBand="0" w:noVBand="0"/>
      </w:tblPr>
      <w:tblGrid>
        <w:gridCol w:w="1728"/>
        <w:gridCol w:w="7740"/>
      </w:tblGrid>
      <w:tr w:rsidR="00307CD4" w:rsidRPr="006433A4" w14:paraId="2B415DCB" w14:textId="77777777">
        <w:trPr>
          <w:cantSplit/>
        </w:trPr>
        <w:tc>
          <w:tcPr>
            <w:tcW w:w="1728" w:type="dxa"/>
          </w:tcPr>
          <w:p w14:paraId="2B415DC2" w14:textId="77777777" w:rsidR="00307CD4" w:rsidRPr="006433A4" w:rsidRDefault="00307CD4" w:rsidP="003A6FB0">
            <w:pPr>
              <w:pStyle w:val="Heading5"/>
            </w:pPr>
            <w:proofErr w:type="gramStart"/>
            <w:r w:rsidRPr="006433A4">
              <w:t>c.  Handling</w:t>
            </w:r>
            <w:proofErr w:type="gramEnd"/>
            <w:r w:rsidRPr="006433A4">
              <w:t xml:space="preserve"> Forfeiture of Benefits Based on </w:t>
            </w:r>
            <w:r w:rsidR="00384AC3" w:rsidRPr="006433A4">
              <w:t xml:space="preserve">Claimant’s </w:t>
            </w:r>
            <w:r w:rsidRPr="006433A4">
              <w:t>Subversive Activity Under 38 CFR 3.903</w:t>
            </w:r>
          </w:p>
        </w:tc>
        <w:tc>
          <w:tcPr>
            <w:tcW w:w="7740" w:type="dxa"/>
          </w:tcPr>
          <w:p w14:paraId="2B415DC3" w14:textId="77777777" w:rsidR="00307CD4" w:rsidRPr="006433A4" w:rsidRDefault="00307CD4">
            <w:pPr>
              <w:pStyle w:val="BlockText"/>
            </w:pPr>
            <w:r w:rsidRPr="006433A4">
              <w:t>The Attorney General, Secretary of Defense, or Secretary of Treasury notifies VA when a person is indicted or convicted of subversive activity.</w:t>
            </w:r>
          </w:p>
          <w:p w14:paraId="2B415DC4" w14:textId="77777777" w:rsidR="00307CD4" w:rsidRPr="006433A4" w:rsidRDefault="00307CD4">
            <w:pPr>
              <w:pStyle w:val="BlockText"/>
            </w:pPr>
          </w:p>
          <w:p w14:paraId="2B415DC5" w14:textId="77777777" w:rsidR="00307CD4" w:rsidRPr="006433A4" w:rsidRDefault="00307CD4">
            <w:pPr>
              <w:pStyle w:val="BlockText"/>
            </w:pPr>
            <w:r w:rsidRPr="006433A4">
              <w:t>After notification of</w:t>
            </w:r>
          </w:p>
          <w:p w14:paraId="2B415DC6" w14:textId="77777777" w:rsidR="00307CD4" w:rsidRPr="006433A4" w:rsidRDefault="00307CD4">
            <w:pPr>
              <w:pStyle w:val="BlockText"/>
            </w:pPr>
          </w:p>
          <w:p w14:paraId="2B415DC7" w14:textId="77777777" w:rsidR="00307CD4" w:rsidRPr="006433A4" w:rsidRDefault="00307CD4" w:rsidP="003A5863">
            <w:pPr>
              <w:numPr>
                <w:ilvl w:val="0"/>
                <w:numId w:val="27"/>
              </w:numPr>
              <w:ind w:left="158" w:hanging="187"/>
            </w:pPr>
            <w:r w:rsidRPr="006433A4">
              <w:t xml:space="preserve">an indictment, suspend payments pending disposition of the criminal proceedings, and </w:t>
            </w:r>
          </w:p>
          <w:p w14:paraId="2B415DC8" w14:textId="77777777" w:rsidR="00307CD4" w:rsidRPr="006433A4" w:rsidRDefault="00307CD4" w:rsidP="003A5863">
            <w:pPr>
              <w:numPr>
                <w:ilvl w:val="0"/>
                <w:numId w:val="27"/>
              </w:numPr>
              <w:ind w:left="158" w:hanging="187"/>
            </w:pPr>
            <w:proofErr w:type="gramStart"/>
            <w:r w:rsidRPr="006433A4">
              <w:t>a</w:t>
            </w:r>
            <w:proofErr w:type="gramEnd"/>
            <w:r w:rsidRPr="006433A4">
              <w:t xml:space="preserve"> conviction, the Regional Counsel forwards the case to C</w:t>
            </w:r>
            <w:r w:rsidR="00E052F8" w:rsidRPr="006433A4">
              <w:t>ompensation Service or P&amp;F</w:t>
            </w:r>
            <w:r w:rsidRPr="006433A4">
              <w:t xml:space="preserve"> Service for automatic forfeiture.</w:t>
            </w:r>
          </w:p>
          <w:p w14:paraId="2B415DC9" w14:textId="77777777" w:rsidR="00307CD4" w:rsidRPr="006433A4" w:rsidRDefault="00307CD4">
            <w:pPr>
              <w:pStyle w:val="BlockText"/>
            </w:pPr>
          </w:p>
          <w:p w14:paraId="2B415DCA" w14:textId="77777777" w:rsidR="00307CD4" w:rsidRPr="006433A4" w:rsidRDefault="00307CD4">
            <w:pPr>
              <w:pStyle w:val="BlockText"/>
            </w:pPr>
            <w:r w:rsidRPr="006433A4">
              <w:rPr>
                <w:b/>
                <w:i/>
              </w:rPr>
              <w:t>Important</w:t>
            </w:r>
            <w:r w:rsidRPr="006433A4">
              <w:t>:  No other person will be entitled to receive any benefits due to the individual’s conviction for subversive activities.</w:t>
            </w:r>
          </w:p>
        </w:tc>
      </w:tr>
    </w:tbl>
    <w:p w14:paraId="2B415DCC" w14:textId="77777777" w:rsidR="00307CD4" w:rsidRPr="006433A4" w:rsidRDefault="00307CD4">
      <w:pPr>
        <w:pStyle w:val="ContinuedOnNextPa"/>
      </w:pPr>
    </w:p>
    <w:tbl>
      <w:tblPr>
        <w:tblW w:w="0" w:type="auto"/>
        <w:tblLayout w:type="fixed"/>
        <w:tblLook w:val="0000" w:firstRow="0" w:lastRow="0" w:firstColumn="0" w:lastColumn="0" w:noHBand="0" w:noVBand="0"/>
      </w:tblPr>
      <w:tblGrid>
        <w:gridCol w:w="1728"/>
        <w:gridCol w:w="7740"/>
      </w:tblGrid>
      <w:tr w:rsidR="00307CD4" w:rsidRPr="006433A4" w14:paraId="2B415DD1" w14:textId="77777777" w:rsidTr="00272A45">
        <w:tc>
          <w:tcPr>
            <w:tcW w:w="1728" w:type="dxa"/>
          </w:tcPr>
          <w:p w14:paraId="2B415DCD" w14:textId="77777777" w:rsidR="00307CD4" w:rsidRPr="006433A4" w:rsidRDefault="00307CD4" w:rsidP="003A6FB0">
            <w:pPr>
              <w:pStyle w:val="Heading5"/>
            </w:pPr>
            <w:proofErr w:type="gramStart"/>
            <w:r w:rsidRPr="006433A4">
              <w:t>d.  Handling</w:t>
            </w:r>
            <w:proofErr w:type="gramEnd"/>
            <w:r w:rsidRPr="006433A4">
              <w:t xml:space="preserve"> </w:t>
            </w:r>
            <w:r w:rsidR="00401C69" w:rsidRPr="006433A4">
              <w:t xml:space="preserve">the </w:t>
            </w:r>
            <w:r w:rsidRPr="006433A4">
              <w:t>Jurisdiction of</w:t>
            </w:r>
            <w:r w:rsidR="00DC4AAC" w:rsidRPr="006433A4">
              <w:t xml:space="preserve"> the</w:t>
            </w:r>
            <w:r w:rsidRPr="006433A4">
              <w:t xml:space="preserve"> Claims </w:t>
            </w:r>
            <w:r w:rsidRPr="006433A4">
              <w:lastRenderedPageBreak/>
              <w:t>Folder in Cases Invoking Forfeiture</w:t>
            </w:r>
          </w:p>
        </w:tc>
        <w:tc>
          <w:tcPr>
            <w:tcW w:w="7740" w:type="dxa"/>
          </w:tcPr>
          <w:p w14:paraId="2B415DCE" w14:textId="77777777" w:rsidR="00307CD4" w:rsidRPr="006433A4" w:rsidRDefault="00307CD4">
            <w:pPr>
              <w:pStyle w:val="TableText"/>
            </w:pPr>
            <w:r w:rsidRPr="006433A4">
              <w:lastRenderedPageBreak/>
              <w:t>C</w:t>
            </w:r>
            <w:r w:rsidR="00E052F8" w:rsidRPr="006433A4">
              <w:t>ompensation Service or P&amp;F</w:t>
            </w:r>
            <w:r w:rsidRPr="006433A4">
              <w:t xml:space="preserve"> Service refers cases to the RO identified in M21-1, Part III, Subpart ii, 5.A.1 as having jurisdiction over the beneficiary’s foreign residence.  The RO will discontinue benefits under </w:t>
            </w:r>
            <w:hyperlink r:id="rId30" w:history="1">
              <w:r w:rsidRPr="006433A4">
                <w:rPr>
                  <w:rStyle w:val="Hyperlink"/>
                </w:rPr>
                <w:t>38 CFR 3.669</w:t>
              </w:r>
            </w:hyperlink>
            <w:r w:rsidRPr="006433A4">
              <w:t>.</w:t>
            </w:r>
          </w:p>
          <w:p w14:paraId="2B415DCF" w14:textId="77777777" w:rsidR="00307CD4" w:rsidRPr="006433A4" w:rsidRDefault="00307CD4">
            <w:pPr>
              <w:pStyle w:val="TableText"/>
            </w:pPr>
          </w:p>
          <w:p w14:paraId="2B415DD0" w14:textId="77777777" w:rsidR="00307CD4" w:rsidRPr="006433A4" w:rsidRDefault="00307CD4">
            <w:pPr>
              <w:pStyle w:val="BlockText"/>
            </w:pPr>
            <w:r w:rsidRPr="006433A4">
              <w:rPr>
                <w:b/>
                <w:i/>
              </w:rPr>
              <w:t>Note</w:t>
            </w:r>
            <w:r w:rsidRPr="006433A4">
              <w:t>:  The Manila RO discontinues benefits for cases under its jurisdiction.</w:t>
            </w:r>
          </w:p>
        </w:tc>
      </w:tr>
    </w:tbl>
    <w:p w14:paraId="2B415DD2" w14:textId="77777777" w:rsidR="00307CD4" w:rsidRPr="006433A4" w:rsidRDefault="00307CD4">
      <w:pPr>
        <w:pStyle w:val="BlockLine"/>
      </w:pPr>
      <w:r w:rsidRPr="006433A4">
        <w:lastRenderedPageBreak/>
        <w:t xml:space="preserve">   </w:t>
      </w:r>
    </w:p>
    <w:tbl>
      <w:tblPr>
        <w:tblW w:w="0" w:type="auto"/>
        <w:tblLayout w:type="fixed"/>
        <w:tblLook w:val="0000" w:firstRow="0" w:lastRow="0" w:firstColumn="0" w:lastColumn="0" w:noHBand="0" w:noVBand="0"/>
      </w:tblPr>
      <w:tblGrid>
        <w:gridCol w:w="1728"/>
        <w:gridCol w:w="7740"/>
      </w:tblGrid>
      <w:tr w:rsidR="00307CD4" w:rsidRPr="006433A4" w14:paraId="2B415DD8" w14:textId="77777777">
        <w:trPr>
          <w:cantSplit/>
        </w:trPr>
        <w:tc>
          <w:tcPr>
            <w:tcW w:w="1728" w:type="dxa"/>
          </w:tcPr>
          <w:p w14:paraId="2B415DD3" w14:textId="1CC8DF5F" w:rsidR="00307CD4" w:rsidRPr="006433A4" w:rsidRDefault="00307CD4" w:rsidP="00F24499">
            <w:pPr>
              <w:pStyle w:val="Heading5"/>
            </w:pPr>
            <w:proofErr w:type="gramStart"/>
            <w:r w:rsidRPr="006433A4">
              <w:t>e.  Resuming</w:t>
            </w:r>
            <w:proofErr w:type="gramEnd"/>
            <w:r w:rsidRPr="006433A4">
              <w:t xml:space="preserve"> Payments </w:t>
            </w:r>
            <w:r w:rsidR="00161CE0" w:rsidRPr="006433A4">
              <w:t>in Cases With</w:t>
            </w:r>
            <w:r w:rsidRPr="006433A4">
              <w:t xml:space="preserve"> Non</w:t>
            </w:r>
            <w:r w:rsidR="00357A8F" w:rsidRPr="006433A4">
              <w:t>-</w:t>
            </w:r>
            <w:r w:rsidR="00F24499" w:rsidRPr="006433A4">
              <w:t>F</w:t>
            </w:r>
            <w:r w:rsidRPr="006433A4">
              <w:t>orfeiture Determinations</w:t>
            </w:r>
          </w:p>
        </w:tc>
        <w:tc>
          <w:tcPr>
            <w:tcW w:w="7740" w:type="dxa"/>
          </w:tcPr>
          <w:p w14:paraId="2B415DD4" w14:textId="77777777" w:rsidR="00307CD4" w:rsidRPr="006433A4" w:rsidRDefault="00307CD4">
            <w:pPr>
              <w:pStyle w:val="BlockText"/>
            </w:pPr>
            <w:r w:rsidRPr="006433A4">
              <w:t xml:space="preserve">Resume payments from the date of last payment under </w:t>
            </w:r>
            <w:hyperlink r:id="rId31" w:history="1">
              <w:r w:rsidRPr="006433A4">
                <w:rPr>
                  <w:rStyle w:val="Hyperlink"/>
                </w:rPr>
                <w:t>38 CFR 3.669</w:t>
              </w:r>
            </w:hyperlink>
            <w:r w:rsidRPr="006433A4">
              <w:t>, if benefits are otherwise in order if</w:t>
            </w:r>
          </w:p>
          <w:p w14:paraId="2B415DD5" w14:textId="77777777" w:rsidR="00307CD4" w:rsidRPr="006433A4" w:rsidRDefault="00307CD4">
            <w:pPr>
              <w:pStyle w:val="BlockText"/>
            </w:pPr>
            <w:r w:rsidRPr="006433A4">
              <w:t xml:space="preserve"> </w:t>
            </w:r>
          </w:p>
          <w:p w14:paraId="2B415DD6" w14:textId="77777777" w:rsidR="00307CD4" w:rsidRPr="006433A4" w:rsidRDefault="00307CD4" w:rsidP="003A5863">
            <w:pPr>
              <w:numPr>
                <w:ilvl w:val="0"/>
                <w:numId w:val="28"/>
              </w:numPr>
              <w:ind w:left="158" w:hanging="187"/>
            </w:pPr>
            <w:r w:rsidRPr="006433A4">
              <w:t>C</w:t>
            </w:r>
            <w:r w:rsidR="00E052F8" w:rsidRPr="006433A4">
              <w:t>ompensation Service or P&amp;F</w:t>
            </w:r>
            <w:r w:rsidRPr="006433A4">
              <w:t xml:space="preserve"> Service returns the claims folder and the Regional Counsel provides notification that no forfeiture was declared, or</w:t>
            </w:r>
          </w:p>
          <w:p w14:paraId="2B415DD7" w14:textId="77777777" w:rsidR="00307CD4" w:rsidRPr="006433A4" w:rsidRDefault="00307CD4" w:rsidP="003A5863">
            <w:pPr>
              <w:numPr>
                <w:ilvl w:val="0"/>
                <w:numId w:val="28"/>
              </w:numPr>
              <w:ind w:left="158" w:hanging="187"/>
            </w:pPr>
            <w:r w:rsidRPr="006433A4">
              <w:t>Regional Counsel provides notification that the beneficiary was acquitted of subversive activities.</w:t>
            </w:r>
          </w:p>
        </w:tc>
      </w:tr>
    </w:tbl>
    <w:p w14:paraId="2B415DD9" w14:textId="77777777" w:rsidR="00307CD4" w:rsidRPr="006433A4" w:rsidRDefault="00307CD4">
      <w:pPr>
        <w:pStyle w:val="ContinuedOnNextPa"/>
      </w:pPr>
    </w:p>
    <w:tbl>
      <w:tblPr>
        <w:tblW w:w="0" w:type="auto"/>
        <w:tblLayout w:type="fixed"/>
        <w:tblLook w:val="0000" w:firstRow="0" w:lastRow="0" w:firstColumn="0" w:lastColumn="0" w:noHBand="0" w:noVBand="0"/>
      </w:tblPr>
      <w:tblGrid>
        <w:gridCol w:w="1728"/>
        <w:gridCol w:w="7740"/>
      </w:tblGrid>
      <w:tr w:rsidR="00307CD4" w:rsidRPr="006433A4" w14:paraId="2B415DE1" w14:textId="77777777">
        <w:trPr>
          <w:cantSplit/>
        </w:trPr>
        <w:tc>
          <w:tcPr>
            <w:tcW w:w="1728" w:type="dxa"/>
          </w:tcPr>
          <w:p w14:paraId="2B415DDA" w14:textId="77777777" w:rsidR="00307CD4" w:rsidRPr="006433A4" w:rsidRDefault="00307CD4">
            <w:pPr>
              <w:pStyle w:val="Heading5"/>
            </w:pPr>
            <w:proofErr w:type="gramStart"/>
            <w:r w:rsidRPr="006433A4">
              <w:t>f.  Handling</w:t>
            </w:r>
            <w:proofErr w:type="gramEnd"/>
            <w:r w:rsidRPr="006433A4">
              <w:t xml:space="preserve"> Appeals of Forfeiture Decisions</w:t>
            </w:r>
          </w:p>
        </w:tc>
        <w:tc>
          <w:tcPr>
            <w:tcW w:w="7740" w:type="dxa"/>
          </w:tcPr>
          <w:p w14:paraId="2B415DDB" w14:textId="612DEEA4" w:rsidR="00307CD4" w:rsidRPr="006433A4" w:rsidRDefault="00307CD4">
            <w:pPr>
              <w:pStyle w:val="BlockText"/>
            </w:pPr>
            <w:r w:rsidRPr="006433A4">
              <w:t>When a notice of disagreement (NOD) is timely filed, forward the following to C</w:t>
            </w:r>
            <w:r w:rsidR="00E052F8" w:rsidRPr="006433A4">
              <w:t xml:space="preserve">ompensation Service or </w:t>
            </w:r>
            <w:proofErr w:type="spellStart"/>
            <w:r w:rsidR="00E052F8" w:rsidRPr="006433A4">
              <w:t>P&amp;F</w:t>
            </w:r>
            <w:proofErr w:type="spellEnd"/>
            <w:r w:rsidRPr="006433A4">
              <w:t xml:space="preserve"> Service </w:t>
            </w:r>
          </w:p>
          <w:p w14:paraId="2B415DDC" w14:textId="77777777" w:rsidR="00307CD4" w:rsidRPr="006433A4" w:rsidRDefault="00307CD4">
            <w:pPr>
              <w:pStyle w:val="BlockText"/>
            </w:pPr>
          </w:p>
          <w:p w14:paraId="2B415DDD" w14:textId="77777777" w:rsidR="00307CD4" w:rsidRPr="006433A4" w:rsidRDefault="00307CD4" w:rsidP="003A5863">
            <w:pPr>
              <w:numPr>
                <w:ilvl w:val="0"/>
                <w:numId w:val="29"/>
              </w:numPr>
              <w:ind w:left="158" w:hanging="187"/>
            </w:pPr>
            <w:r w:rsidRPr="006433A4">
              <w:t xml:space="preserve">the NOD, and </w:t>
            </w:r>
          </w:p>
          <w:p w14:paraId="2B415DDE" w14:textId="77777777" w:rsidR="00307CD4" w:rsidRPr="006433A4" w:rsidRDefault="00307CD4" w:rsidP="003A5863">
            <w:pPr>
              <w:numPr>
                <w:ilvl w:val="0"/>
                <w:numId w:val="29"/>
              </w:numPr>
              <w:ind w:left="158" w:hanging="187"/>
            </w:pPr>
            <w:proofErr w:type="gramStart"/>
            <w:r w:rsidRPr="006433A4">
              <w:t>any</w:t>
            </w:r>
            <w:proofErr w:type="gramEnd"/>
            <w:r w:rsidRPr="006433A4">
              <w:t xml:space="preserve"> material submitted with it.</w:t>
            </w:r>
          </w:p>
          <w:p w14:paraId="2B415DDF" w14:textId="77777777" w:rsidR="00307CD4" w:rsidRPr="006433A4" w:rsidRDefault="00307CD4">
            <w:pPr>
              <w:pStyle w:val="BlockText"/>
            </w:pPr>
          </w:p>
          <w:p w14:paraId="2B415DE0" w14:textId="77777777" w:rsidR="00307CD4" w:rsidRPr="006433A4" w:rsidRDefault="00307CD4">
            <w:pPr>
              <w:pStyle w:val="BlockText"/>
            </w:pPr>
            <w:r w:rsidRPr="006433A4">
              <w:rPr>
                <w:b/>
                <w:i/>
              </w:rPr>
              <w:t>Result</w:t>
            </w:r>
            <w:r w:rsidRPr="006433A4">
              <w:t>:  C</w:t>
            </w:r>
            <w:r w:rsidR="00E052F8" w:rsidRPr="006433A4">
              <w:t>ompensation Service or P&amp;F</w:t>
            </w:r>
            <w:r w:rsidRPr="006433A4">
              <w:t xml:space="preserve"> Service prepares the statement of the case (SOC).</w:t>
            </w:r>
          </w:p>
        </w:tc>
      </w:tr>
    </w:tbl>
    <w:p w14:paraId="2B415DE2" w14:textId="77777777" w:rsidR="00307CD4" w:rsidRPr="006433A4" w:rsidRDefault="00307CD4">
      <w:pPr>
        <w:pStyle w:val="BlockLine"/>
      </w:pPr>
    </w:p>
    <w:tbl>
      <w:tblPr>
        <w:tblW w:w="0" w:type="auto"/>
        <w:tblLayout w:type="fixed"/>
        <w:tblLook w:val="0000" w:firstRow="0" w:lastRow="0" w:firstColumn="0" w:lastColumn="0" w:noHBand="0" w:noVBand="0"/>
      </w:tblPr>
      <w:tblGrid>
        <w:gridCol w:w="1728"/>
        <w:gridCol w:w="7740"/>
      </w:tblGrid>
      <w:tr w:rsidR="00307CD4" w:rsidRPr="006433A4" w14:paraId="2B415DE5" w14:textId="77777777">
        <w:trPr>
          <w:cantSplit/>
        </w:trPr>
        <w:tc>
          <w:tcPr>
            <w:tcW w:w="1728" w:type="dxa"/>
          </w:tcPr>
          <w:p w14:paraId="2B415DE3" w14:textId="77777777" w:rsidR="00307CD4" w:rsidRPr="006433A4" w:rsidRDefault="00307CD4">
            <w:pPr>
              <w:pStyle w:val="Heading5"/>
            </w:pPr>
            <w:proofErr w:type="gramStart"/>
            <w:r w:rsidRPr="006433A4">
              <w:t>g.  Processing</w:t>
            </w:r>
            <w:proofErr w:type="gramEnd"/>
            <w:r w:rsidRPr="006433A4">
              <w:t xml:space="preserve"> Apportionments in Forfeiture Cases</w:t>
            </w:r>
          </w:p>
        </w:tc>
        <w:tc>
          <w:tcPr>
            <w:tcW w:w="7740" w:type="dxa"/>
          </w:tcPr>
          <w:p w14:paraId="2B415DE4" w14:textId="77777777" w:rsidR="00307CD4" w:rsidRPr="006433A4" w:rsidRDefault="00307CD4">
            <w:pPr>
              <w:pStyle w:val="BlockText"/>
            </w:pPr>
            <w:r w:rsidRPr="006433A4">
              <w:t>Use the table below to process apportionments when a forfeiture of benefits is invoked.</w:t>
            </w:r>
          </w:p>
        </w:tc>
      </w:tr>
    </w:tbl>
    <w:p w14:paraId="2B415DE6" w14:textId="77777777" w:rsidR="00307CD4" w:rsidRPr="006433A4" w:rsidRDefault="00307CD4"/>
    <w:tbl>
      <w:tblPr>
        <w:tblW w:w="0" w:type="auto"/>
        <w:tblInd w:w="1800" w:type="dxa"/>
        <w:tblLayout w:type="fixed"/>
        <w:tblCellMar>
          <w:left w:w="80" w:type="dxa"/>
          <w:right w:w="80" w:type="dxa"/>
        </w:tblCellMar>
        <w:tblLook w:val="0000" w:firstRow="0" w:lastRow="0" w:firstColumn="0" w:lastColumn="0" w:noHBand="0" w:noVBand="0"/>
      </w:tblPr>
      <w:tblGrid>
        <w:gridCol w:w="3050"/>
        <w:gridCol w:w="4510"/>
      </w:tblGrid>
      <w:tr w:rsidR="00307CD4" w:rsidRPr="006433A4" w14:paraId="2B415DE9" w14:textId="77777777">
        <w:trPr>
          <w:cantSplit/>
        </w:trPr>
        <w:tc>
          <w:tcPr>
            <w:tcW w:w="3050" w:type="dxa"/>
            <w:tcBorders>
              <w:top w:val="single" w:sz="6" w:space="0" w:color="auto"/>
              <w:left w:val="single" w:sz="6" w:space="0" w:color="auto"/>
              <w:bottom w:val="single" w:sz="6" w:space="0" w:color="auto"/>
              <w:right w:val="single" w:sz="6" w:space="0" w:color="auto"/>
            </w:tcBorders>
          </w:tcPr>
          <w:p w14:paraId="2B415DE7" w14:textId="77777777" w:rsidR="00307CD4" w:rsidRPr="006433A4" w:rsidRDefault="00307CD4">
            <w:pPr>
              <w:pStyle w:val="TableHeaderText"/>
              <w:jc w:val="left"/>
            </w:pPr>
            <w:r w:rsidRPr="006433A4">
              <w:t>If forfeiture was invoked …</w:t>
            </w:r>
          </w:p>
        </w:tc>
        <w:tc>
          <w:tcPr>
            <w:tcW w:w="4510" w:type="dxa"/>
            <w:tcBorders>
              <w:top w:val="single" w:sz="6" w:space="0" w:color="auto"/>
              <w:left w:val="single" w:sz="6" w:space="0" w:color="auto"/>
              <w:bottom w:val="single" w:sz="6" w:space="0" w:color="auto"/>
              <w:right w:val="single" w:sz="6" w:space="0" w:color="auto"/>
            </w:tcBorders>
          </w:tcPr>
          <w:p w14:paraId="2B415DE8" w14:textId="77777777" w:rsidR="00307CD4" w:rsidRPr="006433A4" w:rsidRDefault="00307CD4">
            <w:pPr>
              <w:pStyle w:val="TableHeaderText"/>
              <w:jc w:val="left"/>
            </w:pPr>
            <w:r w:rsidRPr="006433A4">
              <w:t>Then …</w:t>
            </w:r>
          </w:p>
        </w:tc>
      </w:tr>
      <w:tr w:rsidR="00307CD4" w:rsidRPr="006433A4" w14:paraId="2B415DF5" w14:textId="77777777" w:rsidTr="00520380">
        <w:tc>
          <w:tcPr>
            <w:tcW w:w="3050" w:type="dxa"/>
            <w:tcBorders>
              <w:top w:val="single" w:sz="6" w:space="0" w:color="auto"/>
              <w:left w:val="single" w:sz="6" w:space="0" w:color="auto"/>
              <w:bottom w:val="single" w:sz="6" w:space="0" w:color="auto"/>
              <w:right w:val="single" w:sz="6" w:space="0" w:color="auto"/>
            </w:tcBorders>
          </w:tcPr>
          <w:p w14:paraId="2B415DEA" w14:textId="77777777" w:rsidR="00307CD4" w:rsidRPr="006433A4" w:rsidRDefault="00307CD4">
            <w:pPr>
              <w:pStyle w:val="TableText"/>
            </w:pPr>
            <w:r w:rsidRPr="006433A4">
              <w:rPr>
                <w:b/>
                <w:i/>
              </w:rPr>
              <w:t>before</w:t>
            </w:r>
            <w:r w:rsidRPr="006433A4">
              <w:t xml:space="preserve"> September 2, 1959</w:t>
            </w:r>
          </w:p>
        </w:tc>
        <w:tc>
          <w:tcPr>
            <w:tcW w:w="4510" w:type="dxa"/>
            <w:tcBorders>
              <w:top w:val="single" w:sz="6" w:space="0" w:color="auto"/>
              <w:left w:val="single" w:sz="6" w:space="0" w:color="auto"/>
              <w:bottom w:val="single" w:sz="6" w:space="0" w:color="auto"/>
              <w:right w:val="single" w:sz="6" w:space="0" w:color="auto"/>
            </w:tcBorders>
          </w:tcPr>
          <w:p w14:paraId="2B415DEB" w14:textId="77777777" w:rsidR="00307CD4" w:rsidRPr="006433A4" w:rsidRDefault="00307CD4">
            <w:pPr>
              <w:pStyle w:val="TableText"/>
            </w:pPr>
            <w:proofErr w:type="gramStart"/>
            <w:r w:rsidRPr="006433A4">
              <w:t>continue</w:t>
            </w:r>
            <w:proofErr w:type="gramEnd"/>
            <w:r w:rsidRPr="006433A4">
              <w:t xml:space="preserve"> apportionments in these cases as long as the dependents remain entitled.  </w:t>
            </w:r>
          </w:p>
          <w:p w14:paraId="2B415DEC" w14:textId="77777777" w:rsidR="00307CD4" w:rsidRPr="006433A4" w:rsidRDefault="00307CD4">
            <w:pPr>
              <w:pStyle w:val="TableText"/>
            </w:pPr>
          </w:p>
          <w:p w14:paraId="2B415DED" w14:textId="77777777" w:rsidR="00307CD4" w:rsidRPr="006433A4" w:rsidRDefault="00307CD4">
            <w:pPr>
              <w:pStyle w:val="TableText"/>
            </w:pPr>
            <w:r w:rsidRPr="006433A4">
              <w:t>The amount payable to the dependents is the lesser of</w:t>
            </w:r>
          </w:p>
          <w:p w14:paraId="2B415DEE" w14:textId="77777777" w:rsidR="00307CD4" w:rsidRPr="006433A4" w:rsidRDefault="00307CD4">
            <w:pPr>
              <w:pStyle w:val="TableText"/>
            </w:pPr>
          </w:p>
          <w:p w14:paraId="2B415DEF" w14:textId="3A28ED15" w:rsidR="00307CD4" w:rsidRPr="006433A4" w:rsidRDefault="00307CD4" w:rsidP="003A5863">
            <w:pPr>
              <w:numPr>
                <w:ilvl w:val="0"/>
                <w:numId w:val="30"/>
              </w:numPr>
              <w:ind w:left="158" w:hanging="187"/>
            </w:pPr>
            <w:r w:rsidRPr="006433A4">
              <w:t xml:space="preserve">the applicable </w:t>
            </w:r>
            <w:r w:rsidR="003E21F3" w:rsidRPr="006433A4">
              <w:t xml:space="preserve">survivors benefit </w:t>
            </w:r>
            <w:r w:rsidRPr="006433A4">
              <w:t>payable, which is either</w:t>
            </w:r>
          </w:p>
          <w:p w14:paraId="2B415DF0" w14:textId="77777777" w:rsidR="00307CD4" w:rsidRPr="006433A4" w:rsidRDefault="00307CD4" w:rsidP="003A5863">
            <w:pPr>
              <w:numPr>
                <w:ilvl w:val="0"/>
                <w:numId w:val="31"/>
              </w:numPr>
              <w:ind w:left="346" w:hanging="187"/>
            </w:pPr>
            <w:r w:rsidRPr="006433A4">
              <w:t xml:space="preserve">death compensation or Dependency and Indemnity Compensation (DIC), if the </w:t>
            </w:r>
            <w:r w:rsidR="00894BC9" w:rsidRPr="006433A4">
              <w:t>V</w:t>
            </w:r>
            <w:r w:rsidRPr="006433A4">
              <w:t xml:space="preserve">eteran was receiving compensation, or </w:t>
            </w:r>
          </w:p>
          <w:p w14:paraId="2B415DF1" w14:textId="77777777" w:rsidR="00307CD4" w:rsidRPr="006433A4" w:rsidRDefault="00D351B6" w:rsidP="003A5863">
            <w:pPr>
              <w:numPr>
                <w:ilvl w:val="0"/>
                <w:numId w:val="31"/>
              </w:numPr>
              <w:ind w:left="346" w:hanging="187"/>
            </w:pPr>
            <w:r w:rsidRPr="006433A4">
              <w:t>Survivors P</w:t>
            </w:r>
            <w:r w:rsidR="00307CD4" w:rsidRPr="006433A4">
              <w:t xml:space="preserve">ension, if the </w:t>
            </w:r>
            <w:r w:rsidR="00894BC9" w:rsidRPr="006433A4">
              <w:t>V</w:t>
            </w:r>
            <w:r w:rsidR="00307CD4" w:rsidRPr="006433A4">
              <w:t>eteran was receiving non</w:t>
            </w:r>
            <w:r w:rsidRPr="006433A4">
              <w:t>-</w:t>
            </w:r>
            <w:r w:rsidR="00307CD4" w:rsidRPr="006433A4">
              <w:t xml:space="preserve">service-connected (NSC) disability pension, or </w:t>
            </w:r>
          </w:p>
          <w:p w14:paraId="2B415DF2" w14:textId="77777777" w:rsidR="00307CD4" w:rsidRPr="006433A4" w:rsidRDefault="00307CD4" w:rsidP="003A5863">
            <w:pPr>
              <w:numPr>
                <w:ilvl w:val="0"/>
                <w:numId w:val="32"/>
              </w:numPr>
              <w:ind w:left="158" w:hanging="187"/>
            </w:pPr>
            <w:proofErr w:type="gramStart"/>
            <w:r w:rsidRPr="006433A4">
              <w:t>amount</w:t>
            </w:r>
            <w:proofErr w:type="gramEnd"/>
            <w:r w:rsidRPr="006433A4">
              <w:t xml:space="preserve"> of compensation or pension being paid the </w:t>
            </w:r>
            <w:r w:rsidR="00894BC9" w:rsidRPr="006433A4">
              <w:t>V</w:t>
            </w:r>
            <w:r w:rsidRPr="006433A4">
              <w:t>eteran at the time of the forfeiture.</w:t>
            </w:r>
          </w:p>
          <w:p w14:paraId="2B415DF3" w14:textId="77777777" w:rsidR="00307CD4" w:rsidRPr="006433A4" w:rsidRDefault="00307CD4">
            <w:pPr>
              <w:pStyle w:val="TableText"/>
            </w:pPr>
          </w:p>
          <w:p w14:paraId="2B415DF4" w14:textId="77777777" w:rsidR="00307CD4" w:rsidRPr="006433A4" w:rsidRDefault="00307CD4">
            <w:pPr>
              <w:pStyle w:val="TableText"/>
            </w:pPr>
            <w:r w:rsidRPr="006433A4">
              <w:rPr>
                <w:b/>
                <w:i/>
              </w:rPr>
              <w:lastRenderedPageBreak/>
              <w:t>Important</w:t>
            </w:r>
            <w:r w:rsidRPr="006433A4">
              <w:t xml:space="preserve">:  Do </w:t>
            </w:r>
            <w:r w:rsidRPr="006433A4">
              <w:rPr>
                <w:b/>
                <w:i/>
              </w:rPr>
              <w:t>not</w:t>
            </w:r>
            <w:r w:rsidRPr="006433A4">
              <w:rPr>
                <w:i/>
              </w:rPr>
              <w:t xml:space="preserve"> </w:t>
            </w:r>
            <w:r w:rsidRPr="006433A4">
              <w:t>pay benefits to or for any person who participated in the fraud or treasonable act causing the forfeiture.</w:t>
            </w:r>
          </w:p>
        </w:tc>
      </w:tr>
      <w:tr w:rsidR="00307CD4" w14:paraId="2B415DF8" w14:textId="77777777">
        <w:trPr>
          <w:cantSplit/>
        </w:trPr>
        <w:tc>
          <w:tcPr>
            <w:tcW w:w="3050" w:type="dxa"/>
            <w:tcBorders>
              <w:top w:val="single" w:sz="6" w:space="0" w:color="auto"/>
              <w:left w:val="single" w:sz="6" w:space="0" w:color="auto"/>
              <w:bottom w:val="single" w:sz="6" w:space="0" w:color="auto"/>
              <w:right w:val="single" w:sz="6" w:space="0" w:color="auto"/>
            </w:tcBorders>
          </w:tcPr>
          <w:p w14:paraId="2B415DF6" w14:textId="77777777" w:rsidR="00307CD4" w:rsidRPr="006433A4" w:rsidRDefault="00307CD4">
            <w:pPr>
              <w:pStyle w:val="TableText"/>
            </w:pPr>
            <w:r w:rsidRPr="006433A4">
              <w:rPr>
                <w:b/>
                <w:i/>
              </w:rPr>
              <w:lastRenderedPageBreak/>
              <w:t>after</w:t>
            </w:r>
            <w:r w:rsidRPr="006433A4">
              <w:t xml:space="preserve"> September 1, 1959</w:t>
            </w:r>
          </w:p>
        </w:tc>
        <w:tc>
          <w:tcPr>
            <w:tcW w:w="4510" w:type="dxa"/>
            <w:tcBorders>
              <w:top w:val="single" w:sz="6" w:space="0" w:color="auto"/>
              <w:left w:val="single" w:sz="6" w:space="0" w:color="auto"/>
              <w:bottom w:val="single" w:sz="6" w:space="0" w:color="auto"/>
              <w:right w:val="single" w:sz="6" w:space="0" w:color="auto"/>
            </w:tcBorders>
          </w:tcPr>
          <w:p w14:paraId="2B415DF7" w14:textId="77777777" w:rsidR="00307CD4" w:rsidRDefault="00307CD4">
            <w:pPr>
              <w:pStyle w:val="TableText"/>
            </w:pPr>
            <w:proofErr w:type="gramStart"/>
            <w:r w:rsidRPr="006433A4">
              <w:t>do</w:t>
            </w:r>
            <w:proofErr w:type="gramEnd"/>
            <w:r w:rsidRPr="006433A4">
              <w:t xml:space="preserve"> </w:t>
            </w:r>
            <w:r w:rsidRPr="006433A4">
              <w:rPr>
                <w:b/>
                <w:i/>
              </w:rPr>
              <w:t>not</w:t>
            </w:r>
            <w:r w:rsidRPr="006433A4">
              <w:t xml:space="preserve"> make apportionment to any dependents.</w:t>
            </w:r>
            <w:bookmarkStart w:id="0" w:name="_GoBack"/>
            <w:bookmarkEnd w:id="0"/>
          </w:p>
        </w:tc>
      </w:tr>
    </w:tbl>
    <w:p w14:paraId="2B415DF9" w14:textId="77777777" w:rsidR="00307CD4" w:rsidRDefault="00307CD4">
      <w:pPr>
        <w:pStyle w:val="BlockLine"/>
      </w:pPr>
    </w:p>
    <w:sectPr w:rsidR="00307CD4">
      <w:headerReference w:type="even" r:id="rId32"/>
      <w:headerReference w:type="default" r:id="rId33"/>
      <w:footerReference w:type="even" r:id="rId34"/>
      <w:footerReference w:type="default" r:id="rId35"/>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15DFC" w14:textId="77777777" w:rsidR="00C14E76" w:rsidRDefault="00C14E76">
      <w:r>
        <w:separator/>
      </w:r>
    </w:p>
  </w:endnote>
  <w:endnote w:type="continuationSeparator" w:id="0">
    <w:p w14:paraId="2B415DFD" w14:textId="77777777" w:rsidR="00C14E76" w:rsidRDefault="00C1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5E00" w14:textId="77777777" w:rsidR="00307CD4" w:rsidRDefault="00307CD4">
    <w:pPr>
      <w:pStyle w:val="Footer"/>
      <w:tabs>
        <w:tab w:val="clear" w:pos="4320"/>
        <w:tab w:val="clear" w:pos="8640"/>
        <w:tab w:val="left" w:pos="0"/>
        <w:tab w:val="right" w:pos="9274"/>
      </w:tabs>
      <w:ind w:right="360"/>
    </w:pP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5E01" w14:textId="77777777" w:rsidR="00307CD4" w:rsidRDefault="00307CD4">
    <w:pPr>
      <w:pStyle w:val="Footer"/>
      <w:tabs>
        <w:tab w:val="clear" w:pos="4320"/>
        <w:tab w:val="clear" w:pos="8640"/>
        <w:tab w:val="left" w:pos="0"/>
        <w:tab w:val="right" w:pos="9274"/>
      </w:tabs>
      <w:ind w:right="90"/>
    </w:pPr>
    <w:r>
      <w:rP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15DFA" w14:textId="77777777" w:rsidR="00C14E76" w:rsidRDefault="00C14E76">
      <w:r>
        <w:separator/>
      </w:r>
    </w:p>
  </w:footnote>
  <w:footnote w:type="continuationSeparator" w:id="0">
    <w:p w14:paraId="2B415DFB" w14:textId="77777777" w:rsidR="00C14E76" w:rsidRDefault="00C14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5DFE" w14:textId="77777777" w:rsidR="00307CD4" w:rsidRDefault="00307CD4">
    <w:pPr>
      <w:pStyle w:val="Header"/>
      <w:tabs>
        <w:tab w:val="clear" w:pos="4320"/>
        <w:tab w:val="clear" w:pos="8640"/>
        <w:tab w:val="left" w:pos="0"/>
        <w:tab w:val="right" w:pos="9360"/>
      </w:tabs>
    </w:pP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5DFF" w14:textId="77777777" w:rsidR="00307CD4" w:rsidRDefault="00307CD4">
    <w:pPr>
      <w:pStyle w:val="Header"/>
      <w:tabs>
        <w:tab w:val="clear" w:pos="4320"/>
        <w:tab w:val="clear" w:pos="8640"/>
        <w:tab w:val="right" w:pos="0"/>
        <w:tab w:val="center" w:pos="4680"/>
        <w:tab w:val="right" w:pos="9360"/>
      </w:tabs>
    </w:pP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5AC"/>
    <w:multiLevelType w:val="hybridMultilevel"/>
    <w:tmpl w:val="A0F2FD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E6FA9"/>
    <w:multiLevelType w:val="hybridMultilevel"/>
    <w:tmpl w:val="ED36B4BC"/>
    <w:lvl w:ilvl="0" w:tplc="6688E8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50EB4"/>
    <w:multiLevelType w:val="hybridMultilevel"/>
    <w:tmpl w:val="A54826B6"/>
    <w:lvl w:ilvl="0" w:tplc="89342C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50B85"/>
    <w:multiLevelType w:val="hybridMultilevel"/>
    <w:tmpl w:val="3F16B30C"/>
    <w:lvl w:ilvl="0" w:tplc="7A7C80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7167A"/>
    <w:multiLevelType w:val="hybridMultilevel"/>
    <w:tmpl w:val="EDDEF412"/>
    <w:lvl w:ilvl="0" w:tplc="6688E8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52680"/>
    <w:multiLevelType w:val="hybridMultilevel"/>
    <w:tmpl w:val="4706331A"/>
    <w:lvl w:ilvl="0" w:tplc="D8549C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968A3"/>
    <w:multiLevelType w:val="hybridMultilevel"/>
    <w:tmpl w:val="1FE614C4"/>
    <w:lvl w:ilvl="0" w:tplc="6688E8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84C7E"/>
    <w:multiLevelType w:val="hybridMultilevel"/>
    <w:tmpl w:val="661810F4"/>
    <w:lvl w:ilvl="0" w:tplc="6688E8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957EA"/>
    <w:multiLevelType w:val="hybridMultilevel"/>
    <w:tmpl w:val="F6048968"/>
    <w:lvl w:ilvl="0" w:tplc="23A26D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F5E98"/>
    <w:multiLevelType w:val="hybridMultilevel"/>
    <w:tmpl w:val="4AB43F5E"/>
    <w:lvl w:ilvl="0" w:tplc="23A26D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13108"/>
    <w:multiLevelType w:val="hybridMultilevel"/>
    <w:tmpl w:val="8EC487F4"/>
    <w:lvl w:ilvl="0" w:tplc="23A26D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B62A1"/>
    <w:multiLevelType w:val="hybridMultilevel"/>
    <w:tmpl w:val="215E7C8E"/>
    <w:lvl w:ilvl="0" w:tplc="D8549C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12482"/>
    <w:multiLevelType w:val="hybridMultilevel"/>
    <w:tmpl w:val="7C1E2774"/>
    <w:lvl w:ilvl="0" w:tplc="7A7C80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04D2B"/>
    <w:multiLevelType w:val="hybridMultilevel"/>
    <w:tmpl w:val="7DCC98B2"/>
    <w:lvl w:ilvl="0" w:tplc="6688E8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30C07"/>
    <w:multiLevelType w:val="hybridMultilevel"/>
    <w:tmpl w:val="46A20C6A"/>
    <w:lvl w:ilvl="0" w:tplc="23A26D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2D4814"/>
    <w:multiLevelType w:val="hybridMultilevel"/>
    <w:tmpl w:val="E91EAA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EE1377"/>
    <w:multiLevelType w:val="hybridMultilevel"/>
    <w:tmpl w:val="00FC1300"/>
    <w:lvl w:ilvl="0" w:tplc="87E608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960D1"/>
    <w:multiLevelType w:val="hybridMultilevel"/>
    <w:tmpl w:val="00564436"/>
    <w:lvl w:ilvl="0" w:tplc="87B6B4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0245E8"/>
    <w:multiLevelType w:val="hybridMultilevel"/>
    <w:tmpl w:val="25DA70E6"/>
    <w:lvl w:ilvl="0" w:tplc="1D6CFC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D5A75"/>
    <w:multiLevelType w:val="hybridMultilevel"/>
    <w:tmpl w:val="2BA8556E"/>
    <w:lvl w:ilvl="0" w:tplc="89342C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794DE2"/>
    <w:multiLevelType w:val="hybridMultilevel"/>
    <w:tmpl w:val="3022FBA6"/>
    <w:lvl w:ilvl="0" w:tplc="89342C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5D2365"/>
    <w:multiLevelType w:val="hybridMultilevel"/>
    <w:tmpl w:val="235E1254"/>
    <w:lvl w:ilvl="0" w:tplc="14A0AF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D5266D"/>
    <w:multiLevelType w:val="hybridMultilevel"/>
    <w:tmpl w:val="A7563804"/>
    <w:lvl w:ilvl="0" w:tplc="53EE67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A1628"/>
    <w:multiLevelType w:val="hybridMultilevel"/>
    <w:tmpl w:val="51F23328"/>
    <w:lvl w:ilvl="0" w:tplc="89342C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C117BF"/>
    <w:multiLevelType w:val="hybridMultilevel"/>
    <w:tmpl w:val="6EA06F0E"/>
    <w:lvl w:ilvl="0" w:tplc="6688E8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FF611B"/>
    <w:multiLevelType w:val="hybridMultilevel"/>
    <w:tmpl w:val="2EEEBCCA"/>
    <w:lvl w:ilvl="0" w:tplc="6688E8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D77E5B"/>
    <w:multiLevelType w:val="hybridMultilevel"/>
    <w:tmpl w:val="979A964C"/>
    <w:lvl w:ilvl="0" w:tplc="6688E8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6A7FC7"/>
    <w:multiLevelType w:val="hybridMultilevel"/>
    <w:tmpl w:val="7A56C62A"/>
    <w:lvl w:ilvl="0" w:tplc="278C94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862FB5"/>
    <w:multiLevelType w:val="hybridMultilevel"/>
    <w:tmpl w:val="BEB81BA0"/>
    <w:lvl w:ilvl="0" w:tplc="4DECAA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DE008F"/>
    <w:multiLevelType w:val="hybridMultilevel"/>
    <w:tmpl w:val="24343376"/>
    <w:lvl w:ilvl="0" w:tplc="6688E8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497671"/>
    <w:multiLevelType w:val="hybridMultilevel"/>
    <w:tmpl w:val="60DC69E6"/>
    <w:lvl w:ilvl="0" w:tplc="7A7C80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C47849"/>
    <w:multiLevelType w:val="hybridMultilevel"/>
    <w:tmpl w:val="BFA22402"/>
    <w:lvl w:ilvl="0" w:tplc="6688E8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A5890"/>
    <w:multiLevelType w:val="hybridMultilevel"/>
    <w:tmpl w:val="B7BE9E42"/>
    <w:lvl w:ilvl="0" w:tplc="7A7C80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92AF4"/>
    <w:multiLevelType w:val="hybridMultilevel"/>
    <w:tmpl w:val="F9083490"/>
    <w:lvl w:ilvl="0" w:tplc="3FE24D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6B02AF"/>
    <w:multiLevelType w:val="singleLevel"/>
    <w:tmpl w:val="67B87FEA"/>
    <w:lvl w:ilvl="0">
      <w:start w:val="1"/>
      <w:numFmt w:val="bullet"/>
      <w:pStyle w:val="BulletText2"/>
      <w:lvlText w:val=""/>
      <w:lvlJc w:val="left"/>
      <w:pPr>
        <w:tabs>
          <w:tab w:val="num" w:pos="547"/>
        </w:tabs>
        <w:ind w:left="547" w:hanging="360"/>
      </w:pPr>
      <w:rPr>
        <w:rFonts w:ascii="Symbol" w:hAnsi="Symbol" w:hint="default"/>
        <w:color w:val="auto"/>
      </w:rPr>
    </w:lvl>
  </w:abstractNum>
  <w:abstractNum w:abstractNumId="35">
    <w:nsid w:val="7265689E"/>
    <w:multiLevelType w:val="hybridMultilevel"/>
    <w:tmpl w:val="88F6B08C"/>
    <w:lvl w:ilvl="0" w:tplc="89342C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E11CF6"/>
    <w:multiLevelType w:val="hybridMultilevel"/>
    <w:tmpl w:val="5DBC7BDA"/>
    <w:lvl w:ilvl="0" w:tplc="D38429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407290"/>
    <w:multiLevelType w:val="singleLevel"/>
    <w:tmpl w:val="2BD88BBA"/>
    <w:lvl w:ilvl="0">
      <w:start w:val="1"/>
      <w:numFmt w:val="bullet"/>
      <w:pStyle w:val="BulletText1"/>
      <w:lvlText w:val=""/>
      <w:lvlJc w:val="left"/>
      <w:pPr>
        <w:tabs>
          <w:tab w:val="num" w:pos="360"/>
        </w:tabs>
        <w:ind w:left="360" w:hanging="360"/>
      </w:pPr>
      <w:rPr>
        <w:rFonts w:ascii="Symbol" w:hAnsi="Symbol" w:hint="default"/>
      </w:rPr>
    </w:lvl>
  </w:abstractNum>
  <w:abstractNum w:abstractNumId="38">
    <w:nsid w:val="7CA33C35"/>
    <w:multiLevelType w:val="hybridMultilevel"/>
    <w:tmpl w:val="F662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4"/>
  </w:num>
  <w:num w:numId="3">
    <w:abstractNumId w:val="19"/>
  </w:num>
  <w:num w:numId="4">
    <w:abstractNumId w:val="35"/>
  </w:num>
  <w:num w:numId="5">
    <w:abstractNumId w:val="20"/>
  </w:num>
  <w:num w:numId="6">
    <w:abstractNumId w:val="2"/>
  </w:num>
  <w:num w:numId="7">
    <w:abstractNumId w:val="23"/>
  </w:num>
  <w:num w:numId="8">
    <w:abstractNumId w:val="16"/>
  </w:num>
  <w:num w:numId="9">
    <w:abstractNumId w:val="12"/>
  </w:num>
  <w:num w:numId="10">
    <w:abstractNumId w:val="3"/>
  </w:num>
  <w:num w:numId="11">
    <w:abstractNumId w:val="32"/>
  </w:num>
  <w:num w:numId="12">
    <w:abstractNumId w:val="30"/>
  </w:num>
  <w:num w:numId="13">
    <w:abstractNumId w:val="27"/>
  </w:num>
  <w:num w:numId="14">
    <w:abstractNumId w:val="36"/>
  </w:num>
  <w:num w:numId="15">
    <w:abstractNumId w:val="22"/>
  </w:num>
  <w:num w:numId="16">
    <w:abstractNumId w:val="14"/>
  </w:num>
  <w:num w:numId="17">
    <w:abstractNumId w:val="10"/>
  </w:num>
  <w:num w:numId="18">
    <w:abstractNumId w:val="8"/>
  </w:num>
  <w:num w:numId="19">
    <w:abstractNumId w:val="9"/>
  </w:num>
  <w:num w:numId="20">
    <w:abstractNumId w:val="33"/>
  </w:num>
  <w:num w:numId="21">
    <w:abstractNumId w:val="13"/>
  </w:num>
  <w:num w:numId="22">
    <w:abstractNumId w:val="1"/>
  </w:num>
  <w:num w:numId="23">
    <w:abstractNumId w:val="29"/>
  </w:num>
  <w:num w:numId="24">
    <w:abstractNumId w:val="31"/>
  </w:num>
  <w:num w:numId="25">
    <w:abstractNumId w:val="7"/>
  </w:num>
  <w:num w:numId="26">
    <w:abstractNumId w:val="4"/>
  </w:num>
  <w:num w:numId="27">
    <w:abstractNumId w:val="25"/>
  </w:num>
  <w:num w:numId="28">
    <w:abstractNumId w:val="24"/>
  </w:num>
  <w:num w:numId="29">
    <w:abstractNumId w:val="26"/>
  </w:num>
  <w:num w:numId="30">
    <w:abstractNumId w:val="6"/>
  </w:num>
  <w:num w:numId="31">
    <w:abstractNumId w:val="28"/>
  </w:num>
  <w:num w:numId="32">
    <w:abstractNumId w:val="18"/>
  </w:num>
  <w:num w:numId="33">
    <w:abstractNumId w:val="21"/>
  </w:num>
  <w:num w:numId="34">
    <w:abstractNumId w:val="38"/>
  </w:num>
  <w:num w:numId="35">
    <w:abstractNumId w:val="15"/>
  </w:num>
  <w:num w:numId="36">
    <w:abstractNumId w:val="0"/>
  </w:num>
  <w:num w:numId="37">
    <w:abstractNumId w:val="17"/>
  </w:num>
  <w:num w:numId="38">
    <w:abstractNumId w:val="5"/>
  </w:num>
  <w:num w:numId="3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stylesheet" w:val="http://vbaw.vba.va.gov/bl/21/m21-1mr/stylesheets/m21.xsl"/>
  </w:docVars>
  <w:rsids>
    <w:rsidRoot w:val="0072139D"/>
    <w:rsid w:val="00001C17"/>
    <w:rsid w:val="000261F1"/>
    <w:rsid w:val="000C6698"/>
    <w:rsid w:val="00100D9B"/>
    <w:rsid w:val="00112CB7"/>
    <w:rsid w:val="00136F0B"/>
    <w:rsid w:val="00161CE0"/>
    <w:rsid w:val="001638CD"/>
    <w:rsid w:val="001B07F4"/>
    <w:rsid w:val="00272A45"/>
    <w:rsid w:val="002918F7"/>
    <w:rsid w:val="002C447C"/>
    <w:rsid w:val="002C77F2"/>
    <w:rsid w:val="00307CD4"/>
    <w:rsid w:val="00357A8F"/>
    <w:rsid w:val="00384AC3"/>
    <w:rsid w:val="003A5863"/>
    <w:rsid w:val="003A6FB0"/>
    <w:rsid w:val="003E21F3"/>
    <w:rsid w:val="00401C69"/>
    <w:rsid w:val="004052EA"/>
    <w:rsid w:val="00413C83"/>
    <w:rsid w:val="00416E70"/>
    <w:rsid w:val="0043530D"/>
    <w:rsid w:val="004512AB"/>
    <w:rsid w:val="004571DA"/>
    <w:rsid w:val="00471974"/>
    <w:rsid w:val="00475145"/>
    <w:rsid w:val="0048113C"/>
    <w:rsid w:val="00485AA5"/>
    <w:rsid w:val="0049756B"/>
    <w:rsid w:val="004C02E0"/>
    <w:rsid w:val="004C733E"/>
    <w:rsid w:val="004D24E7"/>
    <w:rsid w:val="005038E0"/>
    <w:rsid w:val="00520380"/>
    <w:rsid w:val="00526418"/>
    <w:rsid w:val="00531B38"/>
    <w:rsid w:val="005E641F"/>
    <w:rsid w:val="006433A4"/>
    <w:rsid w:val="00684A81"/>
    <w:rsid w:val="006933F1"/>
    <w:rsid w:val="006A50E3"/>
    <w:rsid w:val="007118FD"/>
    <w:rsid w:val="0071633D"/>
    <w:rsid w:val="0072139D"/>
    <w:rsid w:val="007317C7"/>
    <w:rsid w:val="007403F7"/>
    <w:rsid w:val="007868D8"/>
    <w:rsid w:val="0079796E"/>
    <w:rsid w:val="007B14CA"/>
    <w:rsid w:val="007C7248"/>
    <w:rsid w:val="007C778A"/>
    <w:rsid w:val="007F05EA"/>
    <w:rsid w:val="00810B22"/>
    <w:rsid w:val="008202EB"/>
    <w:rsid w:val="008347AD"/>
    <w:rsid w:val="008355FD"/>
    <w:rsid w:val="00855055"/>
    <w:rsid w:val="00894BC9"/>
    <w:rsid w:val="008A4AD1"/>
    <w:rsid w:val="008D0ACF"/>
    <w:rsid w:val="009132A8"/>
    <w:rsid w:val="00915148"/>
    <w:rsid w:val="00940AB6"/>
    <w:rsid w:val="009E00E5"/>
    <w:rsid w:val="009F5478"/>
    <w:rsid w:val="00A213E7"/>
    <w:rsid w:val="00A77B9C"/>
    <w:rsid w:val="00AE6EC3"/>
    <w:rsid w:val="00B02C9A"/>
    <w:rsid w:val="00B17381"/>
    <w:rsid w:val="00B47865"/>
    <w:rsid w:val="00B64F71"/>
    <w:rsid w:val="00BD1FB3"/>
    <w:rsid w:val="00C002F0"/>
    <w:rsid w:val="00C02889"/>
    <w:rsid w:val="00C0315D"/>
    <w:rsid w:val="00C06219"/>
    <w:rsid w:val="00C14E76"/>
    <w:rsid w:val="00C17B8D"/>
    <w:rsid w:val="00C2373C"/>
    <w:rsid w:val="00C300F3"/>
    <w:rsid w:val="00CB1E0C"/>
    <w:rsid w:val="00CC310E"/>
    <w:rsid w:val="00CF2E57"/>
    <w:rsid w:val="00CF78A4"/>
    <w:rsid w:val="00D065CB"/>
    <w:rsid w:val="00D20F25"/>
    <w:rsid w:val="00D351B6"/>
    <w:rsid w:val="00D73CC9"/>
    <w:rsid w:val="00DB10AC"/>
    <w:rsid w:val="00DC1A4E"/>
    <w:rsid w:val="00DC4AAC"/>
    <w:rsid w:val="00DE3292"/>
    <w:rsid w:val="00E052F8"/>
    <w:rsid w:val="00E436A5"/>
    <w:rsid w:val="00E73068"/>
    <w:rsid w:val="00E74E85"/>
    <w:rsid w:val="00EC1CA9"/>
    <w:rsid w:val="00ED1FA1"/>
    <w:rsid w:val="00F2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B41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rFonts w:ascii="Times" w:hAnsi="Times"/>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28"/>
    </w:pPr>
  </w:style>
  <w:style w:type="paragraph" w:styleId="BlockText">
    <w:name w:val="Block Text"/>
    <w:basedOn w:val="Normal"/>
    <w:qFormat/>
  </w:style>
  <w:style w:type="paragraph" w:customStyle="1" w:styleId="BulletText1">
    <w:name w:val="Bullet Text 1"/>
    <w:basedOn w:val="Normal"/>
    <w:autoRedefine/>
    <w:pPr>
      <w:numPr>
        <w:numId w:val="1"/>
      </w:numPr>
      <w:tabs>
        <w:tab w:val="left" w:pos="187"/>
      </w:tabs>
      <w:ind w:left="187" w:hanging="187"/>
    </w:pPr>
  </w:style>
  <w:style w:type="paragraph" w:customStyle="1" w:styleId="BulletText2">
    <w:name w:val="Bullet Text 2"/>
    <w:basedOn w:val="BulletText1"/>
    <w:autoRedefine/>
    <w:pPr>
      <w:numPr>
        <w:numId w:val="2"/>
      </w:numPr>
      <w:tabs>
        <w:tab w:val="clear" w:pos="187"/>
        <w:tab w:val="clear" w:pos="547"/>
      </w:tabs>
      <w:ind w:left="360" w:hanging="187"/>
    </w:p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i/>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TableText">
    <w:name w:val="Table Text"/>
    <w:basedOn w:val="Normal"/>
    <w:qFormat/>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sz w:val="22"/>
    </w:rPr>
  </w:style>
  <w:style w:type="character" w:customStyle="1" w:styleId="Jump">
    <w:name w:val="Jump"/>
    <w:rPr>
      <w:color w:val="FF0000"/>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lang w:val="en-GB"/>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9E00E5"/>
    <w:rPr>
      <w:rFonts w:ascii="Tahoma" w:hAnsi="Tahoma" w:cs="Tahoma"/>
      <w:sz w:val="16"/>
      <w:szCs w:val="16"/>
    </w:rPr>
  </w:style>
  <w:style w:type="character" w:customStyle="1" w:styleId="BalloonTextChar">
    <w:name w:val="Balloon Text Char"/>
    <w:link w:val="BalloonText"/>
    <w:uiPriority w:val="99"/>
    <w:semiHidden/>
    <w:rsid w:val="009E00E5"/>
    <w:rPr>
      <w:rFonts w:ascii="Tahoma" w:hAnsi="Tahoma" w:cs="Tahoma"/>
      <w:sz w:val="16"/>
      <w:szCs w:val="16"/>
    </w:rPr>
  </w:style>
  <w:style w:type="table" w:styleId="TableGrid">
    <w:name w:val="Table Grid"/>
    <w:basedOn w:val="TableNormal"/>
    <w:uiPriority w:val="59"/>
    <w:rsid w:val="00B02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351B6"/>
    <w:rPr>
      <w:sz w:val="16"/>
      <w:szCs w:val="16"/>
    </w:rPr>
  </w:style>
  <w:style w:type="paragraph" w:styleId="CommentText">
    <w:name w:val="annotation text"/>
    <w:basedOn w:val="Normal"/>
    <w:link w:val="CommentTextChar"/>
    <w:uiPriority w:val="99"/>
    <w:semiHidden/>
    <w:unhideWhenUsed/>
    <w:rsid w:val="00D351B6"/>
    <w:rPr>
      <w:sz w:val="20"/>
    </w:rPr>
  </w:style>
  <w:style w:type="character" w:customStyle="1" w:styleId="CommentTextChar">
    <w:name w:val="Comment Text Char"/>
    <w:basedOn w:val="DefaultParagraphFont"/>
    <w:link w:val="CommentText"/>
    <w:uiPriority w:val="99"/>
    <w:semiHidden/>
    <w:rsid w:val="00D351B6"/>
  </w:style>
  <w:style w:type="paragraph" w:styleId="CommentSubject">
    <w:name w:val="annotation subject"/>
    <w:basedOn w:val="CommentText"/>
    <w:next w:val="CommentText"/>
    <w:link w:val="CommentSubjectChar"/>
    <w:uiPriority w:val="99"/>
    <w:semiHidden/>
    <w:unhideWhenUsed/>
    <w:rsid w:val="00D351B6"/>
    <w:rPr>
      <w:b/>
      <w:bCs/>
    </w:rPr>
  </w:style>
  <w:style w:type="character" w:customStyle="1" w:styleId="CommentSubjectChar">
    <w:name w:val="Comment Subject Char"/>
    <w:link w:val="CommentSubject"/>
    <w:uiPriority w:val="99"/>
    <w:semiHidden/>
    <w:rsid w:val="00D351B6"/>
    <w:rPr>
      <w:b/>
      <w:bCs/>
    </w:rPr>
  </w:style>
  <w:style w:type="paragraph" w:styleId="Revision">
    <w:name w:val="Revision"/>
    <w:hidden/>
    <w:uiPriority w:val="99"/>
    <w:semiHidden/>
    <w:rsid w:val="00D351B6"/>
    <w:rPr>
      <w:sz w:val="24"/>
    </w:rPr>
  </w:style>
  <w:style w:type="paragraph" w:styleId="ListParagraph">
    <w:name w:val="List Paragraph"/>
    <w:basedOn w:val="Normal"/>
    <w:uiPriority w:val="34"/>
    <w:qFormat/>
    <w:rsid w:val="000C6698"/>
    <w:pPr>
      <w:ind w:left="720"/>
      <w:contextualSpacing/>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rFonts w:ascii="Times" w:hAnsi="Times"/>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28"/>
    </w:pPr>
  </w:style>
  <w:style w:type="paragraph" w:styleId="BlockText">
    <w:name w:val="Block Text"/>
    <w:basedOn w:val="Normal"/>
    <w:qFormat/>
  </w:style>
  <w:style w:type="paragraph" w:customStyle="1" w:styleId="BulletText1">
    <w:name w:val="Bullet Text 1"/>
    <w:basedOn w:val="Normal"/>
    <w:autoRedefine/>
    <w:pPr>
      <w:numPr>
        <w:numId w:val="1"/>
      </w:numPr>
      <w:tabs>
        <w:tab w:val="left" w:pos="187"/>
      </w:tabs>
      <w:ind w:left="187" w:hanging="187"/>
    </w:pPr>
  </w:style>
  <w:style w:type="paragraph" w:customStyle="1" w:styleId="BulletText2">
    <w:name w:val="Bullet Text 2"/>
    <w:basedOn w:val="BulletText1"/>
    <w:autoRedefine/>
    <w:pPr>
      <w:numPr>
        <w:numId w:val="2"/>
      </w:numPr>
      <w:tabs>
        <w:tab w:val="clear" w:pos="187"/>
        <w:tab w:val="clear" w:pos="547"/>
      </w:tabs>
      <w:ind w:left="360" w:hanging="187"/>
    </w:p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i/>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TableText">
    <w:name w:val="Table Text"/>
    <w:basedOn w:val="Normal"/>
    <w:qFormat/>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sz w:val="22"/>
    </w:rPr>
  </w:style>
  <w:style w:type="character" w:customStyle="1" w:styleId="Jump">
    <w:name w:val="Jump"/>
    <w:rPr>
      <w:color w:val="FF0000"/>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lang w:val="en-GB"/>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9E00E5"/>
    <w:rPr>
      <w:rFonts w:ascii="Tahoma" w:hAnsi="Tahoma" w:cs="Tahoma"/>
      <w:sz w:val="16"/>
      <w:szCs w:val="16"/>
    </w:rPr>
  </w:style>
  <w:style w:type="character" w:customStyle="1" w:styleId="BalloonTextChar">
    <w:name w:val="Balloon Text Char"/>
    <w:link w:val="BalloonText"/>
    <w:uiPriority w:val="99"/>
    <w:semiHidden/>
    <w:rsid w:val="009E00E5"/>
    <w:rPr>
      <w:rFonts w:ascii="Tahoma" w:hAnsi="Tahoma" w:cs="Tahoma"/>
      <w:sz w:val="16"/>
      <w:szCs w:val="16"/>
    </w:rPr>
  </w:style>
  <w:style w:type="table" w:styleId="TableGrid">
    <w:name w:val="Table Grid"/>
    <w:basedOn w:val="TableNormal"/>
    <w:uiPriority w:val="59"/>
    <w:rsid w:val="00B02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351B6"/>
    <w:rPr>
      <w:sz w:val="16"/>
      <w:szCs w:val="16"/>
    </w:rPr>
  </w:style>
  <w:style w:type="paragraph" w:styleId="CommentText">
    <w:name w:val="annotation text"/>
    <w:basedOn w:val="Normal"/>
    <w:link w:val="CommentTextChar"/>
    <w:uiPriority w:val="99"/>
    <w:semiHidden/>
    <w:unhideWhenUsed/>
    <w:rsid w:val="00D351B6"/>
    <w:rPr>
      <w:sz w:val="20"/>
    </w:rPr>
  </w:style>
  <w:style w:type="character" w:customStyle="1" w:styleId="CommentTextChar">
    <w:name w:val="Comment Text Char"/>
    <w:basedOn w:val="DefaultParagraphFont"/>
    <w:link w:val="CommentText"/>
    <w:uiPriority w:val="99"/>
    <w:semiHidden/>
    <w:rsid w:val="00D351B6"/>
  </w:style>
  <w:style w:type="paragraph" w:styleId="CommentSubject">
    <w:name w:val="annotation subject"/>
    <w:basedOn w:val="CommentText"/>
    <w:next w:val="CommentText"/>
    <w:link w:val="CommentSubjectChar"/>
    <w:uiPriority w:val="99"/>
    <w:semiHidden/>
    <w:unhideWhenUsed/>
    <w:rsid w:val="00D351B6"/>
    <w:rPr>
      <w:b/>
      <w:bCs/>
    </w:rPr>
  </w:style>
  <w:style w:type="character" w:customStyle="1" w:styleId="CommentSubjectChar">
    <w:name w:val="Comment Subject Char"/>
    <w:link w:val="CommentSubject"/>
    <w:uiPriority w:val="99"/>
    <w:semiHidden/>
    <w:rsid w:val="00D351B6"/>
    <w:rPr>
      <w:b/>
      <w:bCs/>
    </w:rPr>
  </w:style>
  <w:style w:type="paragraph" w:styleId="Revision">
    <w:name w:val="Revision"/>
    <w:hidden/>
    <w:uiPriority w:val="99"/>
    <w:semiHidden/>
    <w:rsid w:val="00D351B6"/>
    <w:rPr>
      <w:sz w:val="24"/>
    </w:rPr>
  </w:style>
  <w:style w:type="paragraph" w:styleId="ListParagraph">
    <w:name w:val="List Paragraph"/>
    <w:basedOn w:val="Normal"/>
    <w:uiPriority w:val="34"/>
    <w:qFormat/>
    <w:rsid w:val="000C6698"/>
    <w:pPr>
      <w:ind w:left="720"/>
      <w:contextualSpacing/>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cfr.gov/cgi-bin/text-idx?SID=ead11842f0ffe0946cd4e115c0027a29&amp;mc=true&amp;node=se38.1.3_1901&amp;rgn=div8" TargetMode="External"/><Relationship Id="rId18" Type="http://schemas.openxmlformats.org/officeDocument/2006/relationships/hyperlink" Target="http://www.ecfr.gov/cgi-bin/text-idx?SID=ab9221668b09670f06f3e4ce1f8fbb43&amp;mc=true&amp;node=se38.1.3_1900&amp;rgn=div8" TargetMode="External"/><Relationship Id="rId26" Type="http://schemas.openxmlformats.org/officeDocument/2006/relationships/hyperlink" Target="http://www.ecfr.gov/cgi-bin/text-idx?SID=ead11842f0ffe0946cd4e115c0027a29&amp;mc=true&amp;node=se38.1.3_1901&amp;rgn=div8" TargetMode="External"/><Relationship Id="rId3" Type="http://schemas.openxmlformats.org/officeDocument/2006/relationships/customXml" Target="../customXml/item3.xml"/><Relationship Id="rId21" Type="http://schemas.openxmlformats.org/officeDocument/2006/relationships/hyperlink" Target="http://www.ecfr.gov/cgi-bin/text-idx?SID=ab9221668b09670f06f3e4ce1f8fbb43&amp;mc=true&amp;node=se38.1.3_1903&amp;rgn=div8"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cfr.gov/cgi-bin/text-idx?SID=ead11842f0ffe0946cd4e115c0027a29&amp;mc=true&amp;node=se38.1.3_1903&amp;rgn=div8" TargetMode="External"/><Relationship Id="rId25" Type="http://schemas.openxmlformats.org/officeDocument/2006/relationships/hyperlink" Target="http://www.ecfr.gov/cgi-bin/text-idx?SID=ead11842f0ffe0946cd4e115c0027a29&amp;mc=true&amp;node=se38.1.3_1902&amp;rgn=div8"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cfr.gov/cgi-bin/text-idx?SID=ead11842f0ffe0946cd4e115c0027a29&amp;mc=true&amp;node=se38.1.3_1903&amp;rgn=div8" TargetMode="External"/><Relationship Id="rId20" Type="http://schemas.openxmlformats.org/officeDocument/2006/relationships/hyperlink" Target="http://www.ecfr.gov/cgi-bin/text-idx?SID=ab9221668b09670f06f3e4ce1f8fbb43&amp;mc=true&amp;node=se38.1.3_1669&amp;rgn=div8" TargetMode="External"/><Relationship Id="rId29" Type="http://schemas.openxmlformats.org/officeDocument/2006/relationships/hyperlink" Target="mailto:Pension&amp;Fiduciary.VBACO@v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cfr.gov/cgi-bin/text-idx?SID=ead11842f0ffe0946cd4e115c0027a29&amp;mc=true&amp;node=se38.1.3_1901&amp;rgn=div8"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cfr.gov/cgi-bin/text-idx?SID=ead11842f0ffe0946cd4e115c0027a29&amp;mc=true&amp;node=se38.1.3_11&amp;rgn=div8" TargetMode="External"/><Relationship Id="rId23" Type="http://schemas.openxmlformats.org/officeDocument/2006/relationships/hyperlink" Target="http://www.ecfr.gov/cgi-bin/text-idx?SID=ead11842f0ffe0946cd4e115c0027a29&amp;mc=true&amp;node=se38.1.3_1905&amp;rgn=div8" TargetMode="External"/><Relationship Id="rId28" Type="http://schemas.openxmlformats.org/officeDocument/2006/relationships/hyperlink" Target="mailto:21.VBACO@va.gov"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vbaw.vba.va.gov/bl/21/advisory/CAVCDAD.htm" TargetMode="External"/><Relationship Id="rId31" Type="http://schemas.openxmlformats.org/officeDocument/2006/relationships/hyperlink" Target="http://www.ecfr.gov/cgi-bin/text-idx?SID=ab9221668b09670f06f3e4ce1f8fbb43&amp;mc=true&amp;node=se38.1.3_1669&amp;rgn=div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cfr.gov/cgi-bin/text-idx?SID=ead11842f0ffe0946cd4e115c0027a29&amp;mc=true&amp;node=se38.1.3_1902&amp;rgn=div8" TargetMode="External"/><Relationship Id="rId22" Type="http://schemas.openxmlformats.org/officeDocument/2006/relationships/hyperlink" Target="http://www.ecfr.gov/cgi-bin/text-idx?SID=ead11842f0ffe0946cd4e115c0027a29&amp;mc=true&amp;node=se38.1.3_1905&amp;rgn=div8" TargetMode="External"/><Relationship Id="rId27" Type="http://schemas.openxmlformats.org/officeDocument/2006/relationships/hyperlink" Target="http://www.ecfr.gov/cgi-bin/text-idx?SID=ead11842f0ffe0946cd4e115c0027a29&amp;mc=true&amp;node=se38.1.3_1902&amp;rgn=div8" TargetMode="External"/><Relationship Id="rId30" Type="http://schemas.openxmlformats.org/officeDocument/2006/relationships/hyperlink" Target="http://www.ecfr.gov/cgi-bin/text-idx?SID=ab9221668b09670f06f3e4ce1f8fbb43&amp;mc=true&amp;node=se38.1.3_1669&amp;rgn=div8"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74D7-8DEF-42A6-BA16-3359332D6891}">
  <ds:schemaRefs>
    <ds:schemaRef ds:uri="http://schemas.microsoft.com/office/2006/metadata/longProperties"/>
  </ds:schemaRefs>
</ds:datastoreItem>
</file>

<file path=customXml/itemProps2.xml><?xml version="1.0" encoding="utf-8"?>
<ds:datastoreItem xmlns:ds="http://schemas.openxmlformats.org/officeDocument/2006/customXml" ds:itemID="{C0ECB8D0-8D74-4FCC-8A70-4BE9C3E10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CC457-F00A-44C9-918D-1E2DEA098E50}">
  <ds:schemaRefs>
    <ds:schemaRef ds:uri="http://schemas.microsoft.com/sharepoint/v3/contenttype/forms"/>
  </ds:schemaRefs>
</ds:datastoreItem>
</file>

<file path=customXml/itemProps4.xml><?xml version="1.0" encoding="utf-8"?>
<ds:datastoreItem xmlns:ds="http://schemas.openxmlformats.org/officeDocument/2006/customXml" ds:itemID="{191AD340-B678-419A-A000-7AE870212194}">
  <ds:schemaRefs>
    <ds:schemaRef ds:uri="b438dcf7-3998-4283-b7fc-0ec6fa8e430f"/>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s>
</ds:datastoreItem>
</file>

<file path=customXml/itemProps5.xml><?xml version="1.0" encoding="utf-8"?>
<ds:datastoreItem xmlns:ds="http://schemas.openxmlformats.org/officeDocument/2006/customXml" ds:itemID="{6B3885F4-3FFD-4EC3-8E90-8ABAC1EF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196</TotalTime>
  <Pages>9</Pages>
  <Words>1868</Words>
  <Characters>12792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Part III, Subpart vi, Chapter 5, Section B.  Forfeiture Discontinuance Provisions</vt:lpstr>
    </vt:vector>
  </TitlesOfParts>
  <Company>Department of Veteran Affairs (VA)</Company>
  <LinksUpToDate>false</LinksUpToDate>
  <CharactersWithSpaces>14631</CharactersWithSpaces>
  <SharedDoc>false</SharedDoc>
  <HLinks>
    <vt:vector size="102" baseType="variant">
      <vt:variant>
        <vt:i4>7733277</vt:i4>
      </vt:variant>
      <vt:variant>
        <vt:i4>48</vt:i4>
      </vt:variant>
      <vt:variant>
        <vt:i4>0</vt:i4>
      </vt:variant>
      <vt:variant>
        <vt:i4>5</vt:i4>
      </vt:variant>
      <vt:variant>
        <vt:lpwstr>http://www.ecfr.gov/cgi-bin/text-idx?SID=ab9221668b09670f06f3e4ce1f8fbb43&amp;mc=true&amp;node=se38.1.3_1669&amp;rgn=div8</vt:lpwstr>
      </vt:variant>
      <vt:variant>
        <vt:lpwstr/>
      </vt:variant>
      <vt:variant>
        <vt:i4>7733277</vt:i4>
      </vt:variant>
      <vt:variant>
        <vt:i4>45</vt:i4>
      </vt:variant>
      <vt:variant>
        <vt:i4>0</vt:i4>
      </vt:variant>
      <vt:variant>
        <vt:i4>5</vt:i4>
      </vt:variant>
      <vt:variant>
        <vt:lpwstr>http://www.ecfr.gov/cgi-bin/text-idx?SID=ab9221668b09670f06f3e4ce1f8fbb43&amp;mc=true&amp;node=se38.1.3_1669&amp;rgn=div8</vt:lpwstr>
      </vt:variant>
      <vt:variant>
        <vt:lpwstr/>
      </vt:variant>
      <vt:variant>
        <vt:i4>5046395</vt:i4>
      </vt:variant>
      <vt:variant>
        <vt:i4>42</vt:i4>
      </vt:variant>
      <vt:variant>
        <vt:i4>0</vt:i4>
      </vt:variant>
      <vt:variant>
        <vt:i4>5</vt:i4>
      </vt:variant>
      <vt:variant>
        <vt:lpwstr>mailto:Pension&amp;Fiduciary.VBACO@va.gov</vt:lpwstr>
      </vt:variant>
      <vt:variant>
        <vt:lpwstr/>
      </vt:variant>
      <vt:variant>
        <vt:i4>5177396</vt:i4>
      </vt:variant>
      <vt:variant>
        <vt:i4>39</vt:i4>
      </vt:variant>
      <vt:variant>
        <vt:i4>0</vt:i4>
      </vt:variant>
      <vt:variant>
        <vt:i4>5</vt:i4>
      </vt:variant>
      <vt:variant>
        <vt:lpwstr>mailto:21.VBACO@va.gov</vt:lpwstr>
      </vt:variant>
      <vt:variant>
        <vt:lpwstr/>
      </vt:variant>
      <vt:variant>
        <vt:i4>2555970</vt:i4>
      </vt:variant>
      <vt:variant>
        <vt:i4>36</vt:i4>
      </vt:variant>
      <vt:variant>
        <vt:i4>0</vt:i4>
      </vt:variant>
      <vt:variant>
        <vt:i4>5</vt:i4>
      </vt:variant>
      <vt:variant>
        <vt:lpwstr>http://www.ecfr.gov/cgi-bin/text-idx?SID=ead11842f0ffe0946cd4e115c0027a29&amp;mc=true&amp;node=se38.1.3_1902&amp;rgn=div8</vt:lpwstr>
      </vt:variant>
      <vt:variant>
        <vt:lpwstr/>
      </vt:variant>
      <vt:variant>
        <vt:i4>2359362</vt:i4>
      </vt:variant>
      <vt:variant>
        <vt:i4>33</vt:i4>
      </vt:variant>
      <vt:variant>
        <vt:i4>0</vt:i4>
      </vt:variant>
      <vt:variant>
        <vt:i4>5</vt:i4>
      </vt:variant>
      <vt:variant>
        <vt:lpwstr>http://www.ecfr.gov/cgi-bin/text-idx?SID=ead11842f0ffe0946cd4e115c0027a29&amp;mc=true&amp;node=se38.1.3_1901&amp;rgn=div8</vt:lpwstr>
      </vt:variant>
      <vt:variant>
        <vt:lpwstr/>
      </vt:variant>
      <vt:variant>
        <vt:i4>2555970</vt:i4>
      </vt:variant>
      <vt:variant>
        <vt:i4>30</vt:i4>
      </vt:variant>
      <vt:variant>
        <vt:i4>0</vt:i4>
      </vt:variant>
      <vt:variant>
        <vt:i4>5</vt:i4>
      </vt:variant>
      <vt:variant>
        <vt:lpwstr>http://www.ecfr.gov/cgi-bin/text-idx?SID=ead11842f0ffe0946cd4e115c0027a29&amp;mc=true&amp;node=se38.1.3_1902&amp;rgn=div8</vt:lpwstr>
      </vt:variant>
      <vt:variant>
        <vt:lpwstr/>
      </vt:variant>
      <vt:variant>
        <vt:i4>2359362</vt:i4>
      </vt:variant>
      <vt:variant>
        <vt:i4>27</vt:i4>
      </vt:variant>
      <vt:variant>
        <vt:i4>0</vt:i4>
      </vt:variant>
      <vt:variant>
        <vt:i4>5</vt:i4>
      </vt:variant>
      <vt:variant>
        <vt:lpwstr>http://www.ecfr.gov/cgi-bin/text-idx?SID=ead11842f0ffe0946cd4e115c0027a29&amp;mc=true&amp;node=se38.1.3_1901&amp;rgn=div8</vt:lpwstr>
      </vt:variant>
      <vt:variant>
        <vt:lpwstr/>
      </vt:variant>
      <vt:variant>
        <vt:i4>2097218</vt:i4>
      </vt:variant>
      <vt:variant>
        <vt:i4>24</vt:i4>
      </vt:variant>
      <vt:variant>
        <vt:i4>0</vt:i4>
      </vt:variant>
      <vt:variant>
        <vt:i4>5</vt:i4>
      </vt:variant>
      <vt:variant>
        <vt:lpwstr>http://www.ecfr.gov/cgi-bin/text-idx?SID=ead11842f0ffe0946cd4e115c0027a29&amp;mc=true&amp;node=se38.1.3_1905&amp;rgn=div8</vt:lpwstr>
      </vt:variant>
      <vt:variant>
        <vt:lpwstr/>
      </vt:variant>
      <vt:variant>
        <vt:i4>2097218</vt:i4>
      </vt:variant>
      <vt:variant>
        <vt:i4>21</vt:i4>
      </vt:variant>
      <vt:variant>
        <vt:i4>0</vt:i4>
      </vt:variant>
      <vt:variant>
        <vt:i4>5</vt:i4>
      </vt:variant>
      <vt:variant>
        <vt:lpwstr>http://www.ecfr.gov/cgi-bin/text-idx?SID=ead11842f0ffe0946cd4e115c0027a29&amp;mc=true&amp;node=se38.1.3_1905&amp;rgn=div8</vt:lpwstr>
      </vt:variant>
      <vt:variant>
        <vt:lpwstr/>
      </vt:variant>
      <vt:variant>
        <vt:i4>7536667</vt:i4>
      </vt:variant>
      <vt:variant>
        <vt:i4>18</vt:i4>
      </vt:variant>
      <vt:variant>
        <vt:i4>0</vt:i4>
      </vt:variant>
      <vt:variant>
        <vt:i4>5</vt:i4>
      </vt:variant>
      <vt:variant>
        <vt:lpwstr>http://www.ecfr.gov/cgi-bin/text-idx?SID=ab9221668b09670f06f3e4ce1f8fbb43&amp;mc=true&amp;node=se38.1.3_1903&amp;rgn=div8</vt:lpwstr>
      </vt:variant>
      <vt:variant>
        <vt:lpwstr/>
      </vt:variant>
      <vt:variant>
        <vt:i4>7340059</vt:i4>
      </vt:variant>
      <vt:variant>
        <vt:i4>15</vt:i4>
      </vt:variant>
      <vt:variant>
        <vt:i4>0</vt:i4>
      </vt:variant>
      <vt:variant>
        <vt:i4>5</vt:i4>
      </vt:variant>
      <vt:variant>
        <vt:lpwstr>http://www.ecfr.gov/cgi-bin/text-idx?SID=ab9221668b09670f06f3e4ce1f8fbb43&amp;mc=true&amp;node=se38.1.3_1900&amp;rgn=div8</vt:lpwstr>
      </vt:variant>
      <vt:variant>
        <vt:lpwstr/>
      </vt:variant>
      <vt:variant>
        <vt:i4>2490434</vt:i4>
      </vt:variant>
      <vt:variant>
        <vt:i4>12</vt:i4>
      </vt:variant>
      <vt:variant>
        <vt:i4>0</vt:i4>
      </vt:variant>
      <vt:variant>
        <vt:i4>5</vt:i4>
      </vt:variant>
      <vt:variant>
        <vt:lpwstr>http://www.ecfr.gov/cgi-bin/text-idx?SID=ead11842f0ffe0946cd4e115c0027a29&amp;mc=true&amp;node=se38.1.3_1903&amp;rgn=div8</vt:lpwstr>
      </vt:variant>
      <vt:variant>
        <vt:lpwstr/>
      </vt:variant>
      <vt:variant>
        <vt:i4>2490434</vt:i4>
      </vt:variant>
      <vt:variant>
        <vt:i4>9</vt:i4>
      </vt:variant>
      <vt:variant>
        <vt:i4>0</vt:i4>
      </vt:variant>
      <vt:variant>
        <vt:i4>5</vt:i4>
      </vt:variant>
      <vt:variant>
        <vt:lpwstr>http://www.ecfr.gov/cgi-bin/text-idx?SID=ead11842f0ffe0946cd4e115c0027a29&amp;mc=true&amp;node=se38.1.3_1903&amp;rgn=div8</vt:lpwstr>
      </vt:variant>
      <vt:variant>
        <vt:lpwstr/>
      </vt:variant>
      <vt:variant>
        <vt:i4>1900658</vt:i4>
      </vt:variant>
      <vt:variant>
        <vt:i4>6</vt:i4>
      </vt:variant>
      <vt:variant>
        <vt:i4>0</vt:i4>
      </vt:variant>
      <vt:variant>
        <vt:i4>5</vt:i4>
      </vt:variant>
      <vt:variant>
        <vt:lpwstr>http://www.ecfr.gov/cgi-bin/text-idx?SID=ead11842f0ffe0946cd4e115c0027a29&amp;mc=true&amp;node=se38.1.3_11&amp;rgn=div8</vt:lpwstr>
      </vt:variant>
      <vt:variant>
        <vt:lpwstr/>
      </vt:variant>
      <vt:variant>
        <vt:i4>2555970</vt:i4>
      </vt:variant>
      <vt:variant>
        <vt:i4>3</vt:i4>
      </vt:variant>
      <vt:variant>
        <vt:i4>0</vt:i4>
      </vt:variant>
      <vt:variant>
        <vt:i4>5</vt:i4>
      </vt:variant>
      <vt:variant>
        <vt:lpwstr>http://www.ecfr.gov/cgi-bin/text-idx?SID=ead11842f0ffe0946cd4e115c0027a29&amp;mc=true&amp;node=se38.1.3_1902&amp;rgn=div8</vt:lpwstr>
      </vt:variant>
      <vt:variant>
        <vt:lpwstr/>
      </vt:variant>
      <vt:variant>
        <vt:i4>2359362</vt:i4>
      </vt:variant>
      <vt:variant>
        <vt:i4>0</vt:i4>
      </vt:variant>
      <vt:variant>
        <vt:i4>0</vt:i4>
      </vt:variant>
      <vt:variant>
        <vt:i4>5</vt:i4>
      </vt:variant>
      <vt:variant>
        <vt:lpwstr>http://www.ecfr.gov/cgi-bin/text-idx?SID=ead11842f0ffe0946cd4e115c0027a29&amp;mc=true&amp;node=se38.1.3_1901&amp;rgn=div8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III, Subpart vi, Chapter 5, Section B.  Forfeiture Discontinuance Provisions</dc:title>
  <dc:subject>Fraud and Forfeiture</dc:subject>
  <dc:creator>Larsen, Soren E. VBASLCY</dc:creator>
  <cp:lastModifiedBy>Mazar, Leah B., VBAVACO</cp:lastModifiedBy>
  <cp:revision>9</cp:revision>
  <cp:lastPrinted>2007-05-22T21:02:00Z</cp:lastPrinted>
  <dcterms:created xsi:type="dcterms:W3CDTF">2015-09-16T18:58:00Z</dcterms:created>
  <dcterms:modified xsi:type="dcterms:W3CDTF">2015-09-24T14:27:00Z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REFERENCECODE">
    <vt:lpwstr>III.vi.5.B</vt:lpwstr>
  </property>
  <property fmtid="{D5CDD505-2E9C-101B-9397-08002B2CF9AE}" pid="4" name="FILENAME">
    <vt:lpwstr>pt03_sp06_ch05_secB</vt:lpwstr>
  </property>
  <property fmtid="{D5CDD505-2E9C-101B-9397-08002B2CF9AE}" pid="5" name="TOCNAME">
    <vt:lpwstr>pt03_sp06_ch05_toc.doc</vt:lpwstr>
  </property>
  <property fmtid="{D5CDD505-2E9C-101B-9397-08002B2CF9AE}" pid="6" name="ContentTypeId">
    <vt:lpwstr>0x010100A3776AF772BF364D8E899CBB1EA8E540</vt:lpwstr>
  </property>
</Properties>
</file>