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76079" w14:textId="77777777"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945950">
        <w:rPr>
          <w:rFonts w:ascii="Times New Roman" w:hAnsi="Times New Roman"/>
          <w:sz w:val="20"/>
        </w:rPr>
        <w:t>I</w:t>
      </w:r>
      <w:r w:rsidR="001A2887">
        <w:rPr>
          <w:rFonts w:ascii="Times New Roman" w:hAnsi="Times New Roman"/>
          <w:sz w:val="20"/>
        </w:rPr>
        <w:t>II</w:t>
      </w:r>
      <w:r>
        <w:rPr>
          <w:rFonts w:ascii="Times New Roman" w:hAnsi="Times New Roman"/>
          <w:sz w:val="20"/>
        </w:rPr>
        <w:t xml:space="preserve">, Subpart </w:t>
      </w:r>
      <w:proofErr w:type="gramStart"/>
      <w:r w:rsidR="001A2887">
        <w:rPr>
          <w:rFonts w:ascii="Times New Roman" w:hAnsi="Times New Roman"/>
          <w:sz w:val="20"/>
        </w:rPr>
        <w:t>vi</w:t>
      </w:r>
      <w:proofErr w:type="gramEnd"/>
    </w:p>
    <w:p w14:paraId="24ED0F33" w14:textId="188F36A4"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8E53EF">
        <w:rPr>
          <w:b/>
          <w:bCs/>
          <w:sz w:val="20"/>
        </w:rPr>
        <w:t xml:space="preserve">             </w:t>
      </w:r>
      <w:r w:rsidR="00DA6F2A">
        <w:rPr>
          <w:b/>
          <w:bCs/>
          <w:sz w:val="20"/>
        </w:rPr>
        <w:t xml:space="preserve">  </w:t>
      </w:r>
      <w:r w:rsidR="006805A3">
        <w:rPr>
          <w:b/>
          <w:bCs/>
          <w:sz w:val="20"/>
        </w:rPr>
        <w:t>June 19, 2015</w:t>
      </w:r>
    </w:p>
    <w:p w14:paraId="356CDA24" w14:textId="77777777" w:rsidR="00504F80" w:rsidRDefault="00504F80" w:rsidP="00504F80">
      <w:pPr>
        <w:rPr>
          <w:b/>
          <w:bCs/>
          <w:sz w:val="20"/>
        </w:rPr>
      </w:pPr>
      <w:r>
        <w:rPr>
          <w:b/>
          <w:bCs/>
          <w:sz w:val="20"/>
        </w:rPr>
        <w:t>Washington, DC  20420</w:t>
      </w:r>
    </w:p>
    <w:p w14:paraId="2BF95CEA" w14:textId="77777777" w:rsidR="00504F80" w:rsidRDefault="00504F80" w:rsidP="00504F80">
      <w:pPr>
        <w:rPr>
          <w:b/>
          <w:bCs/>
          <w:sz w:val="20"/>
        </w:rPr>
      </w:pPr>
    </w:p>
    <w:p w14:paraId="186E3B93" w14:textId="77777777" w:rsidR="00504F80" w:rsidRDefault="00504F80" w:rsidP="00504F80">
      <w:pPr>
        <w:pStyle w:val="Heading4"/>
      </w:pPr>
      <w:r>
        <w:t xml:space="preserve">Transmittal Sheet </w:t>
      </w:r>
    </w:p>
    <w:p w14:paraId="57F04394"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585B3392" w14:textId="77777777" w:rsidTr="00C24D50">
        <w:tc>
          <w:tcPr>
            <w:tcW w:w="1728" w:type="dxa"/>
          </w:tcPr>
          <w:p w14:paraId="375D620D" w14:textId="77777777" w:rsidR="00504F80" w:rsidRDefault="00504F80" w:rsidP="00237C22">
            <w:pPr>
              <w:pStyle w:val="Heading5"/>
            </w:pPr>
            <w:r>
              <w:t>Changes Included in This Revision</w:t>
            </w:r>
          </w:p>
        </w:tc>
        <w:tc>
          <w:tcPr>
            <w:tcW w:w="7740" w:type="dxa"/>
          </w:tcPr>
          <w:p w14:paraId="14876C09" w14:textId="77777777" w:rsidR="00504F80" w:rsidRDefault="00504F80" w:rsidP="00237C22">
            <w:pPr>
              <w:pStyle w:val="BlockText"/>
            </w:pPr>
            <w:r>
              <w:t xml:space="preserve">The table below describes the changes included in this revision of Veterans Benefits Manual M21-1, Part </w:t>
            </w:r>
            <w:r w:rsidR="00BB3345">
              <w:t>III</w:t>
            </w:r>
            <w:r>
              <w:t>, “</w:t>
            </w:r>
            <w:r w:rsidR="00BB3345">
              <w:t>General Claims Process</w:t>
            </w:r>
            <w:r>
              <w:t xml:space="preserve">,” Subpart </w:t>
            </w:r>
            <w:r w:rsidR="00DA6F2A">
              <w:t>v</w:t>
            </w:r>
            <w:r>
              <w:t>i, “</w:t>
            </w:r>
            <w:r w:rsidR="00DA6F2A">
              <w:t>Special Authorization Issues</w:t>
            </w:r>
            <w:r>
              <w:t>”</w:t>
            </w:r>
            <w:r w:rsidR="00DA6F2A">
              <w:t>.</w:t>
            </w:r>
          </w:p>
          <w:p w14:paraId="2A484A8C" w14:textId="77777777" w:rsidR="00504F80" w:rsidRPr="00450FD6" w:rsidRDefault="00504F80" w:rsidP="00237C22">
            <w:pPr>
              <w:pStyle w:val="BulletText1"/>
              <w:numPr>
                <w:ilvl w:val="0"/>
                <w:numId w:val="0"/>
              </w:numPr>
            </w:pPr>
          </w:p>
          <w:p w14:paraId="326095F5" w14:textId="77777777" w:rsidR="00504F80" w:rsidRDefault="00504F80" w:rsidP="00237C22">
            <w:pPr>
              <w:pStyle w:val="BulletText1"/>
              <w:numPr>
                <w:ilvl w:val="0"/>
                <w:numId w:val="0"/>
              </w:numPr>
            </w:pPr>
            <w:r>
              <w:rPr>
                <w:b/>
                <w:i/>
              </w:rPr>
              <w:t>Notes</w:t>
            </w:r>
            <w:r>
              <w:t xml:space="preserve">:  </w:t>
            </w:r>
          </w:p>
          <w:p w14:paraId="3E659B37" w14:textId="77777777" w:rsidR="00504F80" w:rsidRDefault="00504F80" w:rsidP="00237C22">
            <w:pPr>
              <w:pStyle w:val="BulletText1"/>
            </w:pPr>
            <w:r>
              <w:t xml:space="preserve">The term </w:t>
            </w:r>
            <w:r w:rsidR="0027298D">
              <w:t>“</w:t>
            </w:r>
            <w:r>
              <w:t>regional office</w:t>
            </w:r>
            <w:r w:rsidR="0027298D">
              <w:t>”</w:t>
            </w:r>
            <w:r>
              <w:t xml:space="preserve"> (RO) also includes pension management center (PMC)</w:t>
            </w:r>
            <w:r w:rsidR="00C24D50">
              <w:t>, where appropriate</w:t>
            </w:r>
            <w:r>
              <w:t>.</w:t>
            </w:r>
          </w:p>
          <w:p w14:paraId="5B006432" w14:textId="77777777" w:rsidR="0027298D" w:rsidRDefault="0027298D" w:rsidP="00237C22">
            <w:pPr>
              <w:pStyle w:val="BulletText1"/>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 </w:t>
            </w:r>
            <w:r w:rsidR="000E320F">
              <w:t>relating to claims that a Veteran and/or his/her dependent(s) file with VA</w:t>
            </w:r>
            <w:r w:rsidR="004A0832">
              <w:t>.</w:t>
            </w:r>
          </w:p>
          <w:p w14:paraId="3910BC7D" w14:textId="77777777" w:rsidR="00504F80" w:rsidRDefault="00504F80" w:rsidP="00C24D50">
            <w:pPr>
              <w:pStyle w:val="BulletText1"/>
            </w:pPr>
            <w:r>
              <w:t xml:space="preserve">Minor editorial changes have also been made to </w:t>
            </w:r>
          </w:p>
          <w:p w14:paraId="521BD795" w14:textId="77777777" w:rsidR="00504F80" w:rsidRDefault="00504F80" w:rsidP="00237C22">
            <w:pPr>
              <w:pStyle w:val="BulletText2"/>
              <w:tabs>
                <w:tab w:val="num" w:pos="547"/>
              </w:tabs>
            </w:pPr>
            <w:r>
              <w:t>update incorrect</w:t>
            </w:r>
            <w:r w:rsidR="008E53EF">
              <w:t xml:space="preserve"> or</w:t>
            </w:r>
            <w:r>
              <w:t xml:space="preserve"> obsolete references</w:t>
            </w:r>
            <w:r w:rsidR="008E53EF">
              <w:t xml:space="preserve"> and terminology, where appropriate</w:t>
            </w:r>
          </w:p>
          <w:p w14:paraId="112A569C" w14:textId="77777777" w:rsidR="00271962" w:rsidRDefault="00F87F72" w:rsidP="00237C22">
            <w:pPr>
              <w:pStyle w:val="BulletText2"/>
              <w:tabs>
                <w:tab w:val="num" w:pos="547"/>
              </w:tabs>
            </w:pPr>
            <w:r>
              <w:t xml:space="preserve">renumber </w:t>
            </w:r>
            <w:r w:rsidR="00437647">
              <w:t xml:space="preserve">each </w:t>
            </w:r>
            <w:r w:rsidR="00526F0E">
              <w:t>topic</w:t>
            </w:r>
            <w:r w:rsidR="00437647">
              <w:t xml:space="preserve"> based on the standard that the first topic in each section is Topic 1</w:t>
            </w:r>
          </w:p>
          <w:p w14:paraId="20494C3B" w14:textId="77777777" w:rsidR="003E2CA2" w:rsidRDefault="003E2CA2" w:rsidP="00237C22">
            <w:pPr>
              <w:pStyle w:val="BulletText2"/>
              <w:tabs>
                <w:tab w:val="num" w:pos="547"/>
              </w:tabs>
            </w:pPr>
            <w:r>
              <w:t>reassign alphabetical designations to individual blocks, where necessary, to account for new and/or deleted blocks within a topic</w:t>
            </w:r>
          </w:p>
          <w:p w14:paraId="36FE37B2" w14:textId="77777777" w:rsidR="00A557BB" w:rsidRDefault="00A557BB" w:rsidP="00237C22">
            <w:pPr>
              <w:pStyle w:val="BulletText2"/>
              <w:tabs>
                <w:tab w:val="num" w:pos="547"/>
              </w:tabs>
            </w:pPr>
            <w:r>
              <w:t>update section and topic titles to more accurately reflect their content</w:t>
            </w:r>
          </w:p>
          <w:p w14:paraId="51AB6D59" w14:textId="77777777" w:rsidR="00504F80" w:rsidRDefault="00504F80" w:rsidP="00237C22">
            <w:pPr>
              <w:pStyle w:val="BulletText2"/>
              <w:tabs>
                <w:tab w:val="num" w:pos="547"/>
              </w:tabs>
            </w:pPr>
            <w:r>
              <w:t xml:space="preserve">clarify </w:t>
            </w:r>
            <w:r w:rsidR="002041BE">
              <w:t>b</w:t>
            </w:r>
            <w:r w:rsidR="00D61497">
              <w:t xml:space="preserve">lock labels and/or </w:t>
            </w:r>
            <w:r w:rsidR="002041BE">
              <w:t>b</w:t>
            </w:r>
            <w:r>
              <w:t xml:space="preserve">lock text, and </w:t>
            </w:r>
          </w:p>
          <w:p w14:paraId="388EC653" w14:textId="77777777" w:rsidR="00504F80" w:rsidRPr="00EA3A57" w:rsidRDefault="00504F80" w:rsidP="00120103">
            <w:pPr>
              <w:pStyle w:val="BulletText2"/>
            </w:pPr>
            <w:proofErr w:type="gramStart"/>
            <w:r>
              <w:t>bring</w:t>
            </w:r>
            <w:proofErr w:type="gramEnd"/>
            <w:r>
              <w:t xml:space="preserve"> the document into conformance with M21-1 standards.</w:t>
            </w:r>
          </w:p>
        </w:tc>
      </w:tr>
    </w:tbl>
    <w:p w14:paraId="3DD64493"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0"/>
        <w:gridCol w:w="2340"/>
      </w:tblGrid>
      <w:tr w:rsidR="002A1D3E" w14:paraId="3E02944B" w14:textId="77777777" w:rsidTr="007B3BAF">
        <w:trPr>
          <w:trHeight w:val="180"/>
        </w:trPr>
        <w:tc>
          <w:tcPr>
            <w:tcW w:w="3750" w:type="pct"/>
            <w:shd w:val="clear" w:color="auto" w:fill="auto"/>
          </w:tcPr>
          <w:p w14:paraId="6011A1C1" w14:textId="77777777" w:rsidR="002A1D3E" w:rsidRPr="00C24D50" w:rsidRDefault="002A1D3E" w:rsidP="002F7397">
            <w:pPr>
              <w:pStyle w:val="TableHeaderText"/>
            </w:pPr>
            <w:r w:rsidRPr="00C24D50">
              <w:t>Reason(s) for the Change</w:t>
            </w:r>
          </w:p>
        </w:tc>
        <w:tc>
          <w:tcPr>
            <w:tcW w:w="1250" w:type="pct"/>
            <w:shd w:val="clear" w:color="auto" w:fill="auto"/>
          </w:tcPr>
          <w:p w14:paraId="1F77479A" w14:textId="77777777" w:rsidR="002A1D3E" w:rsidRPr="00C24D50" w:rsidRDefault="002A1D3E" w:rsidP="002F7397">
            <w:pPr>
              <w:pStyle w:val="TableHeaderText"/>
            </w:pPr>
            <w:r w:rsidRPr="00C24D50">
              <w:t>Citation</w:t>
            </w:r>
          </w:p>
        </w:tc>
      </w:tr>
      <w:tr w:rsidR="002A1D3E" w14:paraId="128C5519" w14:textId="77777777" w:rsidTr="007B3BAF">
        <w:trPr>
          <w:trHeight w:val="180"/>
        </w:trPr>
        <w:tc>
          <w:tcPr>
            <w:tcW w:w="3750" w:type="pct"/>
            <w:shd w:val="clear" w:color="auto" w:fill="auto"/>
          </w:tcPr>
          <w:p w14:paraId="03FFE7AD" w14:textId="47E129B1" w:rsidR="002A1D3E" w:rsidRPr="00C24D50" w:rsidRDefault="008E53EF" w:rsidP="00016B7E">
            <w:pPr>
              <w:pStyle w:val="TableText"/>
            </w:pPr>
            <w:r>
              <w:t xml:space="preserve">To </w:t>
            </w:r>
            <w:r w:rsidR="0062542F">
              <w:t>change the t</w:t>
            </w:r>
            <w:r w:rsidR="00016B7E">
              <w:t>erm</w:t>
            </w:r>
            <w:r w:rsidR="0062542F">
              <w:t xml:space="preserve"> </w:t>
            </w:r>
            <w:r w:rsidR="00016B7E">
              <w:t>f</w:t>
            </w:r>
            <w:r>
              <w:t xml:space="preserve">iscal </w:t>
            </w:r>
            <w:r w:rsidR="00016B7E">
              <w:t>a</w:t>
            </w:r>
            <w:r>
              <w:t>uthorization (FISA)</w:t>
            </w:r>
            <w:r w:rsidR="0062542F">
              <w:t xml:space="preserve"> to </w:t>
            </w:r>
            <w:r w:rsidR="00016B7E">
              <w:t>fiscal adjustment</w:t>
            </w:r>
            <w:r>
              <w:t xml:space="preserve">, </w:t>
            </w:r>
            <w:r w:rsidR="00016B7E">
              <w:t xml:space="preserve">to distinguish situations which require action from the finance activity prior to authorization of an award, from the FISA command used by the authorization activity </w:t>
            </w:r>
            <w:proofErr w:type="gramStart"/>
            <w:r w:rsidR="00016B7E">
              <w:t>in  the</w:t>
            </w:r>
            <w:proofErr w:type="gramEnd"/>
            <w:r w:rsidR="00016B7E">
              <w:t xml:space="preserve"> Benefits Delivery Network (BDN)</w:t>
            </w:r>
            <w:r w:rsidR="0062542F">
              <w:t>.</w:t>
            </w:r>
          </w:p>
        </w:tc>
        <w:tc>
          <w:tcPr>
            <w:tcW w:w="1250" w:type="pct"/>
            <w:shd w:val="clear" w:color="auto" w:fill="auto"/>
          </w:tcPr>
          <w:p w14:paraId="0B6796F1" w14:textId="77777777" w:rsidR="002A1D3E" w:rsidRDefault="008E53EF" w:rsidP="008E53EF">
            <w:pPr>
              <w:pStyle w:val="TableText"/>
            </w:pPr>
            <w:r>
              <w:t>M21-1, Part III, Subpart vi, Chapter 2, Section B</w:t>
            </w:r>
            <w:r w:rsidR="00546949">
              <w:t xml:space="preserve"> </w:t>
            </w:r>
          </w:p>
          <w:p w14:paraId="20164CC8" w14:textId="77777777" w:rsidR="008E53EF" w:rsidRPr="00C24D50" w:rsidRDefault="008E53EF" w:rsidP="008E53EF">
            <w:pPr>
              <w:pStyle w:val="TableText"/>
            </w:pPr>
            <w:r>
              <w:t>(III.vi.2.B)</w:t>
            </w:r>
          </w:p>
        </w:tc>
      </w:tr>
      <w:tr w:rsidR="002A1D3E" w14:paraId="11DD6759" w14:textId="77777777" w:rsidTr="007B3BAF">
        <w:trPr>
          <w:trHeight w:val="180"/>
        </w:trPr>
        <w:tc>
          <w:tcPr>
            <w:tcW w:w="3750" w:type="pct"/>
            <w:shd w:val="clear" w:color="auto" w:fill="auto"/>
          </w:tcPr>
          <w:p w14:paraId="3869C1EE" w14:textId="77777777" w:rsidR="00B5330B" w:rsidRDefault="0062542F" w:rsidP="00B5330B">
            <w:pPr>
              <w:pStyle w:val="ListParagraph"/>
              <w:numPr>
                <w:ilvl w:val="0"/>
                <w:numId w:val="11"/>
              </w:numPr>
              <w:ind w:left="158" w:hanging="187"/>
            </w:pPr>
            <w:r>
              <w:t xml:space="preserve">To </w:t>
            </w:r>
            <w:r w:rsidR="007B3BAF">
              <w:t xml:space="preserve">clarify how an accounts receivable (A/R) is created, and when a FISA is required by the finance activity. </w:t>
            </w:r>
          </w:p>
          <w:p w14:paraId="0D7F7105" w14:textId="4CCD9EA8" w:rsidR="00B5330B" w:rsidRDefault="007B3BAF" w:rsidP="00B5330B">
            <w:pPr>
              <w:pStyle w:val="ListParagraph"/>
              <w:numPr>
                <w:ilvl w:val="0"/>
                <w:numId w:val="11"/>
              </w:numPr>
              <w:ind w:left="158" w:hanging="187"/>
            </w:pPr>
            <w:r>
              <w:t xml:space="preserve">To explain the difference processing a FISA in </w:t>
            </w:r>
            <w:r w:rsidR="00B5330B">
              <w:t>BDN</w:t>
            </w:r>
            <w:r>
              <w:t xml:space="preserve"> and Veterans Service Network (VETSNET) and the Veterans Benefits Management System-Awards (VBMS-A)</w:t>
            </w:r>
            <w:r w:rsidR="00985D6D">
              <w:t xml:space="preserve">. </w:t>
            </w:r>
          </w:p>
          <w:p w14:paraId="2CA95BA7" w14:textId="6D1F72E1" w:rsidR="002A1D3E" w:rsidRPr="00C24D50" w:rsidRDefault="00985D6D" w:rsidP="00B5330B">
            <w:pPr>
              <w:pStyle w:val="ListParagraph"/>
              <w:numPr>
                <w:ilvl w:val="0"/>
                <w:numId w:val="11"/>
              </w:numPr>
              <w:ind w:left="158" w:hanging="187"/>
            </w:pPr>
            <w:r>
              <w:t xml:space="preserve">To </w:t>
            </w:r>
            <w:proofErr w:type="spellStart"/>
            <w:r>
              <w:t>calrify</w:t>
            </w:r>
            <w:proofErr w:type="spellEnd"/>
            <w:r>
              <w:t xml:space="preserve"> that FISA is required when processing attorney fee cases and award adjustments based on audit error worksheets (AEW) showing an amount previously paid by the Defense Finance and Accounting Service (DFAS).</w:t>
            </w:r>
          </w:p>
        </w:tc>
        <w:tc>
          <w:tcPr>
            <w:tcW w:w="1250" w:type="pct"/>
            <w:shd w:val="clear" w:color="auto" w:fill="auto"/>
          </w:tcPr>
          <w:p w14:paraId="3C9B66E0" w14:textId="77777777" w:rsidR="002A1D3E" w:rsidRDefault="0062542F" w:rsidP="002F7397">
            <w:pPr>
              <w:pStyle w:val="TableText"/>
            </w:pPr>
            <w:r>
              <w:t>III.vi.2.B.1.a</w:t>
            </w:r>
          </w:p>
          <w:p w14:paraId="782DD8A7" w14:textId="6C73AD23" w:rsidR="0062542F" w:rsidRPr="00C24D50" w:rsidRDefault="0062542F" w:rsidP="002F7397">
            <w:pPr>
              <w:pStyle w:val="TableText"/>
            </w:pPr>
          </w:p>
        </w:tc>
      </w:tr>
      <w:tr w:rsidR="00985D6D" w14:paraId="232EE852" w14:textId="77777777" w:rsidTr="007B3BAF">
        <w:trPr>
          <w:trHeight w:val="180"/>
        </w:trPr>
        <w:tc>
          <w:tcPr>
            <w:tcW w:w="3750" w:type="pct"/>
            <w:shd w:val="clear" w:color="auto" w:fill="auto"/>
          </w:tcPr>
          <w:p w14:paraId="306BFA9E" w14:textId="6CFFA678" w:rsidR="00985D6D" w:rsidRDefault="00985D6D" w:rsidP="00985D6D">
            <w:pPr>
              <w:pStyle w:val="TableText"/>
            </w:pPr>
            <w:r>
              <w:t xml:space="preserve">To clarify that Senior Veterans Service Representatives (SVSRs) </w:t>
            </w:r>
            <w:r w:rsidR="007A4F40">
              <w:t xml:space="preserve">and Certified Veterans Service Representatives (CVSRs) </w:t>
            </w:r>
            <w:r>
              <w:t xml:space="preserve">are responsible for ensuring that </w:t>
            </w:r>
            <w:proofErr w:type="gramStart"/>
            <w:r>
              <w:t xml:space="preserve">award adjustments for </w:t>
            </w:r>
            <w:r w:rsidRPr="00985D6D">
              <w:t>Department of Veterans Affairs (VA) beneficiar</w:t>
            </w:r>
            <w:r>
              <w:t>ies</w:t>
            </w:r>
            <w:r w:rsidRPr="00985D6D">
              <w:t xml:space="preserve"> is</w:t>
            </w:r>
            <w:proofErr w:type="gramEnd"/>
            <w:r w:rsidRPr="00985D6D">
              <w:t xml:space="preserve"> accurate</w:t>
            </w:r>
            <w:r>
              <w:t>.</w:t>
            </w:r>
          </w:p>
        </w:tc>
        <w:tc>
          <w:tcPr>
            <w:tcW w:w="1250" w:type="pct"/>
            <w:shd w:val="clear" w:color="auto" w:fill="auto"/>
          </w:tcPr>
          <w:p w14:paraId="397A4828" w14:textId="5C0D4FF1" w:rsidR="00985D6D" w:rsidRDefault="00985D6D" w:rsidP="00985D6D">
            <w:pPr>
              <w:pStyle w:val="TableText"/>
            </w:pPr>
            <w:r>
              <w:t>III.vi.2.B.1.b</w:t>
            </w:r>
          </w:p>
        </w:tc>
      </w:tr>
      <w:tr w:rsidR="00985D6D" w14:paraId="044876E9" w14:textId="77777777" w:rsidTr="007B3BAF">
        <w:trPr>
          <w:trHeight w:val="180"/>
        </w:trPr>
        <w:tc>
          <w:tcPr>
            <w:tcW w:w="3750" w:type="pct"/>
            <w:shd w:val="clear" w:color="auto" w:fill="auto"/>
          </w:tcPr>
          <w:p w14:paraId="2E676388" w14:textId="056CAFF5" w:rsidR="00985D6D" w:rsidRDefault="00985D6D" w:rsidP="00B5330B">
            <w:pPr>
              <w:pStyle w:val="TableText"/>
            </w:pPr>
            <w:r>
              <w:t xml:space="preserve">To explain that </w:t>
            </w:r>
            <w:r w:rsidRPr="00985D6D">
              <w:t>Veterans Service Representative</w:t>
            </w:r>
            <w:r w:rsidR="00B5330B">
              <w:t>s</w:t>
            </w:r>
            <w:r w:rsidRPr="00985D6D">
              <w:t xml:space="preserve"> (VSR</w:t>
            </w:r>
            <w:r w:rsidR="00B5330B">
              <w:t>s</w:t>
            </w:r>
            <w:r w:rsidRPr="00985D6D">
              <w:t>)</w:t>
            </w:r>
            <w:r>
              <w:t xml:space="preserve"> or SVSR</w:t>
            </w:r>
            <w:r w:rsidR="00B5330B">
              <w:t>s</w:t>
            </w:r>
            <w:r>
              <w:t xml:space="preserve"> </w:t>
            </w:r>
            <w:r>
              <w:lastRenderedPageBreak/>
              <w:t xml:space="preserve">must verify the existence of indebtedness anytime </w:t>
            </w:r>
            <w:r w:rsidRPr="00985D6D">
              <w:t>an</w:t>
            </w:r>
            <w:r>
              <w:t xml:space="preserve"> award for compensation or pension is processed, and </w:t>
            </w:r>
            <w:r w:rsidR="00B5330B">
              <w:t xml:space="preserve">clarify where </w:t>
            </w:r>
            <w:r>
              <w:t>A/R data is displayed.</w:t>
            </w:r>
          </w:p>
        </w:tc>
        <w:tc>
          <w:tcPr>
            <w:tcW w:w="1250" w:type="pct"/>
            <w:shd w:val="clear" w:color="auto" w:fill="auto"/>
          </w:tcPr>
          <w:p w14:paraId="4F622C40" w14:textId="0D7EF3EA" w:rsidR="00985D6D" w:rsidRDefault="00985D6D" w:rsidP="00985D6D">
            <w:pPr>
              <w:pStyle w:val="TableText"/>
            </w:pPr>
            <w:r>
              <w:lastRenderedPageBreak/>
              <w:t>III.vi.2.B.1.c</w:t>
            </w:r>
          </w:p>
        </w:tc>
      </w:tr>
      <w:tr w:rsidR="00985D6D" w14:paraId="4B70B8F1" w14:textId="77777777" w:rsidTr="007B3BAF">
        <w:trPr>
          <w:trHeight w:val="180"/>
        </w:trPr>
        <w:tc>
          <w:tcPr>
            <w:tcW w:w="3750" w:type="pct"/>
            <w:shd w:val="clear" w:color="auto" w:fill="auto"/>
          </w:tcPr>
          <w:p w14:paraId="72F0DB58" w14:textId="7D049431" w:rsidR="00985D6D" w:rsidRDefault="00985D6D" w:rsidP="00985D6D">
            <w:pPr>
              <w:pStyle w:val="TableText"/>
            </w:pPr>
            <w:r>
              <w:lastRenderedPageBreak/>
              <w:t>To clarify that if a debt exists and no collection action is ongoing, the VSR or SVRS must review the case to determine whether the finance activity should be notified.</w:t>
            </w:r>
          </w:p>
        </w:tc>
        <w:tc>
          <w:tcPr>
            <w:tcW w:w="1250" w:type="pct"/>
            <w:shd w:val="clear" w:color="auto" w:fill="auto"/>
          </w:tcPr>
          <w:p w14:paraId="1D1BB80E" w14:textId="659DD84D" w:rsidR="00985D6D" w:rsidRDefault="00985D6D" w:rsidP="00985D6D">
            <w:pPr>
              <w:pStyle w:val="TableText"/>
            </w:pPr>
            <w:r>
              <w:t>III.vi.2.B.1.d</w:t>
            </w:r>
          </w:p>
        </w:tc>
      </w:tr>
      <w:tr w:rsidR="002A1D3E" w14:paraId="2317F82E" w14:textId="77777777" w:rsidTr="007B3BAF">
        <w:trPr>
          <w:trHeight w:val="180"/>
        </w:trPr>
        <w:tc>
          <w:tcPr>
            <w:tcW w:w="3750" w:type="pct"/>
            <w:shd w:val="clear" w:color="auto" w:fill="auto"/>
          </w:tcPr>
          <w:p w14:paraId="75D26B5D" w14:textId="5079E90A" w:rsidR="002A1D3E" w:rsidRPr="00C24D50" w:rsidRDefault="0062542F" w:rsidP="00B5330B">
            <w:pPr>
              <w:pStyle w:val="TableText"/>
            </w:pPr>
            <w:r>
              <w:t xml:space="preserve">To remove </w:t>
            </w:r>
            <w:r w:rsidR="00B5330B">
              <w:t xml:space="preserve">old </w:t>
            </w:r>
            <w:r>
              <w:t>Block e in III.vi.2.B.1 referring to the use of</w:t>
            </w:r>
            <w:r w:rsidR="00016B7E">
              <w:t xml:space="preserve"> the</w:t>
            </w:r>
            <w:r w:rsidR="00C80442">
              <w:t xml:space="preserve"> FISA comman</w:t>
            </w:r>
            <w:r w:rsidR="00016B7E">
              <w:t xml:space="preserve">d, </w:t>
            </w:r>
            <w:proofErr w:type="gramStart"/>
            <w:r w:rsidR="00016B7E">
              <w:t xml:space="preserve">which does not apply in </w:t>
            </w:r>
            <w:r w:rsidR="00B5330B">
              <w:t>VETSNET</w:t>
            </w:r>
            <w:r w:rsidR="00016B7E">
              <w:t xml:space="preserve"> or </w:t>
            </w:r>
            <w:r w:rsidR="00B5330B">
              <w:t>VBMS</w:t>
            </w:r>
            <w:r w:rsidR="00016B7E">
              <w:t>.</w:t>
            </w:r>
            <w:proofErr w:type="gramEnd"/>
          </w:p>
        </w:tc>
        <w:tc>
          <w:tcPr>
            <w:tcW w:w="1250" w:type="pct"/>
            <w:shd w:val="clear" w:color="auto" w:fill="auto"/>
          </w:tcPr>
          <w:p w14:paraId="246DCB2B" w14:textId="737FEBFE" w:rsidR="002A1D3E" w:rsidRPr="00C24D50" w:rsidRDefault="00F947B1" w:rsidP="002F7397">
            <w:pPr>
              <w:pStyle w:val="TableText"/>
            </w:pPr>
            <w:r>
              <w:t>--</w:t>
            </w:r>
          </w:p>
        </w:tc>
      </w:tr>
      <w:tr w:rsidR="0012186E" w14:paraId="50572E6E" w14:textId="77777777" w:rsidTr="00B5330B">
        <w:trPr>
          <w:trHeight w:val="885"/>
        </w:trPr>
        <w:tc>
          <w:tcPr>
            <w:tcW w:w="3750" w:type="pct"/>
            <w:shd w:val="clear" w:color="auto" w:fill="auto"/>
          </w:tcPr>
          <w:p w14:paraId="2DDBABFE" w14:textId="7FA8A702" w:rsidR="0012186E" w:rsidRPr="00D3636D" w:rsidRDefault="00C80442" w:rsidP="00D3636D">
            <w:pPr>
              <w:pStyle w:val="TableText"/>
            </w:pPr>
            <w:r>
              <w:t>To remove the I</w:t>
            </w:r>
            <w:r w:rsidR="00F947B1">
              <w:t>f</w:t>
            </w:r>
            <w:r>
              <w:t>/T</w:t>
            </w:r>
            <w:r w:rsidR="00F947B1">
              <w:t>hen</w:t>
            </w:r>
            <w:r>
              <w:t xml:space="preserve"> table which referred to the course of action to take under BDN, and replace it with a sentence to indicate where the A/R</w:t>
            </w:r>
            <w:r w:rsidR="00D3636D">
              <w:t xml:space="preserve"> balance can be found in Share.</w:t>
            </w:r>
          </w:p>
        </w:tc>
        <w:tc>
          <w:tcPr>
            <w:tcW w:w="1250" w:type="pct"/>
            <w:shd w:val="clear" w:color="auto" w:fill="auto"/>
          </w:tcPr>
          <w:p w14:paraId="245AF434" w14:textId="7054687F" w:rsidR="0012186E" w:rsidRPr="00C24D50" w:rsidRDefault="00C80442" w:rsidP="00B864C9">
            <w:pPr>
              <w:pStyle w:val="TableText"/>
            </w:pPr>
            <w:r>
              <w:t>III.vi.2.B.</w:t>
            </w:r>
            <w:r w:rsidR="00B864C9">
              <w:t>2</w:t>
            </w:r>
            <w:r>
              <w:t>.a</w:t>
            </w:r>
          </w:p>
        </w:tc>
      </w:tr>
      <w:tr w:rsidR="00C80442" w14:paraId="145BDC83" w14:textId="77777777" w:rsidTr="007B3BAF">
        <w:trPr>
          <w:trHeight w:val="435"/>
        </w:trPr>
        <w:tc>
          <w:tcPr>
            <w:tcW w:w="3750" w:type="pct"/>
            <w:shd w:val="clear" w:color="auto" w:fill="auto"/>
          </w:tcPr>
          <w:p w14:paraId="0FF53664" w14:textId="77777777" w:rsidR="00B5330B" w:rsidRDefault="00C80442" w:rsidP="00B5330B">
            <w:pPr>
              <w:pStyle w:val="ListParagraph"/>
              <w:numPr>
                <w:ilvl w:val="0"/>
                <w:numId w:val="12"/>
              </w:numPr>
              <w:ind w:left="158" w:hanging="187"/>
            </w:pPr>
            <w:r>
              <w:t>To remove the Step/Action table on handling of debts in BDN</w:t>
            </w:r>
            <w:r w:rsidR="00F947B1">
              <w:t>.</w:t>
            </w:r>
            <w:r w:rsidR="00D3636D">
              <w:t xml:space="preserve"> </w:t>
            </w:r>
          </w:p>
          <w:p w14:paraId="6AA808DC" w14:textId="77777777" w:rsidR="00B5330B" w:rsidRDefault="00D3636D" w:rsidP="00B5330B">
            <w:pPr>
              <w:pStyle w:val="ListParagraph"/>
              <w:numPr>
                <w:ilvl w:val="0"/>
                <w:numId w:val="12"/>
              </w:numPr>
              <w:ind w:left="158" w:hanging="187"/>
            </w:pPr>
            <w:r>
              <w:t xml:space="preserve">To explain that the finance activity at </w:t>
            </w:r>
            <w:r w:rsidR="009717E2">
              <w:t>each</w:t>
            </w:r>
            <w:r>
              <w:t xml:space="preserve"> regional office (RO)</w:t>
            </w:r>
            <w:r w:rsidR="009717E2">
              <w:t xml:space="preserve"> </w:t>
            </w:r>
            <w:r>
              <w:t xml:space="preserve">manages issues of </w:t>
            </w:r>
            <w:proofErr w:type="spellStart"/>
            <w:r>
              <w:t>indebtness</w:t>
            </w:r>
            <w:proofErr w:type="spellEnd"/>
            <w:r>
              <w:t xml:space="preserve">. </w:t>
            </w:r>
          </w:p>
          <w:p w14:paraId="5350AC40" w14:textId="4B68CB12" w:rsidR="00C80442" w:rsidRDefault="00D3636D" w:rsidP="00B5330B">
            <w:pPr>
              <w:pStyle w:val="ListParagraph"/>
              <w:numPr>
                <w:ilvl w:val="0"/>
                <w:numId w:val="12"/>
              </w:numPr>
              <w:ind w:left="158" w:hanging="187"/>
            </w:pPr>
            <w:r>
              <w:t xml:space="preserve">To clarify that the </w:t>
            </w:r>
            <w:r w:rsidRPr="00D3636D">
              <w:t>Debt Management Center (DMC), located in St. Paul, MN, is responsible for VA’s debt collection, and for processing requests for waiver of overpayments.</w:t>
            </w:r>
          </w:p>
        </w:tc>
        <w:tc>
          <w:tcPr>
            <w:tcW w:w="1250" w:type="pct"/>
            <w:shd w:val="clear" w:color="auto" w:fill="auto"/>
          </w:tcPr>
          <w:p w14:paraId="58ECED63" w14:textId="52C68218" w:rsidR="00C80442" w:rsidRDefault="00C80442" w:rsidP="00B864C9">
            <w:pPr>
              <w:pStyle w:val="TableText"/>
            </w:pPr>
            <w:r>
              <w:t>III.vi.2.B.</w:t>
            </w:r>
            <w:r w:rsidR="00B864C9">
              <w:t>2</w:t>
            </w:r>
            <w:r>
              <w:t>.b</w:t>
            </w:r>
          </w:p>
        </w:tc>
      </w:tr>
      <w:tr w:rsidR="00D3636D" w14:paraId="6A2278D0" w14:textId="77777777" w:rsidTr="007B3BAF">
        <w:trPr>
          <w:trHeight w:val="180"/>
        </w:trPr>
        <w:tc>
          <w:tcPr>
            <w:tcW w:w="3750" w:type="pct"/>
            <w:shd w:val="clear" w:color="auto" w:fill="auto"/>
          </w:tcPr>
          <w:p w14:paraId="5EA6ACC3" w14:textId="7B555A7E" w:rsidR="00D3636D" w:rsidRDefault="00D3636D" w:rsidP="00C80442">
            <w:pPr>
              <w:pStyle w:val="TableText"/>
            </w:pPr>
            <w:r>
              <w:t>To remove the obsolete Topic 7 regarding types of receivables used in FISA.</w:t>
            </w:r>
          </w:p>
        </w:tc>
        <w:tc>
          <w:tcPr>
            <w:tcW w:w="1250" w:type="pct"/>
            <w:shd w:val="clear" w:color="auto" w:fill="auto"/>
          </w:tcPr>
          <w:p w14:paraId="3B3E8FE1" w14:textId="651D1E05" w:rsidR="00D3636D" w:rsidDel="00F947B1" w:rsidRDefault="00D3636D" w:rsidP="00933BDB">
            <w:pPr>
              <w:pStyle w:val="TableText"/>
            </w:pPr>
            <w:r>
              <w:t>--</w:t>
            </w:r>
          </w:p>
        </w:tc>
      </w:tr>
      <w:tr w:rsidR="00D3636D" w14:paraId="22069194" w14:textId="77777777" w:rsidTr="007B3BAF">
        <w:trPr>
          <w:trHeight w:val="180"/>
        </w:trPr>
        <w:tc>
          <w:tcPr>
            <w:tcW w:w="3750" w:type="pct"/>
            <w:shd w:val="clear" w:color="auto" w:fill="auto"/>
          </w:tcPr>
          <w:p w14:paraId="6018173E" w14:textId="37A71170" w:rsidR="00D3636D" w:rsidRDefault="00D3636D" w:rsidP="00C80442">
            <w:pPr>
              <w:pStyle w:val="TableText"/>
            </w:pPr>
            <w:r>
              <w:t>To remove the obsolete Topic 8 regarding due process for collecting a debt.</w:t>
            </w:r>
          </w:p>
        </w:tc>
        <w:tc>
          <w:tcPr>
            <w:tcW w:w="1250" w:type="pct"/>
            <w:shd w:val="clear" w:color="auto" w:fill="auto"/>
          </w:tcPr>
          <w:p w14:paraId="17408A4E" w14:textId="29158880" w:rsidR="00D3636D" w:rsidDel="00F947B1" w:rsidRDefault="00D3636D" w:rsidP="00933BDB">
            <w:pPr>
              <w:pStyle w:val="TableText"/>
            </w:pPr>
            <w:r>
              <w:t>--</w:t>
            </w:r>
          </w:p>
        </w:tc>
      </w:tr>
      <w:tr w:rsidR="00D3636D" w14:paraId="428E59B6" w14:textId="77777777" w:rsidTr="007B3BAF">
        <w:trPr>
          <w:trHeight w:val="180"/>
        </w:trPr>
        <w:tc>
          <w:tcPr>
            <w:tcW w:w="3750" w:type="pct"/>
            <w:shd w:val="clear" w:color="auto" w:fill="auto"/>
          </w:tcPr>
          <w:p w14:paraId="109C42A9" w14:textId="15454D39" w:rsidR="00D3636D" w:rsidRDefault="00D3636D" w:rsidP="00C80442">
            <w:pPr>
              <w:pStyle w:val="TableText"/>
            </w:pPr>
            <w:r>
              <w:t xml:space="preserve">To remove the obsolete Topic 9 regarding collecting a debt from </w:t>
            </w:r>
            <w:proofErr w:type="spellStart"/>
            <w:r>
              <w:t>retrozctive</w:t>
            </w:r>
            <w:proofErr w:type="spellEnd"/>
            <w:r>
              <w:t>, current, and future benefits.</w:t>
            </w:r>
          </w:p>
        </w:tc>
        <w:tc>
          <w:tcPr>
            <w:tcW w:w="1250" w:type="pct"/>
            <w:shd w:val="clear" w:color="auto" w:fill="auto"/>
          </w:tcPr>
          <w:p w14:paraId="55B60298" w14:textId="3A225271" w:rsidR="00D3636D" w:rsidDel="00F947B1" w:rsidRDefault="00D3636D" w:rsidP="00933BDB">
            <w:pPr>
              <w:pStyle w:val="TableText"/>
            </w:pPr>
            <w:r>
              <w:t>--</w:t>
            </w:r>
          </w:p>
        </w:tc>
      </w:tr>
      <w:tr w:rsidR="0012186E" w14:paraId="4932C815" w14:textId="77777777" w:rsidTr="007B3BAF">
        <w:trPr>
          <w:trHeight w:val="180"/>
        </w:trPr>
        <w:tc>
          <w:tcPr>
            <w:tcW w:w="3750" w:type="pct"/>
            <w:shd w:val="clear" w:color="auto" w:fill="auto"/>
          </w:tcPr>
          <w:p w14:paraId="3B9D0D00" w14:textId="0C5EF6BC" w:rsidR="0012186E" w:rsidRPr="00C24D50" w:rsidRDefault="00C80442" w:rsidP="00C80442">
            <w:pPr>
              <w:pStyle w:val="TableText"/>
            </w:pPr>
            <w:r>
              <w:t>To remove the obsolete Topic 10 on using FISA command to offset a debt.</w:t>
            </w:r>
          </w:p>
        </w:tc>
        <w:tc>
          <w:tcPr>
            <w:tcW w:w="1250" w:type="pct"/>
            <w:shd w:val="clear" w:color="auto" w:fill="auto"/>
          </w:tcPr>
          <w:p w14:paraId="13088714" w14:textId="710B99ED" w:rsidR="0012186E" w:rsidRPr="00C24D50" w:rsidRDefault="00F947B1" w:rsidP="00933BDB">
            <w:pPr>
              <w:pStyle w:val="TableText"/>
            </w:pPr>
            <w:r>
              <w:t>--</w:t>
            </w:r>
          </w:p>
        </w:tc>
      </w:tr>
      <w:tr w:rsidR="00BC4498" w14:paraId="1BFFD868" w14:textId="77777777" w:rsidTr="007B3BAF">
        <w:trPr>
          <w:trHeight w:val="180"/>
        </w:trPr>
        <w:tc>
          <w:tcPr>
            <w:tcW w:w="3750" w:type="pct"/>
            <w:shd w:val="clear" w:color="auto" w:fill="auto"/>
          </w:tcPr>
          <w:p w14:paraId="70DB76B6" w14:textId="411DC5AE" w:rsidR="00BC4498" w:rsidRDefault="00BC4498" w:rsidP="00BC4498">
            <w:pPr>
              <w:pStyle w:val="TableText"/>
              <w:tabs>
                <w:tab w:val="left" w:pos="1340"/>
              </w:tabs>
            </w:pPr>
            <w:r>
              <w:t>To explain that a two-step award action is necessary when a partial withholding of retroactive benefits is warranted but cannot be accomplished through the input of any of the collection codes.</w:t>
            </w:r>
          </w:p>
        </w:tc>
        <w:tc>
          <w:tcPr>
            <w:tcW w:w="1250" w:type="pct"/>
            <w:shd w:val="clear" w:color="auto" w:fill="auto"/>
          </w:tcPr>
          <w:p w14:paraId="2E660CA5" w14:textId="42B2465A" w:rsidR="00BC4498" w:rsidRDefault="00BC4498" w:rsidP="00933BDB">
            <w:pPr>
              <w:pStyle w:val="TableText"/>
            </w:pPr>
            <w:r>
              <w:t>III.vi.2.B.3.a</w:t>
            </w:r>
          </w:p>
        </w:tc>
      </w:tr>
      <w:tr w:rsidR="00BC4498" w14:paraId="596301F3" w14:textId="77777777" w:rsidTr="007B3BAF">
        <w:trPr>
          <w:trHeight w:val="180"/>
        </w:trPr>
        <w:tc>
          <w:tcPr>
            <w:tcW w:w="3750" w:type="pct"/>
            <w:shd w:val="clear" w:color="auto" w:fill="auto"/>
          </w:tcPr>
          <w:p w14:paraId="5FA14048" w14:textId="5C53B04F" w:rsidR="00BC4498" w:rsidRDefault="00BC4498" w:rsidP="00BC4498">
            <w:pPr>
              <w:pStyle w:val="TableText"/>
              <w:tabs>
                <w:tab w:val="left" w:pos="1340"/>
              </w:tabs>
            </w:pPr>
            <w:r>
              <w:t>To clarify that the VSR must use the two-step award action when a partial withholding of retroactive benefits is warranted but cannot be accomplished through the input of any of the collection codes.</w:t>
            </w:r>
          </w:p>
        </w:tc>
        <w:tc>
          <w:tcPr>
            <w:tcW w:w="1250" w:type="pct"/>
            <w:shd w:val="clear" w:color="auto" w:fill="auto"/>
          </w:tcPr>
          <w:p w14:paraId="482BF501" w14:textId="78A43885" w:rsidR="00BC4498" w:rsidRDefault="00BC4498" w:rsidP="00933BDB">
            <w:pPr>
              <w:pStyle w:val="TableText"/>
            </w:pPr>
            <w:r>
              <w:t>III.vi.2.B.3.b</w:t>
            </w:r>
          </w:p>
        </w:tc>
      </w:tr>
      <w:tr w:rsidR="00BC4498" w14:paraId="1B39223D" w14:textId="77777777" w:rsidTr="007B3BAF">
        <w:trPr>
          <w:trHeight w:val="180"/>
        </w:trPr>
        <w:tc>
          <w:tcPr>
            <w:tcW w:w="3750" w:type="pct"/>
            <w:shd w:val="clear" w:color="auto" w:fill="auto"/>
          </w:tcPr>
          <w:p w14:paraId="05A1530F" w14:textId="00FCAA97" w:rsidR="00BC4498" w:rsidRDefault="00BC4498" w:rsidP="00BC4498">
            <w:pPr>
              <w:pStyle w:val="TableText"/>
              <w:tabs>
                <w:tab w:val="left" w:pos="1340"/>
              </w:tabs>
            </w:pPr>
            <w:r>
              <w:t xml:space="preserve">To explain that an award cannot be authorized until after </w:t>
            </w:r>
            <w:r w:rsidRPr="00BC4498">
              <w:t>FISA is completed and the finance activity confirms that the withholding for attorney fee has been successfully coded.</w:t>
            </w:r>
          </w:p>
        </w:tc>
        <w:tc>
          <w:tcPr>
            <w:tcW w:w="1250" w:type="pct"/>
            <w:shd w:val="clear" w:color="auto" w:fill="auto"/>
          </w:tcPr>
          <w:p w14:paraId="18FC1EDF" w14:textId="5E3719D0" w:rsidR="00BC4498" w:rsidRDefault="00BC4498" w:rsidP="00933BDB">
            <w:pPr>
              <w:pStyle w:val="TableText"/>
            </w:pPr>
            <w:r>
              <w:t>III.vi.2.B.3.c</w:t>
            </w:r>
          </w:p>
        </w:tc>
      </w:tr>
      <w:tr w:rsidR="008740B0" w14:paraId="3D0C1AAC" w14:textId="77777777" w:rsidTr="007B3BAF">
        <w:trPr>
          <w:trHeight w:val="180"/>
        </w:trPr>
        <w:tc>
          <w:tcPr>
            <w:tcW w:w="3750" w:type="pct"/>
            <w:shd w:val="clear" w:color="auto" w:fill="auto"/>
          </w:tcPr>
          <w:p w14:paraId="3BE75D61" w14:textId="23D1937E" w:rsidR="008740B0" w:rsidRDefault="008740B0" w:rsidP="00BC4498">
            <w:pPr>
              <w:pStyle w:val="TableText"/>
              <w:tabs>
                <w:tab w:val="left" w:pos="1340"/>
              </w:tabs>
            </w:pPr>
            <w:r>
              <w:t xml:space="preserve">To remove </w:t>
            </w:r>
            <w:r w:rsidR="00F947B1">
              <w:t>old B</w:t>
            </w:r>
            <w:r>
              <w:t xml:space="preserve">lock </w:t>
            </w:r>
            <w:r w:rsidR="00BC4498">
              <w:t>d</w:t>
            </w:r>
            <w:r>
              <w:t xml:space="preserve"> in III.vi.2.B.3 since 63C-type receivables no longer have to go to finance before authorization action.</w:t>
            </w:r>
          </w:p>
        </w:tc>
        <w:tc>
          <w:tcPr>
            <w:tcW w:w="1250" w:type="pct"/>
            <w:shd w:val="clear" w:color="auto" w:fill="auto"/>
          </w:tcPr>
          <w:p w14:paraId="35F61839" w14:textId="3A141906" w:rsidR="008740B0" w:rsidRDefault="00F947B1" w:rsidP="00933BDB">
            <w:pPr>
              <w:pStyle w:val="TableText"/>
            </w:pPr>
            <w:r>
              <w:t>--</w:t>
            </w:r>
          </w:p>
        </w:tc>
      </w:tr>
      <w:tr w:rsidR="00B864C9" w14:paraId="6E571305" w14:textId="77777777" w:rsidTr="007B3BAF">
        <w:trPr>
          <w:trHeight w:val="180"/>
        </w:trPr>
        <w:tc>
          <w:tcPr>
            <w:tcW w:w="3750" w:type="pct"/>
            <w:shd w:val="clear" w:color="auto" w:fill="auto"/>
          </w:tcPr>
          <w:p w14:paraId="769C8BD0" w14:textId="2E427B44" w:rsidR="00B864C9" w:rsidRDefault="00B864C9" w:rsidP="00B5330B">
            <w:pPr>
              <w:pStyle w:val="TableText"/>
              <w:tabs>
                <w:tab w:val="left" w:pos="1340"/>
              </w:tabs>
            </w:pPr>
            <w:r>
              <w:t xml:space="preserve">To add a </w:t>
            </w:r>
            <w:r w:rsidR="00F947B1">
              <w:t>new B</w:t>
            </w:r>
            <w:r>
              <w:t>lock</w:t>
            </w:r>
            <w:r w:rsidR="00F947B1">
              <w:t xml:space="preserve"> d</w:t>
            </w:r>
            <w:r>
              <w:t xml:space="preserve"> regarding </w:t>
            </w:r>
            <w:r w:rsidR="008740B0" w:rsidRPr="008740B0">
              <w:t>AEW</w:t>
            </w:r>
            <w:r w:rsidR="008740B0">
              <w:t xml:space="preserve"> processing when previous payments have been made by </w:t>
            </w:r>
            <w:r w:rsidR="00B5330B">
              <w:t>DFAS</w:t>
            </w:r>
            <w:r w:rsidR="008740B0">
              <w:t>.</w:t>
            </w:r>
          </w:p>
        </w:tc>
        <w:tc>
          <w:tcPr>
            <w:tcW w:w="1250" w:type="pct"/>
            <w:shd w:val="clear" w:color="auto" w:fill="auto"/>
          </w:tcPr>
          <w:p w14:paraId="6EAC982E" w14:textId="437C398F" w:rsidR="00B864C9" w:rsidRDefault="00B864C9" w:rsidP="00933BDB">
            <w:pPr>
              <w:pStyle w:val="TableText"/>
            </w:pPr>
            <w:r>
              <w:t>III.vi.2.B.3.d</w:t>
            </w:r>
          </w:p>
        </w:tc>
      </w:tr>
      <w:tr w:rsidR="0012186E" w14:paraId="60DA64FC" w14:textId="77777777" w:rsidTr="007B3BAF">
        <w:trPr>
          <w:trHeight w:val="180"/>
        </w:trPr>
        <w:tc>
          <w:tcPr>
            <w:tcW w:w="3750" w:type="pct"/>
            <w:shd w:val="clear" w:color="auto" w:fill="auto"/>
          </w:tcPr>
          <w:p w14:paraId="468CC1BD" w14:textId="3CD78B04" w:rsidR="0012186E" w:rsidRPr="00C24D50" w:rsidRDefault="00051438" w:rsidP="007A4F40">
            <w:pPr>
              <w:pStyle w:val="TableText"/>
            </w:pPr>
            <w:r>
              <w:t xml:space="preserve">To add </w:t>
            </w:r>
            <w:r w:rsidR="00F947B1">
              <w:t xml:space="preserve">a new </w:t>
            </w:r>
            <w:r>
              <w:t>Block e on handling administrative errors in VETSNET or VBMS-A.</w:t>
            </w:r>
          </w:p>
        </w:tc>
        <w:tc>
          <w:tcPr>
            <w:tcW w:w="1250" w:type="pct"/>
            <w:shd w:val="clear" w:color="auto" w:fill="auto"/>
          </w:tcPr>
          <w:p w14:paraId="20F13712" w14:textId="79822603" w:rsidR="0012186E" w:rsidRPr="00C24D50" w:rsidRDefault="00051438" w:rsidP="00933BDB">
            <w:pPr>
              <w:pStyle w:val="TableText"/>
            </w:pPr>
            <w:r>
              <w:t>III.vi.2.B.3</w:t>
            </w:r>
            <w:r w:rsidR="008740B0">
              <w:t>.e</w:t>
            </w:r>
          </w:p>
        </w:tc>
      </w:tr>
      <w:tr w:rsidR="0012186E" w14:paraId="2B54DB6D" w14:textId="77777777" w:rsidTr="007B3BAF">
        <w:trPr>
          <w:trHeight w:val="180"/>
        </w:trPr>
        <w:tc>
          <w:tcPr>
            <w:tcW w:w="3750" w:type="pct"/>
            <w:shd w:val="clear" w:color="auto" w:fill="auto"/>
          </w:tcPr>
          <w:p w14:paraId="35610146" w14:textId="0B64243B" w:rsidR="0012186E" w:rsidRDefault="00051438" w:rsidP="007A4F40">
            <w:pPr>
              <w:pStyle w:val="TableText"/>
            </w:pPr>
            <w:r>
              <w:t xml:space="preserve">To replace the graphic in Exhibit 2, from the BDN M01 screen to the Share </w:t>
            </w:r>
            <w:bookmarkStart w:id="0" w:name="_GoBack"/>
            <w:bookmarkEnd w:id="0"/>
            <w:r w:rsidR="007A4F40">
              <w:t>AWARD INFORMATION screen</w:t>
            </w:r>
            <w:r>
              <w:t>.</w:t>
            </w:r>
          </w:p>
        </w:tc>
        <w:tc>
          <w:tcPr>
            <w:tcW w:w="1250" w:type="pct"/>
            <w:shd w:val="clear" w:color="auto" w:fill="auto"/>
          </w:tcPr>
          <w:p w14:paraId="657A9938" w14:textId="10F93EE6" w:rsidR="0012186E" w:rsidRDefault="00051438" w:rsidP="00933BDB">
            <w:pPr>
              <w:pStyle w:val="TableText"/>
            </w:pPr>
            <w:r>
              <w:t>III.vi.2.B.5</w:t>
            </w:r>
            <w:r w:rsidR="008740B0">
              <w:t>.a</w:t>
            </w:r>
          </w:p>
        </w:tc>
      </w:tr>
    </w:tbl>
    <w:p w14:paraId="7172B584"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600C0B87" w14:textId="77777777" w:rsidTr="00237C22">
        <w:tc>
          <w:tcPr>
            <w:tcW w:w="1728" w:type="dxa"/>
          </w:tcPr>
          <w:p w14:paraId="58AA8FBF" w14:textId="77777777" w:rsidR="00504F80" w:rsidRPr="00B4163A" w:rsidRDefault="00504F80" w:rsidP="00237C22">
            <w:pPr>
              <w:pStyle w:val="Heading5"/>
              <w:rPr>
                <w:sz w:val="24"/>
              </w:rPr>
            </w:pPr>
            <w:r w:rsidRPr="00B4163A">
              <w:rPr>
                <w:sz w:val="24"/>
              </w:rPr>
              <w:t>Rescissions</w:t>
            </w:r>
          </w:p>
        </w:tc>
        <w:tc>
          <w:tcPr>
            <w:tcW w:w="7740" w:type="dxa"/>
          </w:tcPr>
          <w:p w14:paraId="225989E6" w14:textId="77777777" w:rsidR="00504F80" w:rsidRPr="00B4163A" w:rsidRDefault="00504F80" w:rsidP="00237C22">
            <w:pPr>
              <w:pStyle w:val="BlockText"/>
            </w:pPr>
            <w:r w:rsidRPr="00B4163A">
              <w:t>None</w:t>
            </w:r>
          </w:p>
        </w:tc>
      </w:tr>
    </w:tbl>
    <w:p w14:paraId="4923251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1D3B3DA7" w14:textId="77777777" w:rsidTr="00237C22">
        <w:tc>
          <w:tcPr>
            <w:tcW w:w="1728" w:type="dxa"/>
          </w:tcPr>
          <w:p w14:paraId="6453B907" w14:textId="77777777" w:rsidR="00504F80" w:rsidRPr="00B4163A" w:rsidRDefault="00504F80" w:rsidP="00237C22">
            <w:pPr>
              <w:pStyle w:val="Heading5"/>
              <w:rPr>
                <w:sz w:val="24"/>
              </w:rPr>
            </w:pPr>
            <w:r w:rsidRPr="00B4163A">
              <w:rPr>
                <w:sz w:val="24"/>
              </w:rPr>
              <w:t>Authority</w:t>
            </w:r>
          </w:p>
        </w:tc>
        <w:tc>
          <w:tcPr>
            <w:tcW w:w="7740" w:type="dxa"/>
          </w:tcPr>
          <w:p w14:paraId="7AEE262B" w14:textId="77777777" w:rsidR="00504F80" w:rsidRPr="00B4163A" w:rsidRDefault="00504F80" w:rsidP="00237C22">
            <w:pPr>
              <w:pStyle w:val="BlockText"/>
            </w:pPr>
            <w:r w:rsidRPr="00B4163A">
              <w:t>By Direction of the Under Secretary for Benefits</w:t>
            </w:r>
          </w:p>
        </w:tc>
      </w:tr>
    </w:tbl>
    <w:p w14:paraId="04B8F714" w14:textId="77777777" w:rsidR="00504F80" w:rsidRPr="00B4163A" w:rsidRDefault="00504F80" w:rsidP="00504F80">
      <w:pPr>
        <w:pStyle w:val="ContinuedOnNextPa"/>
      </w:pPr>
      <w:r w:rsidRPr="00B4163A">
        <w:lastRenderedPageBreak/>
        <w:t xml:space="preserve"> </w:t>
      </w:r>
    </w:p>
    <w:tbl>
      <w:tblPr>
        <w:tblW w:w="0" w:type="auto"/>
        <w:tblLayout w:type="fixed"/>
        <w:tblLook w:val="0000" w:firstRow="0" w:lastRow="0" w:firstColumn="0" w:lastColumn="0" w:noHBand="0" w:noVBand="0"/>
      </w:tblPr>
      <w:tblGrid>
        <w:gridCol w:w="1728"/>
        <w:gridCol w:w="7740"/>
      </w:tblGrid>
      <w:tr w:rsidR="00504F80" w:rsidRPr="00B4163A" w14:paraId="3C37EFF2" w14:textId="77777777" w:rsidTr="00237C22">
        <w:tc>
          <w:tcPr>
            <w:tcW w:w="1728" w:type="dxa"/>
          </w:tcPr>
          <w:p w14:paraId="46EB71B6" w14:textId="77777777" w:rsidR="00504F80" w:rsidRPr="00B4163A" w:rsidRDefault="00504F80" w:rsidP="00237C22">
            <w:pPr>
              <w:pStyle w:val="Heading5"/>
              <w:rPr>
                <w:sz w:val="24"/>
              </w:rPr>
            </w:pPr>
            <w:r w:rsidRPr="00B4163A">
              <w:rPr>
                <w:sz w:val="24"/>
              </w:rPr>
              <w:t>Signature</w:t>
            </w:r>
          </w:p>
        </w:tc>
        <w:tc>
          <w:tcPr>
            <w:tcW w:w="7740" w:type="dxa"/>
          </w:tcPr>
          <w:p w14:paraId="51763CD7" w14:textId="77777777" w:rsidR="00504F80" w:rsidRPr="00B4163A" w:rsidRDefault="00504F80" w:rsidP="00237C22">
            <w:pPr>
              <w:pStyle w:val="BlockText"/>
            </w:pPr>
          </w:p>
          <w:p w14:paraId="4008E942" w14:textId="77777777" w:rsidR="00504F80" w:rsidRPr="00B4163A" w:rsidRDefault="00504F80" w:rsidP="00237C22">
            <w:pPr>
              <w:pStyle w:val="MemoLine"/>
              <w:ind w:left="-18" w:right="612"/>
            </w:pPr>
          </w:p>
          <w:p w14:paraId="30E96B0F" w14:textId="77777777" w:rsidR="00504F80" w:rsidRPr="00B4163A" w:rsidRDefault="00504F80" w:rsidP="00237C22">
            <w:pPr>
              <w:rPr>
                <w:szCs w:val="20"/>
              </w:rPr>
            </w:pPr>
            <w:r w:rsidRPr="00B4163A">
              <w:t>Thomas J. Murphy, Director</w:t>
            </w:r>
          </w:p>
          <w:p w14:paraId="05BCEF60" w14:textId="77777777" w:rsidR="00504F80" w:rsidRPr="00B4163A" w:rsidRDefault="00504F80" w:rsidP="00237C22">
            <w:pPr>
              <w:pStyle w:val="BlockText"/>
            </w:pPr>
            <w:r w:rsidRPr="00B4163A">
              <w:t>Compensation Service</w:t>
            </w:r>
          </w:p>
        </w:tc>
      </w:tr>
    </w:tbl>
    <w:p w14:paraId="48FCE7FC"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8670FA5" w14:textId="77777777" w:rsidTr="00237C22">
        <w:tc>
          <w:tcPr>
            <w:tcW w:w="1728" w:type="dxa"/>
          </w:tcPr>
          <w:p w14:paraId="295C9CEB" w14:textId="77777777" w:rsidR="00504F80" w:rsidRPr="00B4163A" w:rsidRDefault="00504F80" w:rsidP="00237C22">
            <w:pPr>
              <w:pStyle w:val="Heading5"/>
              <w:rPr>
                <w:sz w:val="24"/>
              </w:rPr>
            </w:pPr>
            <w:r w:rsidRPr="00B4163A">
              <w:rPr>
                <w:sz w:val="24"/>
              </w:rPr>
              <w:t>Distribution</w:t>
            </w:r>
          </w:p>
        </w:tc>
        <w:tc>
          <w:tcPr>
            <w:tcW w:w="7740" w:type="dxa"/>
          </w:tcPr>
          <w:p w14:paraId="60FCAC33" w14:textId="77777777" w:rsidR="00504F80" w:rsidRDefault="00504F80" w:rsidP="00237C22">
            <w:pPr>
              <w:pStyle w:val="BlockText"/>
              <w:jc w:val="center"/>
            </w:pPr>
            <w:r w:rsidRPr="00B4163A">
              <w:t>LOCAL REPRODUCTION AUTHORIZED</w:t>
            </w:r>
          </w:p>
        </w:tc>
      </w:tr>
    </w:tbl>
    <w:p w14:paraId="04D01518"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3DC5FFA1" w14:textId="436EF71B"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8740B0">
        <w:fldChar w:fldCharType="begin">
          <w:fldData xml:space="preserve">RABvAGMAVABlAG0AcAAxAFYAYQByAFQAcgBhAGQAaQB0AGkAbwBuAGEAbAA=
</w:fldData>
        </w:fldChar>
      </w:r>
      <w:r w:rsidR="008740B0">
        <w:instrText xml:space="preserve"> ADDIN  \* MERGEFORMAT </w:instrText>
      </w:r>
      <w:r w:rsidR="008740B0">
        <w:fldChar w:fldCharType="end"/>
      </w:r>
      <w:r w:rsidR="008740B0">
        <w:fldChar w:fldCharType="begin">
          <w:fldData xml:space="preserve">RgBvAG4AdABTAGUAdABpAG0AaQBzAHQAeQBsAGUAcwAuAHgAbQBsAA==
</w:fldData>
        </w:fldChar>
      </w:r>
      <w:r w:rsidR="008740B0">
        <w:instrText xml:space="preserve"> ADDIN  \* MERGEFORMAT </w:instrText>
      </w:r>
      <w:r w:rsidR="008740B0">
        <w:fldChar w:fldCharType="end"/>
      </w:r>
      <w:r w:rsidR="00A242B9">
        <w:fldChar w:fldCharType="begin">
          <w:fldData xml:space="preserve">RABvAGMAVABlAG0AcAAxAFYAYQByAFQAcgBhAGQAaQB0AGkAbwBuAGEAbAA=
</w:fldData>
        </w:fldChar>
      </w:r>
      <w:r w:rsidR="00A242B9">
        <w:instrText xml:space="preserve"> ADDIN  \* MERGEFORMAT </w:instrText>
      </w:r>
      <w:r w:rsidR="00A242B9">
        <w:fldChar w:fldCharType="end"/>
      </w:r>
      <w:r w:rsidR="00A242B9">
        <w:fldChar w:fldCharType="begin">
          <w:fldData xml:space="preserve">RgBvAG4AdABTAGUAdABpAG0AaQBzAHQAeQBsAGUAcwAuAHgAbQBsAA==
</w:fldData>
        </w:fldChar>
      </w:r>
      <w:r w:rsidR="00A242B9">
        <w:instrText xml:space="preserve"> ADDIN  \* MERGEFORMAT </w:instrText>
      </w:r>
      <w:r w:rsidR="00A242B9">
        <w:fldChar w:fldCharType="end"/>
      </w:r>
    </w:p>
    <w:sectPr w:rsidR="007D5B97"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FF92B" w14:textId="77777777" w:rsidR="00594740" w:rsidRDefault="00594740" w:rsidP="00C765C7">
      <w:r>
        <w:separator/>
      </w:r>
    </w:p>
  </w:endnote>
  <w:endnote w:type="continuationSeparator" w:id="0">
    <w:p w14:paraId="4212F2D5" w14:textId="77777777" w:rsidR="00594740" w:rsidRDefault="00594740"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66367"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B01626"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14425"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5A3">
      <w:rPr>
        <w:rStyle w:val="PageNumber"/>
        <w:noProof/>
      </w:rPr>
      <w:t>iii</w:t>
    </w:r>
    <w:r>
      <w:rPr>
        <w:rStyle w:val="PageNumber"/>
      </w:rPr>
      <w:fldChar w:fldCharType="end"/>
    </w:r>
  </w:p>
  <w:p w14:paraId="0BAFFAF0"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C8905" w14:textId="77777777" w:rsidR="00594740" w:rsidRDefault="00594740" w:rsidP="00C765C7">
      <w:r>
        <w:separator/>
      </w:r>
    </w:p>
  </w:footnote>
  <w:footnote w:type="continuationSeparator" w:id="0">
    <w:p w14:paraId="2FE4FF89" w14:textId="77777777" w:rsidR="00594740" w:rsidRDefault="00594740"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fspro_2columns"/>
      </v:shape>
    </w:pict>
  </w:numPicBullet>
  <w:numPicBullet w:numPicBulletId="1">
    <w:pict>
      <v:shape id="_x0000_i1027" type="#_x0000_t75" style="width:11.7pt;height:11.7pt" o:bullet="t">
        <v:imagedata r:id="rId2" o:title="advanced"/>
      </v:shape>
    </w:pict>
  </w:numPicBullet>
  <w:numPicBullet w:numPicBulletId="2">
    <w:pict>
      <v:shape id="_x0000_i1028" type="#_x0000_t75" style="width:11.7pt;height:11.7pt" o:bullet="t">
        <v:imagedata r:id="rId3" o:title="continue"/>
      </v:shape>
    </w:pict>
  </w:numPicBullet>
  <w:numPicBullet w:numPicBulletId="3">
    <w:pict>
      <v:shape id="_x0000_i1029" type="#_x0000_t75" style="width:11.7pt;height:11.7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D6659"/>
    <w:multiLevelType w:val="hybridMultilevel"/>
    <w:tmpl w:val="4F049C70"/>
    <w:lvl w:ilvl="0" w:tplc="D50CB1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34539"/>
    <w:multiLevelType w:val="hybridMultilevel"/>
    <w:tmpl w:val="B3DA6126"/>
    <w:lvl w:ilvl="0" w:tplc="D50CB1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5">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6">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9">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1">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7"/>
  </w:num>
  <w:num w:numId="3">
    <w:abstractNumId w:val="0"/>
  </w:num>
  <w:num w:numId="4">
    <w:abstractNumId w:val="9"/>
  </w:num>
  <w:num w:numId="5">
    <w:abstractNumId w:val="6"/>
  </w:num>
  <w:num w:numId="6">
    <w:abstractNumId w:val="5"/>
  </w:num>
  <w:num w:numId="7">
    <w:abstractNumId w:val="10"/>
  </w:num>
  <w:num w:numId="8">
    <w:abstractNumId w:val="4"/>
  </w:num>
  <w:num w:numId="9">
    <w:abstractNumId w:val="3"/>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16B7E"/>
    <w:rsid w:val="000252C6"/>
    <w:rsid w:val="000256FB"/>
    <w:rsid w:val="00051438"/>
    <w:rsid w:val="00093228"/>
    <w:rsid w:val="000A7776"/>
    <w:rsid w:val="000E320F"/>
    <w:rsid w:val="00100433"/>
    <w:rsid w:val="0010215F"/>
    <w:rsid w:val="00106EEF"/>
    <w:rsid w:val="00120103"/>
    <w:rsid w:val="0012186E"/>
    <w:rsid w:val="00123973"/>
    <w:rsid w:val="001253ED"/>
    <w:rsid w:val="00186D46"/>
    <w:rsid w:val="001A2887"/>
    <w:rsid w:val="001C3AE3"/>
    <w:rsid w:val="001C3EB5"/>
    <w:rsid w:val="002041BE"/>
    <w:rsid w:val="00205C50"/>
    <w:rsid w:val="002220F1"/>
    <w:rsid w:val="00237C22"/>
    <w:rsid w:val="00240624"/>
    <w:rsid w:val="00264204"/>
    <w:rsid w:val="00271962"/>
    <w:rsid w:val="0027298D"/>
    <w:rsid w:val="002A1D3E"/>
    <w:rsid w:val="002B7A7E"/>
    <w:rsid w:val="002F5B21"/>
    <w:rsid w:val="002F7397"/>
    <w:rsid w:val="00332B80"/>
    <w:rsid w:val="00341981"/>
    <w:rsid w:val="00366D36"/>
    <w:rsid w:val="00382242"/>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71ECA"/>
    <w:rsid w:val="00482FA3"/>
    <w:rsid w:val="0048559D"/>
    <w:rsid w:val="00494175"/>
    <w:rsid w:val="004A0832"/>
    <w:rsid w:val="004F375E"/>
    <w:rsid w:val="00504F80"/>
    <w:rsid w:val="00506485"/>
    <w:rsid w:val="00513DA7"/>
    <w:rsid w:val="00516C82"/>
    <w:rsid w:val="005238CB"/>
    <w:rsid w:val="00526F0E"/>
    <w:rsid w:val="00546949"/>
    <w:rsid w:val="00594258"/>
    <w:rsid w:val="00594740"/>
    <w:rsid w:val="005E4363"/>
    <w:rsid w:val="00600DC7"/>
    <w:rsid w:val="0062068D"/>
    <w:rsid w:val="0062542F"/>
    <w:rsid w:val="006317AA"/>
    <w:rsid w:val="006473C3"/>
    <w:rsid w:val="006708D7"/>
    <w:rsid w:val="006805A3"/>
    <w:rsid w:val="006837E0"/>
    <w:rsid w:val="006B7262"/>
    <w:rsid w:val="006C3E5F"/>
    <w:rsid w:val="006C48FF"/>
    <w:rsid w:val="006D10E5"/>
    <w:rsid w:val="006D52FE"/>
    <w:rsid w:val="006F6D37"/>
    <w:rsid w:val="00724248"/>
    <w:rsid w:val="00732186"/>
    <w:rsid w:val="00737049"/>
    <w:rsid w:val="00773CDC"/>
    <w:rsid w:val="007A0C5F"/>
    <w:rsid w:val="007A4F40"/>
    <w:rsid w:val="007B3BAF"/>
    <w:rsid w:val="007D5B97"/>
    <w:rsid w:val="007E5515"/>
    <w:rsid w:val="0080590C"/>
    <w:rsid w:val="008144E7"/>
    <w:rsid w:val="00822A16"/>
    <w:rsid w:val="00827A06"/>
    <w:rsid w:val="0086475B"/>
    <w:rsid w:val="008740B0"/>
    <w:rsid w:val="00875AFA"/>
    <w:rsid w:val="0088609E"/>
    <w:rsid w:val="008B4CB5"/>
    <w:rsid w:val="008C723F"/>
    <w:rsid w:val="008D12C3"/>
    <w:rsid w:val="008D458B"/>
    <w:rsid w:val="008E22CF"/>
    <w:rsid w:val="008E53EF"/>
    <w:rsid w:val="008E5824"/>
    <w:rsid w:val="008E589A"/>
    <w:rsid w:val="008F14EA"/>
    <w:rsid w:val="008F1D5B"/>
    <w:rsid w:val="00916AE6"/>
    <w:rsid w:val="00931482"/>
    <w:rsid w:val="00933BDB"/>
    <w:rsid w:val="00945950"/>
    <w:rsid w:val="009717E2"/>
    <w:rsid w:val="009769CD"/>
    <w:rsid w:val="00985D6D"/>
    <w:rsid w:val="00997D98"/>
    <w:rsid w:val="009C22C8"/>
    <w:rsid w:val="009C6B2E"/>
    <w:rsid w:val="009E6E1A"/>
    <w:rsid w:val="00A12B4B"/>
    <w:rsid w:val="00A16C90"/>
    <w:rsid w:val="00A242B9"/>
    <w:rsid w:val="00A2703B"/>
    <w:rsid w:val="00A315CB"/>
    <w:rsid w:val="00A3579D"/>
    <w:rsid w:val="00A55356"/>
    <w:rsid w:val="00A557BB"/>
    <w:rsid w:val="00A8520D"/>
    <w:rsid w:val="00AC2993"/>
    <w:rsid w:val="00AD0EDC"/>
    <w:rsid w:val="00AF2CD6"/>
    <w:rsid w:val="00B0548B"/>
    <w:rsid w:val="00B30D2F"/>
    <w:rsid w:val="00B50AD7"/>
    <w:rsid w:val="00B5330B"/>
    <w:rsid w:val="00B64F2F"/>
    <w:rsid w:val="00B864C9"/>
    <w:rsid w:val="00B93A3C"/>
    <w:rsid w:val="00B96287"/>
    <w:rsid w:val="00BB3345"/>
    <w:rsid w:val="00BC4498"/>
    <w:rsid w:val="00BF7FE3"/>
    <w:rsid w:val="00C0404B"/>
    <w:rsid w:val="00C24D50"/>
    <w:rsid w:val="00C273AD"/>
    <w:rsid w:val="00C765C7"/>
    <w:rsid w:val="00C80442"/>
    <w:rsid w:val="00CD2D08"/>
    <w:rsid w:val="00D226C4"/>
    <w:rsid w:val="00D25489"/>
    <w:rsid w:val="00D33A6E"/>
    <w:rsid w:val="00D3636D"/>
    <w:rsid w:val="00D36508"/>
    <w:rsid w:val="00D55FEE"/>
    <w:rsid w:val="00D57B91"/>
    <w:rsid w:val="00D61497"/>
    <w:rsid w:val="00D77146"/>
    <w:rsid w:val="00D823AF"/>
    <w:rsid w:val="00D87741"/>
    <w:rsid w:val="00D9207B"/>
    <w:rsid w:val="00DA11C2"/>
    <w:rsid w:val="00DA6F2A"/>
    <w:rsid w:val="00DB074F"/>
    <w:rsid w:val="00DB2902"/>
    <w:rsid w:val="00DB743E"/>
    <w:rsid w:val="00DE0E35"/>
    <w:rsid w:val="00DE4905"/>
    <w:rsid w:val="00DF44AC"/>
    <w:rsid w:val="00E15752"/>
    <w:rsid w:val="00E2529E"/>
    <w:rsid w:val="00E36906"/>
    <w:rsid w:val="00E648E9"/>
    <w:rsid w:val="00E77596"/>
    <w:rsid w:val="00E964FD"/>
    <w:rsid w:val="00ED4D5E"/>
    <w:rsid w:val="00ED71C8"/>
    <w:rsid w:val="00F006B2"/>
    <w:rsid w:val="00F43DFA"/>
    <w:rsid w:val="00F87670"/>
    <w:rsid w:val="00F87F72"/>
    <w:rsid w:val="00F90609"/>
    <w:rsid w:val="00F947B1"/>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0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B533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B53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D0BB3262-7E72-4827-AF20-6F4868708AA5}">
  <ds:schemaRefs>
    <ds:schemaRef ds:uri="http://schemas.openxmlformats.org/package/2006/metadata/core-properties"/>
    <ds:schemaRef ds:uri="b438dcf7-3998-4283-b7fc-0ec6fa8e430f"/>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688EE249-DE46-4190-BE6B-DD31ED1E1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Template>
  <TotalTime>197</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Amy Hamma</cp:lastModifiedBy>
  <cp:revision>12</cp:revision>
  <dcterms:created xsi:type="dcterms:W3CDTF">2015-05-18T19:44:00Z</dcterms:created>
  <dcterms:modified xsi:type="dcterms:W3CDTF">2015-06-19T17:56:00Z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