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0B9B3" w14:textId="1F6D0EB2" w:rsidR="00504F80" w:rsidRPr="00EE6B64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 w:rsidRPr="00EE6B64">
        <w:rPr>
          <w:rFonts w:ascii="Times New Roman" w:hAnsi="Times New Roman"/>
          <w:sz w:val="20"/>
        </w:rPr>
        <w:t>Department of Veterans Affairs</w:t>
      </w:r>
      <w:r w:rsidRPr="00EE6B64">
        <w:rPr>
          <w:rFonts w:ascii="Times New Roman" w:hAnsi="Times New Roman"/>
          <w:sz w:val="20"/>
        </w:rPr>
        <w:tab/>
        <w:t xml:space="preserve">M21-1, Part </w:t>
      </w:r>
      <w:r w:rsidR="00945950" w:rsidRPr="00EE6B64">
        <w:rPr>
          <w:rFonts w:ascii="Times New Roman" w:hAnsi="Times New Roman"/>
          <w:sz w:val="20"/>
        </w:rPr>
        <w:t>III</w:t>
      </w:r>
      <w:r w:rsidRPr="00EE6B64">
        <w:rPr>
          <w:rFonts w:ascii="Times New Roman" w:hAnsi="Times New Roman"/>
          <w:sz w:val="20"/>
        </w:rPr>
        <w:t xml:space="preserve">, Subpart </w:t>
      </w:r>
      <w:r w:rsidR="00916A00" w:rsidRPr="00EE6B64">
        <w:rPr>
          <w:rFonts w:ascii="Times New Roman" w:hAnsi="Times New Roman"/>
          <w:sz w:val="20"/>
        </w:rPr>
        <w:t>v</w:t>
      </w:r>
    </w:p>
    <w:p w14:paraId="6140B9B4" w14:textId="7F73BA59" w:rsidR="00504F80" w:rsidRPr="00EE6B64" w:rsidRDefault="00504F80" w:rsidP="00504F80">
      <w:pPr>
        <w:rPr>
          <w:b/>
          <w:bCs/>
          <w:sz w:val="20"/>
        </w:rPr>
      </w:pPr>
      <w:r w:rsidRPr="00EE6B64">
        <w:rPr>
          <w:b/>
          <w:bCs/>
          <w:sz w:val="20"/>
        </w:rPr>
        <w:t>Veterans Benefits Administration</w:t>
      </w:r>
      <w:r w:rsidRPr="00EE6B64">
        <w:rPr>
          <w:b/>
          <w:bCs/>
          <w:sz w:val="20"/>
        </w:rPr>
        <w:tab/>
      </w:r>
      <w:r w:rsidRPr="00EE6B64">
        <w:rPr>
          <w:b/>
          <w:bCs/>
          <w:sz w:val="20"/>
        </w:rPr>
        <w:tab/>
      </w:r>
      <w:r w:rsidRPr="00EE6B64">
        <w:rPr>
          <w:b/>
          <w:bCs/>
          <w:sz w:val="20"/>
        </w:rPr>
        <w:tab/>
      </w:r>
      <w:r w:rsidRPr="00EE6B64">
        <w:rPr>
          <w:b/>
          <w:bCs/>
          <w:sz w:val="20"/>
        </w:rPr>
        <w:tab/>
      </w:r>
      <w:r w:rsidRPr="00EE6B64">
        <w:rPr>
          <w:b/>
          <w:bCs/>
          <w:sz w:val="20"/>
        </w:rPr>
        <w:tab/>
      </w:r>
      <w:r w:rsidRPr="00EE6B64">
        <w:rPr>
          <w:b/>
          <w:bCs/>
          <w:sz w:val="20"/>
        </w:rPr>
        <w:tab/>
        <w:t xml:space="preserve">   </w:t>
      </w:r>
      <w:r w:rsidR="00EE6B64" w:rsidRPr="00EE6B64">
        <w:rPr>
          <w:b/>
          <w:bCs/>
          <w:sz w:val="20"/>
        </w:rPr>
        <w:t xml:space="preserve">                        </w:t>
      </w:r>
      <w:r w:rsidRPr="00EE6B64">
        <w:rPr>
          <w:b/>
          <w:bCs/>
          <w:sz w:val="20"/>
        </w:rPr>
        <w:t xml:space="preserve"> </w:t>
      </w:r>
      <w:r w:rsidR="00EE6B64" w:rsidRPr="00EE6B64">
        <w:rPr>
          <w:b/>
          <w:bCs/>
          <w:sz w:val="20"/>
        </w:rPr>
        <w:t>April 20, 2015</w:t>
      </w:r>
      <w:r w:rsidRPr="00EE6B64">
        <w:rPr>
          <w:b/>
          <w:bCs/>
          <w:sz w:val="20"/>
        </w:rPr>
        <w:tab/>
      </w:r>
    </w:p>
    <w:p w14:paraId="6140B9B5" w14:textId="77777777" w:rsidR="00504F80" w:rsidRPr="00EE6B64" w:rsidRDefault="00504F80" w:rsidP="00504F80">
      <w:pPr>
        <w:rPr>
          <w:b/>
          <w:bCs/>
          <w:sz w:val="20"/>
        </w:rPr>
      </w:pPr>
      <w:r w:rsidRPr="00EE6B64">
        <w:rPr>
          <w:b/>
          <w:bCs/>
          <w:sz w:val="20"/>
        </w:rPr>
        <w:t>Washington, DC  20420</w:t>
      </w:r>
    </w:p>
    <w:p w14:paraId="6140B9B6" w14:textId="77777777" w:rsidR="00504F80" w:rsidRPr="00EE6B64" w:rsidRDefault="00504F80" w:rsidP="00504F80">
      <w:pPr>
        <w:rPr>
          <w:b/>
          <w:bCs/>
          <w:sz w:val="20"/>
        </w:rPr>
      </w:pPr>
    </w:p>
    <w:p w14:paraId="6140B9B7" w14:textId="77777777" w:rsidR="00504F80" w:rsidRPr="00EE6B64" w:rsidRDefault="00504F80" w:rsidP="00504F80">
      <w:pPr>
        <w:pStyle w:val="Heading4"/>
      </w:pPr>
      <w:r w:rsidRPr="00EE6B64">
        <w:t xml:space="preserve">Transmittal Sheet </w:t>
      </w:r>
    </w:p>
    <w:p w14:paraId="6140B9B8" w14:textId="77777777" w:rsidR="00504F80" w:rsidRPr="00EE6B64" w:rsidRDefault="00504F80" w:rsidP="00504F80">
      <w:pPr>
        <w:pStyle w:val="BlockLine"/>
      </w:pPr>
      <w:r w:rsidRPr="00EE6B64"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EE6B64" w14:paraId="6140B9CA" w14:textId="77777777" w:rsidTr="00C24D50">
        <w:tc>
          <w:tcPr>
            <w:tcW w:w="1728" w:type="dxa"/>
          </w:tcPr>
          <w:p w14:paraId="6140B9B9" w14:textId="77777777" w:rsidR="00504F80" w:rsidRPr="00EE6B64" w:rsidRDefault="00504F80" w:rsidP="00237C22">
            <w:pPr>
              <w:pStyle w:val="Heading5"/>
            </w:pPr>
            <w:r w:rsidRPr="00EE6B64">
              <w:t>Changes Included in This Revision</w:t>
            </w:r>
          </w:p>
        </w:tc>
        <w:tc>
          <w:tcPr>
            <w:tcW w:w="7740" w:type="dxa"/>
          </w:tcPr>
          <w:p w14:paraId="6140B9BA" w14:textId="752B3701" w:rsidR="00504F80" w:rsidRPr="00EE6B64" w:rsidRDefault="00504F80" w:rsidP="00237C22">
            <w:pPr>
              <w:pStyle w:val="BlockText"/>
            </w:pPr>
            <w:r w:rsidRPr="00EE6B64">
              <w:t xml:space="preserve">The table below describes the changes included in this revision of Veterans Benefits Manual M21-1, Part </w:t>
            </w:r>
            <w:r w:rsidR="00BB3345" w:rsidRPr="00EE6B64">
              <w:t>III</w:t>
            </w:r>
            <w:r w:rsidRPr="00EE6B64">
              <w:t>, “</w:t>
            </w:r>
            <w:r w:rsidR="00BB3345" w:rsidRPr="00EE6B64">
              <w:t>General Claims Process</w:t>
            </w:r>
            <w:r w:rsidRPr="00EE6B64">
              <w:t xml:space="preserve">,” Subpart </w:t>
            </w:r>
            <w:r w:rsidR="00916A00" w:rsidRPr="00EE6B64">
              <w:t>v</w:t>
            </w:r>
            <w:r w:rsidRPr="00EE6B64">
              <w:t>, “</w:t>
            </w:r>
            <w:r w:rsidR="00BB3345" w:rsidRPr="00EE6B64">
              <w:t xml:space="preserve">General </w:t>
            </w:r>
            <w:r w:rsidR="00916A00" w:rsidRPr="00EE6B64">
              <w:t>Authorization Issues and Claimant Notifications.”</w:t>
            </w:r>
          </w:p>
          <w:p w14:paraId="6140B9BB" w14:textId="77777777" w:rsidR="00504F80" w:rsidRPr="00EE6B64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6140B9BF" w14:textId="1DE5DDFB" w:rsidR="00504F80" w:rsidRPr="00EE6B64" w:rsidRDefault="00504F80" w:rsidP="00EE4B5C">
            <w:pPr>
              <w:pStyle w:val="BulletText1"/>
              <w:numPr>
                <w:ilvl w:val="0"/>
                <w:numId w:val="0"/>
              </w:numPr>
            </w:pPr>
            <w:r w:rsidRPr="00EE6B64">
              <w:rPr>
                <w:b/>
                <w:i/>
              </w:rPr>
              <w:t>Notes</w:t>
            </w:r>
            <w:r w:rsidRPr="00EE6B64">
              <w:t xml:space="preserve">:  Minor editorial changes have also been made to </w:t>
            </w:r>
          </w:p>
          <w:p w14:paraId="7A39DC9A" w14:textId="77777777" w:rsidR="00C404E6" w:rsidRPr="00EE6B64" w:rsidRDefault="00504F80" w:rsidP="00C404E6">
            <w:pPr>
              <w:pStyle w:val="BulletText1"/>
            </w:pPr>
            <w:r w:rsidRPr="00EE6B64">
              <w:t>update incorrect or obsolete hyperlink references</w:t>
            </w:r>
          </w:p>
          <w:p w14:paraId="11712B08" w14:textId="5B4B76FA" w:rsidR="00DE3745" w:rsidRPr="00EE6B64" w:rsidRDefault="00C404E6" w:rsidP="00C404E6">
            <w:pPr>
              <w:pStyle w:val="BulletText1"/>
            </w:pPr>
            <w:r w:rsidRPr="00EE6B64">
              <w:t>add references to the Veterans Benefits Management System (VBMS) user guides, where appropriate and relevant, and</w:t>
            </w:r>
          </w:p>
          <w:p w14:paraId="6140B9C9" w14:textId="57C6DD82" w:rsidR="00504F80" w:rsidRPr="00EE6B64" w:rsidRDefault="003E2CA2" w:rsidP="00C404E6">
            <w:pPr>
              <w:pStyle w:val="BulletText1"/>
            </w:pPr>
            <w:proofErr w:type="gramStart"/>
            <w:r w:rsidRPr="00EE6B64">
              <w:t>reassign</w:t>
            </w:r>
            <w:proofErr w:type="gramEnd"/>
            <w:r w:rsidRPr="00EE6B64">
              <w:t xml:space="preserve"> alphabetical designations to individual blocks, where necessary, to account for new and/or deleted blocks within a topic</w:t>
            </w:r>
            <w:r w:rsidR="00504F80" w:rsidRPr="00EE6B64">
              <w:t>.</w:t>
            </w:r>
          </w:p>
        </w:tc>
      </w:tr>
    </w:tbl>
    <w:p w14:paraId="6140B9CB" w14:textId="77777777" w:rsidR="00C24D50" w:rsidRPr="00EE6B64" w:rsidRDefault="00C24D50" w:rsidP="00C24D50"/>
    <w:tbl>
      <w:tblPr>
        <w:tblW w:w="932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4"/>
        <w:gridCol w:w="2790"/>
      </w:tblGrid>
      <w:tr w:rsidR="00DE3745" w:rsidRPr="00EE6B64" w14:paraId="6140B9CF" w14:textId="77777777" w:rsidTr="000B0E77">
        <w:trPr>
          <w:trHeight w:val="180"/>
        </w:trPr>
        <w:tc>
          <w:tcPr>
            <w:tcW w:w="3504" w:type="pct"/>
            <w:shd w:val="clear" w:color="auto" w:fill="auto"/>
          </w:tcPr>
          <w:p w14:paraId="6140B9CC" w14:textId="77777777" w:rsidR="00DE3745" w:rsidRPr="00EE6B64" w:rsidRDefault="00DE3745" w:rsidP="002F7397">
            <w:pPr>
              <w:pStyle w:val="TableHeaderText"/>
            </w:pPr>
            <w:r w:rsidRPr="00EE6B64">
              <w:t>Reason(s) for the Change</w:t>
            </w:r>
          </w:p>
        </w:tc>
        <w:tc>
          <w:tcPr>
            <w:tcW w:w="1496" w:type="pct"/>
            <w:shd w:val="clear" w:color="auto" w:fill="auto"/>
          </w:tcPr>
          <w:p w14:paraId="6140B9CD" w14:textId="77777777" w:rsidR="00DE3745" w:rsidRPr="00EE6B64" w:rsidRDefault="00DE3745" w:rsidP="002F7397">
            <w:pPr>
              <w:pStyle w:val="TableHeaderText"/>
            </w:pPr>
            <w:r w:rsidRPr="00EE6B64">
              <w:t>Citation</w:t>
            </w:r>
          </w:p>
        </w:tc>
      </w:tr>
      <w:tr w:rsidR="00DE3745" w:rsidRPr="00EE6B64" w14:paraId="6140B9D3" w14:textId="77777777" w:rsidTr="000B0E77">
        <w:trPr>
          <w:trHeight w:val="180"/>
        </w:trPr>
        <w:tc>
          <w:tcPr>
            <w:tcW w:w="3504" w:type="pct"/>
            <w:shd w:val="clear" w:color="auto" w:fill="auto"/>
          </w:tcPr>
          <w:p w14:paraId="6140B9D0" w14:textId="34B3C69A" w:rsidR="00DE3745" w:rsidRPr="00EE6B64" w:rsidRDefault="00DE3745" w:rsidP="00E4615B">
            <w:pPr>
              <w:pStyle w:val="TableText"/>
            </w:pPr>
            <w:r w:rsidRPr="00EE6B64">
              <w:t xml:space="preserve">To clarify that concurrent receipt of Department of Veterans Affairs (VA) benefits and the </w:t>
            </w:r>
            <w:r w:rsidRPr="00EE6B64">
              <w:rPr>
                <w:i/>
              </w:rPr>
              <w:t>subsistence allowance</w:t>
            </w:r>
            <w:r w:rsidRPr="00EE6B64">
              <w:t xml:space="preserve"> that some members of the Senior Reserve Officers’ Training Corps receive is </w:t>
            </w:r>
            <w:r w:rsidRPr="00EE6B64">
              <w:rPr>
                <w:b/>
                <w:i/>
              </w:rPr>
              <w:t>not</w:t>
            </w:r>
            <w:r w:rsidRPr="00EE6B64">
              <w:t xml:space="preserve"> prohibited.</w:t>
            </w:r>
          </w:p>
        </w:tc>
        <w:tc>
          <w:tcPr>
            <w:tcW w:w="1496" w:type="pct"/>
            <w:shd w:val="clear" w:color="auto" w:fill="auto"/>
          </w:tcPr>
          <w:p w14:paraId="6140B9D1" w14:textId="15C0E95D" w:rsidR="00DE3745" w:rsidRPr="00EE6B64" w:rsidRDefault="00DE3745" w:rsidP="00DE3745">
            <w:pPr>
              <w:pStyle w:val="TableText"/>
            </w:pPr>
            <w:r w:rsidRPr="00EE6B64">
              <w:t>M21-1, Part III, Subpart v, Chapter 4, Section C, Topic 1, Block b (</w:t>
            </w:r>
            <w:proofErr w:type="spellStart"/>
            <w:r w:rsidRPr="00EE6B64">
              <w:t>III.v.4.C.1.b</w:t>
            </w:r>
            <w:proofErr w:type="spellEnd"/>
            <w:r w:rsidRPr="00EE6B64">
              <w:t>)</w:t>
            </w:r>
          </w:p>
        </w:tc>
      </w:tr>
      <w:tr w:rsidR="00DE3745" w:rsidRPr="00EE6B64" w14:paraId="729E6578" w14:textId="77777777" w:rsidTr="000B0E77">
        <w:trPr>
          <w:trHeight w:val="180"/>
        </w:trPr>
        <w:tc>
          <w:tcPr>
            <w:tcW w:w="3504" w:type="pct"/>
            <w:shd w:val="clear" w:color="auto" w:fill="auto"/>
          </w:tcPr>
          <w:p w14:paraId="5A811B22" w14:textId="24C54005" w:rsidR="00DE3745" w:rsidRPr="00EE6B64" w:rsidRDefault="00DE3745" w:rsidP="008E3B67">
            <w:pPr>
              <w:pStyle w:val="BulletText1"/>
            </w:pPr>
            <w:r w:rsidRPr="00EE6B64">
              <w:t xml:space="preserve">To relocate the instructions </w:t>
            </w:r>
            <w:r w:rsidR="008E3B67" w:rsidRPr="00EE6B64">
              <w:t>(</w:t>
            </w:r>
            <w:r w:rsidRPr="00EE6B64">
              <w:t xml:space="preserve">previously found in </w:t>
            </w:r>
            <w:proofErr w:type="spellStart"/>
            <w:r w:rsidRPr="00EE6B64">
              <w:t>III.v.4.C.3.b</w:t>
            </w:r>
            <w:proofErr w:type="spellEnd"/>
            <w:r w:rsidRPr="00EE6B64">
              <w:t>) for handling cases in which a Veteran chooses to waive drill pay so he/she may continue receiving VA benefits.</w:t>
            </w:r>
          </w:p>
          <w:p w14:paraId="0C98BE68" w14:textId="77777777" w:rsidR="004462EC" w:rsidRPr="00EE6B64" w:rsidRDefault="004462EC" w:rsidP="008E3B67">
            <w:pPr>
              <w:pStyle w:val="BulletText1"/>
            </w:pPr>
            <w:r w:rsidRPr="00EE6B64">
              <w:t>To explain how regional offices notify Compensation Service that a Veteran has chosen to waive drill pay</w:t>
            </w:r>
            <w:r w:rsidR="00D1075E" w:rsidRPr="00EE6B64">
              <w:t>,</w:t>
            </w:r>
            <w:r w:rsidRPr="00EE6B64">
              <w:t xml:space="preserve"> now that </w:t>
            </w:r>
            <w:r w:rsidRPr="00EE6B64">
              <w:rPr>
                <w:i/>
              </w:rPr>
              <w:t>VA Form 21-8951, Notice of Waiver of VA Compensation or Pension to Receive Military Pay and Allowance</w:t>
            </w:r>
            <w:r w:rsidRPr="00EE6B64">
              <w:t>,</w:t>
            </w:r>
            <w:r w:rsidR="00D1075E" w:rsidRPr="00EE6B64">
              <w:t xml:space="preserve"> is available in an electronic format only.</w:t>
            </w:r>
          </w:p>
          <w:p w14:paraId="6B3CC651" w14:textId="46F76E71" w:rsidR="0022744B" w:rsidRPr="00EE6B64" w:rsidRDefault="0022744B" w:rsidP="008E3B67">
            <w:pPr>
              <w:pStyle w:val="BulletText1"/>
            </w:pPr>
            <w:r w:rsidRPr="00EE6B64">
              <w:t>To explain that unsuccessful attempts to contact a Veteran by telephone should be documented as a note in Modern Awards Processing – Development (MAP-D) or VBMS.</w:t>
            </w:r>
          </w:p>
        </w:tc>
        <w:tc>
          <w:tcPr>
            <w:tcW w:w="1496" w:type="pct"/>
            <w:shd w:val="clear" w:color="auto" w:fill="auto"/>
          </w:tcPr>
          <w:p w14:paraId="1590EF3D" w14:textId="34BE7779" w:rsidR="00DE3745" w:rsidRPr="00EE6B64" w:rsidRDefault="00DE3745" w:rsidP="00DE3745">
            <w:pPr>
              <w:pStyle w:val="TableText"/>
            </w:pPr>
            <w:r w:rsidRPr="00EE6B64">
              <w:t>III.v.4.C.3.c</w:t>
            </w:r>
          </w:p>
        </w:tc>
      </w:tr>
      <w:tr w:rsidR="00DE3745" w:rsidRPr="00EE6B64" w14:paraId="1E559DDA" w14:textId="77777777" w:rsidTr="000B0E77">
        <w:trPr>
          <w:trHeight w:val="180"/>
        </w:trPr>
        <w:tc>
          <w:tcPr>
            <w:tcW w:w="3504" w:type="pct"/>
            <w:shd w:val="clear" w:color="auto" w:fill="auto"/>
          </w:tcPr>
          <w:p w14:paraId="2465BA4D" w14:textId="77B0A651" w:rsidR="008E3B67" w:rsidRPr="00EE6B64" w:rsidRDefault="00DE3745" w:rsidP="008E3B67">
            <w:pPr>
              <w:pStyle w:val="TableText"/>
            </w:pPr>
            <w:r w:rsidRPr="00EE6B64">
              <w:t xml:space="preserve">To clarify that </w:t>
            </w:r>
            <w:r w:rsidR="008E3B67" w:rsidRPr="00EE6B64">
              <w:t xml:space="preserve">VA must send notice of proposed adverse action before adjusting a Veteran’s award due to his/her receipt of drill pay </w:t>
            </w:r>
            <w:r w:rsidRPr="00EE6B64">
              <w:t>if</w:t>
            </w:r>
          </w:p>
          <w:p w14:paraId="054165DE" w14:textId="77777777" w:rsidR="008E3B67" w:rsidRPr="00EE6B64" w:rsidRDefault="008E3B67" w:rsidP="008E3B67">
            <w:pPr>
              <w:pStyle w:val="TableText"/>
            </w:pPr>
          </w:p>
          <w:p w14:paraId="3070EFEA" w14:textId="77777777" w:rsidR="00DE3745" w:rsidRPr="00EE6B64" w:rsidRDefault="00DE3745" w:rsidP="008E3B67">
            <w:pPr>
              <w:pStyle w:val="BulletText1"/>
            </w:pPr>
            <w:r w:rsidRPr="00EE6B64">
              <w:t>VA must adjust</w:t>
            </w:r>
            <w:r w:rsidR="008E3B67" w:rsidRPr="00EE6B64">
              <w:t xml:space="preserve"> the</w:t>
            </w:r>
            <w:r w:rsidRPr="00EE6B64">
              <w:t xml:space="preserve"> award </w:t>
            </w:r>
            <w:r w:rsidRPr="00EE6B64">
              <w:rPr>
                <w:i/>
              </w:rPr>
              <w:t>retroactively</w:t>
            </w:r>
            <w:r w:rsidR="008E3B67" w:rsidRPr="00EE6B64">
              <w:t>, and</w:t>
            </w:r>
          </w:p>
          <w:p w14:paraId="5A8A92A5" w14:textId="5D405247" w:rsidR="008E3B67" w:rsidRPr="00EE6B64" w:rsidRDefault="008E3B67" w:rsidP="008E3B67">
            <w:pPr>
              <w:pStyle w:val="BulletText1"/>
            </w:pPr>
            <w:proofErr w:type="gramStart"/>
            <w:r w:rsidRPr="00EE6B64">
              <w:t>the</w:t>
            </w:r>
            <w:proofErr w:type="gramEnd"/>
            <w:r w:rsidRPr="00EE6B64">
              <w:t xml:space="preserve"> </w:t>
            </w:r>
            <w:r w:rsidRPr="00EE6B64">
              <w:rPr>
                <w:i/>
              </w:rPr>
              <w:t>VA Form 21-8951</w:t>
            </w:r>
            <w:r w:rsidRPr="00EE6B64">
              <w:t xml:space="preserve"> that the Veteran submitted </w:t>
            </w:r>
            <w:r w:rsidR="00811419" w:rsidRPr="00EE6B64">
              <w:t xml:space="preserve">has a version date </w:t>
            </w:r>
            <w:r w:rsidR="00811419" w:rsidRPr="00EE6B64">
              <w:rPr>
                <w:i/>
              </w:rPr>
              <w:t>earlier</w:t>
            </w:r>
            <w:r w:rsidR="00811419" w:rsidRPr="00EE6B64">
              <w:t xml:space="preserve"> than February 2015.</w:t>
            </w:r>
          </w:p>
        </w:tc>
        <w:tc>
          <w:tcPr>
            <w:tcW w:w="1496" w:type="pct"/>
            <w:shd w:val="clear" w:color="auto" w:fill="auto"/>
          </w:tcPr>
          <w:p w14:paraId="1128A979" w14:textId="09FA3766" w:rsidR="00DE3745" w:rsidRPr="00EE6B64" w:rsidRDefault="00DE3745" w:rsidP="00DE3745">
            <w:pPr>
              <w:pStyle w:val="TableText"/>
            </w:pPr>
            <w:r w:rsidRPr="00EE6B64">
              <w:t>III.v.4.C.4.e</w:t>
            </w:r>
          </w:p>
        </w:tc>
      </w:tr>
      <w:tr w:rsidR="00DE3745" w:rsidRPr="00EE6B64" w14:paraId="277AC299" w14:textId="77777777" w:rsidTr="000B0E77">
        <w:trPr>
          <w:trHeight w:val="180"/>
        </w:trPr>
        <w:tc>
          <w:tcPr>
            <w:tcW w:w="3504" w:type="pct"/>
            <w:shd w:val="clear" w:color="auto" w:fill="auto"/>
          </w:tcPr>
          <w:p w14:paraId="67B8FCB6" w14:textId="7FB65591" w:rsidR="00DE3745" w:rsidRPr="00EE6B64" w:rsidRDefault="00DE3745" w:rsidP="00325809">
            <w:pPr>
              <w:pStyle w:val="TableText"/>
            </w:pPr>
            <w:r w:rsidRPr="00EE6B64">
              <w:t>To</w:t>
            </w:r>
            <w:r w:rsidR="00D82535" w:rsidRPr="00EE6B64">
              <w:t xml:space="preserve"> add a new Block </w:t>
            </w:r>
            <w:proofErr w:type="spellStart"/>
            <w:r w:rsidR="00D82535" w:rsidRPr="00EE6B64">
              <w:t>f</w:t>
            </w:r>
            <w:proofErr w:type="spellEnd"/>
            <w:r w:rsidRPr="00EE6B64">
              <w:t xml:space="preserve"> </w:t>
            </w:r>
            <w:r w:rsidR="00D82535" w:rsidRPr="00EE6B64">
              <w:t xml:space="preserve"> which </w:t>
            </w:r>
            <w:r w:rsidRPr="00EE6B64">
              <w:t>provide</w:t>
            </w:r>
            <w:r w:rsidR="00D82535" w:rsidRPr="00EE6B64">
              <w:t>s</w:t>
            </w:r>
            <w:r w:rsidRPr="00EE6B64">
              <w:t xml:space="preserve"> instructions for adjusting benefits when the monthly rate of payment at the end of the fiscal year during which the Veteran earned drill pay is $0.00</w:t>
            </w:r>
            <w:proofErr w:type="gramStart"/>
            <w:r w:rsidRPr="00EE6B64">
              <w:t xml:space="preserve">. </w:t>
            </w:r>
            <w:proofErr w:type="gramEnd"/>
          </w:p>
        </w:tc>
        <w:tc>
          <w:tcPr>
            <w:tcW w:w="1496" w:type="pct"/>
            <w:shd w:val="clear" w:color="auto" w:fill="auto"/>
          </w:tcPr>
          <w:p w14:paraId="3EC3C92E" w14:textId="5F2C00BF" w:rsidR="00DE3745" w:rsidRPr="00EE6B64" w:rsidRDefault="00DE3745" w:rsidP="00DE3745">
            <w:pPr>
              <w:pStyle w:val="TableText"/>
            </w:pPr>
            <w:r w:rsidRPr="00EE6B64">
              <w:t>III.v.4.C.4.f</w:t>
            </w:r>
          </w:p>
        </w:tc>
      </w:tr>
      <w:tr w:rsidR="00DE3745" w:rsidRPr="00EE6B64" w14:paraId="6D427F72" w14:textId="77777777" w:rsidTr="000B0E77">
        <w:trPr>
          <w:trHeight w:val="180"/>
        </w:trPr>
        <w:tc>
          <w:tcPr>
            <w:tcW w:w="3504" w:type="pct"/>
            <w:shd w:val="clear" w:color="auto" w:fill="auto"/>
          </w:tcPr>
          <w:p w14:paraId="6251C6FD" w14:textId="3E35D23D" w:rsidR="00DE3745" w:rsidRPr="00EE6B64" w:rsidRDefault="00DE3745" w:rsidP="00811419">
            <w:pPr>
              <w:pStyle w:val="TableText"/>
            </w:pPr>
            <w:r w:rsidRPr="00EE6B64">
              <w:t xml:space="preserve">To </w:t>
            </w:r>
            <w:r w:rsidR="00D82535" w:rsidRPr="00EE6B64">
              <w:t xml:space="preserve">add a new Block g which </w:t>
            </w:r>
            <w:r w:rsidR="00811419" w:rsidRPr="00EE6B64">
              <w:t>identif</w:t>
            </w:r>
            <w:r w:rsidR="00D82535" w:rsidRPr="00EE6B64">
              <w:t>ies</w:t>
            </w:r>
            <w:r w:rsidR="00811419" w:rsidRPr="00EE6B64">
              <w:t xml:space="preserve"> circumstances under which VA must reissue notice of proposed adverse action</w:t>
            </w:r>
            <w:proofErr w:type="gramStart"/>
            <w:r w:rsidR="00811419" w:rsidRPr="00EE6B64">
              <w:t>.</w:t>
            </w:r>
            <w:r w:rsidRPr="00EE6B64">
              <w:t xml:space="preserve"> </w:t>
            </w:r>
            <w:proofErr w:type="gramEnd"/>
          </w:p>
        </w:tc>
        <w:tc>
          <w:tcPr>
            <w:tcW w:w="1496" w:type="pct"/>
            <w:shd w:val="clear" w:color="auto" w:fill="auto"/>
          </w:tcPr>
          <w:p w14:paraId="764BCB39" w14:textId="36257E2C" w:rsidR="00DE3745" w:rsidRPr="00EE6B64" w:rsidRDefault="00DE3745" w:rsidP="00DE3745">
            <w:pPr>
              <w:pStyle w:val="TableText"/>
            </w:pPr>
            <w:r w:rsidRPr="00EE6B64">
              <w:t>III.v.4.C.4.g</w:t>
            </w:r>
          </w:p>
        </w:tc>
      </w:tr>
      <w:tr w:rsidR="00360FCA" w:rsidRPr="00EE6B64" w14:paraId="1DFB9ECD" w14:textId="77777777" w:rsidTr="000B0E77">
        <w:trPr>
          <w:trHeight w:val="180"/>
        </w:trPr>
        <w:tc>
          <w:tcPr>
            <w:tcW w:w="3504" w:type="pct"/>
            <w:shd w:val="clear" w:color="auto" w:fill="auto"/>
          </w:tcPr>
          <w:p w14:paraId="638FB76D" w14:textId="12BEF7C8" w:rsidR="00360FCA" w:rsidRPr="00EE6B64" w:rsidRDefault="00360FCA" w:rsidP="00360FCA">
            <w:pPr>
              <w:pStyle w:val="TableText"/>
            </w:pPr>
            <w:r w:rsidRPr="00EE6B64">
              <w:t>To remove the requirement that a Veteran must request a hearing within 30 days of receipt of a notice of proposed adverse action.</w:t>
            </w:r>
          </w:p>
        </w:tc>
        <w:tc>
          <w:tcPr>
            <w:tcW w:w="1496" w:type="pct"/>
            <w:shd w:val="clear" w:color="auto" w:fill="auto"/>
          </w:tcPr>
          <w:p w14:paraId="1B7CCE1B" w14:textId="43346628" w:rsidR="00360FCA" w:rsidRPr="00EE6B64" w:rsidRDefault="00360FCA" w:rsidP="00DE3745">
            <w:pPr>
              <w:pStyle w:val="TableText"/>
            </w:pPr>
            <w:r w:rsidRPr="00EE6B64">
              <w:t>III.v.4.C.4.h</w:t>
            </w:r>
          </w:p>
        </w:tc>
      </w:tr>
      <w:tr w:rsidR="00DE3745" w:rsidRPr="00EE6B64" w14:paraId="6EE098DF" w14:textId="77777777" w:rsidTr="000B0E77">
        <w:trPr>
          <w:trHeight w:val="180"/>
        </w:trPr>
        <w:tc>
          <w:tcPr>
            <w:tcW w:w="3504" w:type="pct"/>
            <w:shd w:val="clear" w:color="auto" w:fill="auto"/>
          </w:tcPr>
          <w:p w14:paraId="6627C8CD" w14:textId="35BD0A5A" w:rsidR="00DE3745" w:rsidRPr="00EE6B64" w:rsidRDefault="00DE3745" w:rsidP="00DE3725">
            <w:pPr>
              <w:pStyle w:val="TableText"/>
            </w:pPr>
            <w:r w:rsidRPr="00EE6B64">
              <w:lastRenderedPageBreak/>
              <w:t xml:space="preserve">To add </w:t>
            </w:r>
            <w:r w:rsidR="00811419" w:rsidRPr="00EE6B64">
              <w:t xml:space="preserve">a </w:t>
            </w:r>
            <w:r w:rsidRPr="00EE6B64">
              <w:t xml:space="preserve">reference </w:t>
            </w:r>
            <w:r w:rsidR="00DE3725" w:rsidRPr="00EE6B64">
              <w:t>to III.ii.6.2.c and d, which discuss</w:t>
            </w:r>
            <w:r w:rsidRPr="00EE6B64">
              <w:t xml:space="preserve"> full-time d</w:t>
            </w:r>
            <w:r w:rsidR="00DE3725" w:rsidRPr="00EE6B64">
              <w:t xml:space="preserve">uty in the uniformed </w:t>
            </w:r>
            <w:proofErr w:type="gramStart"/>
            <w:r w:rsidR="00DE3725" w:rsidRPr="00EE6B64">
              <w:t>services.</w:t>
            </w:r>
            <w:proofErr w:type="gramEnd"/>
          </w:p>
        </w:tc>
        <w:tc>
          <w:tcPr>
            <w:tcW w:w="1496" w:type="pct"/>
            <w:shd w:val="clear" w:color="auto" w:fill="auto"/>
          </w:tcPr>
          <w:p w14:paraId="1F4F3D9C" w14:textId="57662F35" w:rsidR="00DE3745" w:rsidRPr="00EE6B64" w:rsidRDefault="00DE3745" w:rsidP="00DE3745">
            <w:pPr>
              <w:pStyle w:val="TableText"/>
            </w:pPr>
            <w:r w:rsidRPr="00EE6B64">
              <w:t>III.v.4.C.6.a</w:t>
            </w:r>
          </w:p>
        </w:tc>
      </w:tr>
      <w:tr w:rsidR="008F2E90" w:rsidRPr="00EE6B64" w14:paraId="6140B9DB" w14:textId="77777777" w:rsidTr="000B0E77">
        <w:trPr>
          <w:trHeight w:val="180"/>
        </w:trPr>
        <w:tc>
          <w:tcPr>
            <w:tcW w:w="3504" w:type="pct"/>
            <w:shd w:val="clear" w:color="auto" w:fill="auto"/>
          </w:tcPr>
          <w:p w14:paraId="6140B9D8" w14:textId="31CF4082" w:rsidR="008F2E90" w:rsidRPr="00EE6B64" w:rsidRDefault="008F2E90" w:rsidP="008F2E90">
            <w:pPr>
              <w:pStyle w:val="TableText"/>
            </w:pPr>
            <w:r w:rsidRPr="00EE6B64">
              <w:t>To add a</w:t>
            </w:r>
            <w:r w:rsidR="00446276" w:rsidRPr="00EE6B64">
              <w:t xml:space="preserve"> new</w:t>
            </w:r>
            <w:r w:rsidRPr="00EE6B64">
              <w:t xml:space="preserve"> </w:t>
            </w:r>
            <w:r w:rsidR="00446276" w:rsidRPr="00EE6B64">
              <w:t>B</w:t>
            </w:r>
            <w:r w:rsidRPr="00EE6B64">
              <w:t>lock</w:t>
            </w:r>
            <w:r w:rsidR="00446276" w:rsidRPr="00EE6B64">
              <w:t xml:space="preserve"> k</w:t>
            </w:r>
            <w:r w:rsidRPr="00EE6B64">
              <w:t xml:space="preserve"> containing instructions for handling cases in which a Veteran was on active duty during a given fiscal year for more days than the number of training days shown on </w:t>
            </w:r>
            <w:r w:rsidRPr="00EE6B64">
              <w:rPr>
                <w:i/>
              </w:rPr>
              <w:t>VA Form 21-8951</w:t>
            </w:r>
            <w:r w:rsidRPr="00EE6B64">
              <w:t xml:space="preserve"> for the same fiscal year.</w:t>
            </w:r>
          </w:p>
        </w:tc>
        <w:tc>
          <w:tcPr>
            <w:tcW w:w="1496" w:type="pct"/>
            <w:shd w:val="clear" w:color="auto" w:fill="auto"/>
          </w:tcPr>
          <w:p w14:paraId="6140B9D9" w14:textId="797222CF" w:rsidR="008F2E90" w:rsidRPr="00EE6B64" w:rsidRDefault="008F2E90" w:rsidP="00DE3745">
            <w:pPr>
              <w:pStyle w:val="TableText"/>
            </w:pPr>
            <w:r w:rsidRPr="00EE6B64">
              <w:t>III.v.4.C.6.k</w:t>
            </w:r>
          </w:p>
        </w:tc>
      </w:tr>
      <w:tr w:rsidR="008F2E90" w:rsidRPr="00EE6B64" w14:paraId="7A8F98B9" w14:textId="77777777" w:rsidTr="000B0E77">
        <w:trPr>
          <w:trHeight w:val="180"/>
        </w:trPr>
        <w:tc>
          <w:tcPr>
            <w:tcW w:w="3504" w:type="pct"/>
            <w:shd w:val="clear" w:color="auto" w:fill="auto"/>
          </w:tcPr>
          <w:p w14:paraId="0D5D4F68" w14:textId="57474A8E" w:rsidR="008F2E90" w:rsidRPr="00EE6B64" w:rsidRDefault="008F2E90" w:rsidP="008F2E90">
            <w:pPr>
              <w:pStyle w:val="TableText"/>
            </w:pPr>
            <w:r w:rsidRPr="00EE6B64">
              <w:t xml:space="preserve">To clarify that notice of proposed action is necessary in the example provided because the </w:t>
            </w:r>
            <w:r w:rsidRPr="00EE6B64">
              <w:rPr>
                <w:b/>
                <w:i/>
              </w:rPr>
              <w:t>version</w:t>
            </w:r>
            <w:r w:rsidRPr="00EE6B64">
              <w:t xml:space="preserve"> date of the </w:t>
            </w:r>
            <w:r w:rsidRPr="00EE6B64">
              <w:rPr>
                <w:i/>
              </w:rPr>
              <w:t>VA Form 21-8951</w:t>
            </w:r>
            <w:r w:rsidRPr="00EE6B64">
              <w:t xml:space="preserve"> the Veteran submitted is earlier than February 2015.</w:t>
            </w:r>
          </w:p>
        </w:tc>
        <w:tc>
          <w:tcPr>
            <w:tcW w:w="1496" w:type="pct"/>
            <w:shd w:val="clear" w:color="auto" w:fill="auto"/>
          </w:tcPr>
          <w:p w14:paraId="4FBC016D" w14:textId="3E5EAA39" w:rsidR="008F2E90" w:rsidRPr="00EE6B64" w:rsidRDefault="008F2E90" w:rsidP="00DE3745">
            <w:pPr>
              <w:pStyle w:val="TableText"/>
            </w:pPr>
            <w:r w:rsidRPr="00EE6B64">
              <w:t>III.v.4.C.6.g</w:t>
            </w:r>
          </w:p>
        </w:tc>
      </w:tr>
      <w:tr w:rsidR="00D1075E" w:rsidRPr="00EE6B64" w14:paraId="63392BC7" w14:textId="77777777" w:rsidTr="000B0E77">
        <w:trPr>
          <w:trHeight w:val="180"/>
        </w:trPr>
        <w:tc>
          <w:tcPr>
            <w:tcW w:w="3504" w:type="pct"/>
            <w:shd w:val="clear" w:color="auto" w:fill="auto"/>
          </w:tcPr>
          <w:p w14:paraId="3D807497" w14:textId="5CB5E087" w:rsidR="00D1075E" w:rsidRPr="00EE6B64" w:rsidRDefault="007A46B7" w:rsidP="007A46B7">
            <w:pPr>
              <w:pStyle w:val="TableText"/>
            </w:pPr>
            <w:r w:rsidRPr="00EE6B64">
              <w:t xml:space="preserve">To explain that in the example provided, notice of proposed adverse action is necessary because the version date of the </w:t>
            </w:r>
            <w:r w:rsidRPr="00EE6B64">
              <w:rPr>
                <w:i/>
              </w:rPr>
              <w:t>VA Form 21-8951</w:t>
            </w:r>
            <w:r w:rsidRPr="00EE6B64">
              <w:t xml:space="preserve"> is earlier than February 2015.</w:t>
            </w:r>
          </w:p>
        </w:tc>
        <w:tc>
          <w:tcPr>
            <w:tcW w:w="1496" w:type="pct"/>
            <w:shd w:val="clear" w:color="auto" w:fill="auto"/>
          </w:tcPr>
          <w:p w14:paraId="040587D8" w14:textId="235167FB" w:rsidR="00D1075E" w:rsidRPr="00EE6B64" w:rsidRDefault="00D1075E" w:rsidP="00DE3745">
            <w:pPr>
              <w:pStyle w:val="TableText"/>
            </w:pPr>
            <w:r w:rsidRPr="00EE6B64">
              <w:t>III.v.4.C.7.g</w:t>
            </w:r>
          </w:p>
        </w:tc>
      </w:tr>
      <w:tr w:rsidR="008F2E90" w:rsidRPr="00EE6B64" w14:paraId="6140B9DF" w14:textId="77777777" w:rsidTr="000B0E77">
        <w:trPr>
          <w:trHeight w:val="180"/>
        </w:trPr>
        <w:tc>
          <w:tcPr>
            <w:tcW w:w="3504" w:type="pct"/>
            <w:shd w:val="clear" w:color="auto" w:fill="auto"/>
          </w:tcPr>
          <w:p w14:paraId="6140B9DC" w14:textId="4BAE4F20" w:rsidR="008F2E90" w:rsidRPr="00EE6B64" w:rsidRDefault="008F2E90" w:rsidP="00D1075E">
            <w:pPr>
              <w:pStyle w:val="TableText"/>
            </w:pPr>
            <w:r w:rsidRPr="00EE6B64">
              <w:t>To create a new block containing an example of how to adjust</w:t>
            </w:r>
            <w:r w:rsidR="00D1075E" w:rsidRPr="00EE6B64">
              <w:t xml:space="preserve"> benefits based on a Veteran’s receipt of </w:t>
            </w:r>
            <w:r w:rsidRPr="00EE6B64">
              <w:t xml:space="preserve">drill pay when </w:t>
            </w:r>
            <w:r w:rsidR="00D1075E" w:rsidRPr="00EE6B64">
              <w:t>the</w:t>
            </w:r>
            <w:r w:rsidRPr="00EE6B64">
              <w:t xml:space="preserve"> Veteran has an ongoing partial recoupment of compensation benefits. </w:t>
            </w:r>
          </w:p>
        </w:tc>
        <w:tc>
          <w:tcPr>
            <w:tcW w:w="1496" w:type="pct"/>
            <w:shd w:val="clear" w:color="auto" w:fill="auto"/>
          </w:tcPr>
          <w:p w14:paraId="6140B9DD" w14:textId="5E39A9A9" w:rsidR="008F2E90" w:rsidRPr="00EE6B64" w:rsidRDefault="008F2E90" w:rsidP="00DE3745">
            <w:pPr>
              <w:pStyle w:val="TableText"/>
            </w:pPr>
            <w:r w:rsidRPr="00EE6B64">
              <w:t>III.v.4.C.7.j</w:t>
            </w:r>
          </w:p>
        </w:tc>
      </w:tr>
    </w:tbl>
    <w:p w14:paraId="6140B9F4" w14:textId="77777777" w:rsidR="00504F80" w:rsidRPr="00EE6B64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EE6B64" w14:paraId="6140B9F7" w14:textId="77777777" w:rsidTr="00237C22">
        <w:tc>
          <w:tcPr>
            <w:tcW w:w="1728" w:type="dxa"/>
          </w:tcPr>
          <w:p w14:paraId="6140B9F5" w14:textId="77777777" w:rsidR="00504F80" w:rsidRPr="00EE6B64" w:rsidRDefault="00504F80" w:rsidP="00237C22">
            <w:pPr>
              <w:pStyle w:val="Heading5"/>
              <w:rPr>
                <w:sz w:val="24"/>
              </w:rPr>
            </w:pPr>
            <w:r w:rsidRPr="00EE6B64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6140B9F6" w14:textId="77777777" w:rsidR="00504F80" w:rsidRPr="00EE6B64" w:rsidRDefault="00504F80" w:rsidP="00237C22">
            <w:pPr>
              <w:pStyle w:val="BlockText"/>
            </w:pPr>
            <w:r w:rsidRPr="00EE6B64">
              <w:t>None</w:t>
            </w:r>
          </w:p>
        </w:tc>
      </w:tr>
    </w:tbl>
    <w:p w14:paraId="6140B9F8" w14:textId="77777777" w:rsidR="00504F80" w:rsidRPr="00EE6B64" w:rsidRDefault="00504F80" w:rsidP="00504F80">
      <w:pPr>
        <w:pStyle w:val="BlockLine"/>
      </w:pPr>
      <w:r w:rsidRPr="00EE6B64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EE6B64" w14:paraId="6140B9FB" w14:textId="77777777" w:rsidTr="00237C22">
        <w:tc>
          <w:tcPr>
            <w:tcW w:w="1728" w:type="dxa"/>
          </w:tcPr>
          <w:p w14:paraId="6140B9F9" w14:textId="77777777" w:rsidR="00504F80" w:rsidRPr="00EE6B64" w:rsidRDefault="00504F80" w:rsidP="00237C22">
            <w:pPr>
              <w:pStyle w:val="Heading5"/>
              <w:rPr>
                <w:sz w:val="24"/>
              </w:rPr>
            </w:pPr>
            <w:r w:rsidRPr="00EE6B64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6140B9FA" w14:textId="77777777" w:rsidR="00504F80" w:rsidRPr="00EE6B64" w:rsidRDefault="00504F80" w:rsidP="00237C22">
            <w:pPr>
              <w:pStyle w:val="BlockText"/>
            </w:pPr>
            <w:r w:rsidRPr="00EE6B64">
              <w:t>By Direction of the Under Secretary for Benefits</w:t>
            </w:r>
          </w:p>
        </w:tc>
      </w:tr>
    </w:tbl>
    <w:p w14:paraId="6140B9FC" w14:textId="77777777" w:rsidR="00504F80" w:rsidRPr="00EE6B64" w:rsidRDefault="00504F80" w:rsidP="00504F80">
      <w:pPr>
        <w:pStyle w:val="ContinuedOnNextPa"/>
      </w:pPr>
      <w:r w:rsidRPr="00EE6B64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EE6B64" w14:paraId="6140BA02" w14:textId="77777777" w:rsidTr="00237C22">
        <w:tc>
          <w:tcPr>
            <w:tcW w:w="1728" w:type="dxa"/>
          </w:tcPr>
          <w:p w14:paraId="6140B9FD" w14:textId="77777777" w:rsidR="00504F80" w:rsidRPr="00EE6B64" w:rsidRDefault="00504F80" w:rsidP="00237C22">
            <w:pPr>
              <w:pStyle w:val="Heading5"/>
              <w:rPr>
                <w:sz w:val="24"/>
              </w:rPr>
            </w:pPr>
            <w:r w:rsidRPr="00EE6B64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6140B9FE" w14:textId="77777777" w:rsidR="00504F80" w:rsidRPr="00EE6B64" w:rsidRDefault="00504F80" w:rsidP="00237C22">
            <w:pPr>
              <w:pStyle w:val="BlockText"/>
            </w:pPr>
          </w:p>
          <w:p w14:paraId="6140B9FF" w14:textId="77777777" w:rsidR="00504F80" w:rsidRPr="00EE6B64" w:rsidRDefault="00504F80" w:rsidP="00237C22">
            <w:pPr>
              <w:pStyle w:val="MemoLine"/>
              <w:ind w:left="-18" w:right="612"/>
            </w:pPr>
          </w:p>
          <w:p w14:paraId="6140BA00" w14:textId="77777777" w:rsidR="00504F80" w:rsidRPr="00EE6B64" w:rsidRDefault="00504F80" w:rsidP="00237C22">
            <w:pPr>
              <w:rPr>
                <w:szCs w:val="20"/>
              </w:rPr>
            </w:pPr>
            <w:r w:rsidRPr="00EE6B64">
              <w:t>Thomas J. Murphy, Director</w:t>
            </w:r>
          </w:p>
          <w:p w14:paraId="6140BA01" w14:textId="77777777" w:rsidR="00504F80" w:rsidRPr="00EE6B64" w:rsidRDefault="00504F80" w:rsidP="00237C22">
            <w:pPr>
              <w:pStyle w:val="BlockText"/>
            </w:pPr>
            <w:r w:rsidRPr="00EE6B64">
              <w:t>Compensation Service</w:t>
            </w:r>
          </w:p>
        </w:tc>
      </w:tr>
    </w:tbl>
    <w:p w14:paraId="6140BA03" w14:textId="77777777" w:rsidR="00504F80" w:rsidRPr="00EE6B64" w:rsidRDefault="00504F80" w:rsidP="00504F80">
      <w:pPr>
        <w:pStyle w:val="BlockLine"/>
      </w:pPr>
      <w:r w:rsidRPr="00EE6B64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EE6B64" w14:paraId="6140BA06" w14:textId="77777777" w:rsidTr="00237C22">
        <w:tc>
          <w:tcPr>
            <w:tcW w:w="1728" w:type="dxa"/>
          </w:tcPr>
          <w:p w14:paraId="6140BA04" w14:textId="77777777" w:rsidR="00504F80" w:rsidRPr="00EE6B64" w:rsidRDefault="00504F80" w:rsidP="00237C22">
            <w:pPr>
              <w:pStyle w:val="Heading5"/>
              <w:rPr>
                <w:sz w:val="24"/>
              </w:rPr>
            </w:pPr>
            <w:r w:rsidRPr="00EE6B64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6140BA05" w14:textId="77777777" w:rsidR="00504F80" w:rsidRPr="00EE6B64" w:rsidRDefault="00504F80" w:rsidP="00237C22">
            <w:pPr>
              <w:pStyle w:val="BlockText"/>
              <w:jc w:val="center"/>
            </w:pPr>
            <w:r w:rsidRPr="00EE6B64">
              <w:t>LOCAL REPRODUCTION AUTHORIZED</w:t>
            </w:r>
          </w:p>
        </w:tc>
      </w:tr>
    </w:tbl>
    <w:p w14:paraId="6140BA07" w14:textId="77777777" w:rsidR="00504F80" w:rsidRDefault="00504F80" w:rsidP="00504F80">
      <w:pPr>
        <w:pStyle w:val="BlockLine"/>
      </w:pPr>
      <w:r w:rsidRPr="00EE6B64">
        <w:fldChar w:fldCharType="begin">
          <w:fldData xml:space="preserve">RABvAGMAVABlAG0AcAAxAFYAYQByAFQAcgBhAGQAaQB0AGkAbwBuAGEAbAA=
</w:fldData>
        </w:fldChar>
      </w:r>
      <w:r w:rsidRPr="00EE6B64">
        <w:instrText xml:space="preserve"> ADDIN  \* MERGEFORMAT </w:instrText>
      </w:r>
      <w:r w:rsidRPr="00EE6B64">
        <w:fldChar w:fldCharType="end"/>
      </w:r>
      <w:r w:rsidRPr="00EE6B64">
        <w:fldChar w:fldCharType="begin">
          <w:fldData xml:space="preserve">RgBvAG4AdABTAGUAdABGAG8AbgB0AFMAZQB0AGkAbQBpAHMAdAB5AGwAZQBzAC4AeABtAGwA
</w:fldData>
        </w:fldChar>
      </w:r>
      <w:r w:rsidRPr="00EE6B64">
        <w:instrText xml:space="preserve"> ADDIN  \* MERGEFORMAT </w:instrText>
      </w:r>
      <w:r w:rsidRPr="00EE6B64">
        <w:fldChar w:fldCharType="end"/>
      </w:r>
      <w:r w:rsidRPr="00EE6B64">
        <w:fldChar w:fldCharType="begin">
          <w:fldData xml:space="preserve">RABvAGMAVABlAG0AcAAxAFYAYQByAFQAcgBhAGQAaQB0AGkAbwBuAGEAbAA=
</w:fldData>
        </w:fldChar>
      </w:r>
      <w:r w:rsidRPr="00EE6B64">
        <w:instrText xml:space="preserve"> ADDIN  \* MERGEFORMAT </w:instrText>
      </w:r>
      <w:r w:rsidRPr="00EE6B64">
        <w:fldChar w:fldCharType="end"/>
      </w:r>
      <w:r w:rsidRPr="00EE6B64">
        <w:fldChar w:fldCharType="begin">
          <w:fldData xml:space="preserve">RgBvAG4AdABTAGUAdABGAG8AbgB0AFMAZQB0AEYAbwBuAHQAUwBlAHQAaQBtAGkAcwB0AHkAbABl
AHMALgB4AG0AbAA=
</w:fldData>
        </w:fldChar>
      </w:r>
      <w:r w:rsidRPr="00EE6B64">
        <w:instrText xml:space="preserve"> ADDIN  \* MERGEFORMAT </w:instrText>
      </w:r>
      <w:r w:rsidRPr="00EE6B64">
        <w:fldChar w:fldCharType="end"/>
      </w:r>
      <w:r w:rsidRPr="00EE6B64">
        <w:fldChar w:fldCharType="begin">
          <w:fldData xml:space="preserve">RABvAGMAVABlAG0AcAAxAFYAYQByAFQAcgBhAGQAaQB0AGkAbwBuAGEAbAA=
</w:fldData>
        </w:fldChar>
      </w:r>
      <w:r w:rsidRPr="00EE6B64">
        <w:instrText xml:space="preserve"> ADDIN  \* MERGEFORMAT </w:instrText>
      </w:r>
      <w:r w:rsidRPr="00EE6B64">
        <w:fldChar w:fldCharType="end"/>
      </w:r>
      <w:r w:rsidRPr="00EE6B64">
        <w:fldChar w:fldCharType="begin">
          <w:fldData xml:space="preserve">RgBvAG4AdABTAGUAdABGAG8AbgB0AFMAZQB0AEYAbwBuAHQAUwBlAHQARgBvAG4AdABTAGUAdABp
AG0AaQBzAHQAeQBsAGUAcwAuAHgAbQBsAA==
</w:fldData>
        </w:fldChar>
      </w:r>
      <w:r w:rsidRPr="00EE6B64">
        <w:instrText xml:space="preserve"> ADDIN  \* MERGEFORMAT </w:instrText>
      </w:r>
      <w:r w:rsidRPr="00EE6B64">
        <w:fldChar w:fldCharType="end"/>
      </w:r>
      <w:r w:rsidRPr="00EE6B64">
        <w:fldChar w:fldCharType="begin">
          <w:fldData xml:space="preserve">RABvAGMAVABlAG0AcAAxAFYAYQByAFQAcgBhAGQAaQB0AGkAbwBuAGEAbAA=
</w:fldData>
        </w:fldChar>
      </w:r>
      <w:r w:rsidRPr="00EE6B64">
        <w:instrText xml:space="preserve"> ADDIN  \* MERGEFORMAT </w:instrText>
      </w:r>
      <w:r w:rsidRPr="00EE6B64">
        <w:fldChar w:fldCharType="end"/>
      </w:r>
      <w:r w:rsidRPr="00EE6B64"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Pr="00EE6B64">
        <w:instrText xml:space="preserve"> ADDIN  \* MERGEFORMAT </w:instrText>
      </w:r>
      <w:r w:rsidRPr="00EE6B64">
        <w:fldChar w:fldCharType="end"/>
      </w:r>
      <w:r w:rsidRPr="00EE6B64">
        <w:fldChar w:fldCharType="begin">
          <w:fldData xml:space="preserve">RABvAGMAVABlAG0AcAAxAFYAYQByAFQAcgBhAGQAaQB0AGkAbwBuAGEAbAA=
</w:fldData>
        </w:fldChar>
      </w:r>
      <w:r w:rsidRPr="00EE6B64">
        <w:instrText xml:space="preserve"> ADDIN  \* MERGEFORMAT </w:instrText>
      </w:r>
      <w:r w:rsidRPr="00EE6B64">
        <w:fldChar w:fldCharType="end"/>
      </w:r>
      <w:r w:rsidRPr="00EE6B64"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 w:rsidRPr="00EE6B64">
        <w:instrText xml:space="preserve"> ADDIN  \* MERGEFORMAT </w:instrText>
      </w:r>
      <w:r w:rsidRPr="00EE6B64">
        <w:fldChar w:fldCharType="end"/>
      </w:r>
      <w:r w:rsidRPr="00EE6B64">
        <w:fldChar w:fldCharType="begin">
          <w:fldData xml:space="preserve">RABvAGMAVABlAG0AcAAxAFYAYQByAFQAcgBhAGQAaQB0AGkAbwBuAGEAbAA=
</w:fldData>
        </w:fldChar>
      </w:r>
      <w:r w:rsidRPr="00EE6B64">
        <w:instrText xml:space="preserve"> ADDIN  \* MERGEFORMAT </w:instrText>
      </w:r>
      <w:r w:rsidRPr="00EE6B64">
        <w:fldChar w:fldCharType="end"/>
      </w:r>
      <w:r w:rsidRPr="00EE6B64"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 w:rsidRPr="00EE6B64">
        <w:instrText xml:space="preserve"> ADDIN  \* MERGEFORMAT </w:instrText>
      </w:r>
      <w:r w:rsidRPr="00EE6B64">
        <w:fldChar w:fldCharType="end"/>
      </w:r>
      <w:r w:rsidRPr="00EE6B64">
        <w:fldChar w:fldCharType="begin">
          <w:fldData xml:space="preserve">RABvAGMAVABlAG0AcAAxAFYAYQByAFQAcgBhAGQAaQB0AGkAbwBuAGEAbAA=
</w:fldData>
        </w:fldChar>
      </w:r>
      <w:r w:rsidRPr="00EE6B64">
        <w:instrText xml:space="preserve"> ADDIN  \* MERGEFORMAT </w:instrText>
      </w:r>
      <w:r w:rsidRPr="00EE6B64">
        <w:fldChar w:fldCharType="end"/>
      </w:r>
      <w:r w:rsidRPr="00EE6B64"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 w:rsidRPr="00EE6B64">
        <w:instrText xml:space="preserve"> ADDIN  \* MERGEFORMAT </w:instrText>
      </w:r>
      <w:r w:rsidRPr="00EE6B64">
        <w:fldChar w:fldCharType="end"/>
      </w:r>
      <w:r w:rsidRPr="00EE6B64">
        <w:fldChar w:fldCharType="begin">
          <w:fldData xml:space="preserve">RABvAGMAVABlAG0AcAAxAFYAYQByAFQAcgBhAGQAaQB0AGkAbwBuAGEAbAA=
</w:fldData>
        </w:fldChar>
      </w:r>
      <w:r w:rsidRPr="00EE6B64">
        <w:instrText xml:space="preserve"> ADDIN  \* MERGEFORMAT </w:instrText>
      </w:r>
      <w:r w:rsidRPr="00EE6B64">
        <w:fldChar w:fldCharType="end"/>
      </w:r>
      <w:r w:rsidRPr="00EE6B64"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 w:rsidRPr="00EE6B64">
        <w:instrText xml:space="preserve"> ADDIN  \* MERGEFORMAT </w:instrText>
      </w:r>
      <w:r w:rsidRPr="00EE6B64">
        <w:fldChar w:fldCharType="end"/>
      </w:r>
      <w:r w:rsidRPr="00EE6B64">
        <w:fldChar w:fldCharType="begin">
          <w:fldData xml:space="preserve">RABvAGMAVABlAG0AcAAxAFYAYQByAFQAcgBhAGQAaQB0AGkAbwBuAGEAbAA=
</w:fldData>
        </w:fldChar>
      </w:r>
      <w:r w:rsidRPr="00EE6B64">
        <w:instrText xml:space="preserve"> ADDIN  \* MERGEFORMAT </w:instrText>
      </w:r>
      <w:r w:rsidRPr="00EE6B64">
        <w:fldChar w:fldCharType="end"/>
      </w:r>
      <w:r w:rsidRPr="00EE6B64"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 w:rsidRPr="00EE6B64">
        <w:instrText xml:space="preserve"> ADDIN  \* MERGEFORMAT </w:instrText>
      </w:r>
      <w:r w:rsidRPr="00EE6B64">
        <w:fldChar w:fldCharType="end"/>
      </w:r>
      <w:r w:rsidRPr="00EE6B64">
        <w:fldChar w:fldCharType="begin">
          <w:fldData xml:space="preserve">RABvAGMAVABlAG0AcAAxAFYAYQByAFQAcgBhAGQAaQB0AGkAbwBuAGEAbAA=
</w:fldData>
        </w:fldChar>
      </w:r>
      <w:r w:rsidRPr="00EE6B64">
        <w:instrText xml:space="preserve"> ADDIN  \* MERGEFORMAT </w:instrText>
      </w:r>
      <w:r w:rsidRPr="00EE6B64">
        <w:fldChar w:fldCharType="end"/>
      </w:r>
      <w:r w:rsidRPr="00EE6B64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 w:rsidRPr="00EE6B64">
        <w:instrText xml:space="preserve"> ADDIN  \* MERGEFORMAT </w:instrText>
      </w:r>
      <w:r w:rsidRPr="00EE6B64">
        <w:fldChar w:fldCharType="end"/>
      </w:r>
      <w:r w:rsidRPr="00EE6B64">
        <w:fldChar w:fldCharType="begin">
          <w:fldData xml:space="preserve">RABvAGMAVABlAG0AcAAxAFYAYQByAFQAcgBhAGQAaQB0AGkAbwBuAGEAbAA=
</w:fldData>
        </w:fldChar>
      </w:r>
      <w:r w:rsidRPr="00EE6B64">
        <w:instrText xml:space="preserve"> ADDIN  \* MERGEFORMAT </w:instrText>
      </w:r>
      <w:r w:rsidRPr="00EE6B64">
        <w:fldChar w:fldCharType="end"/>
      </w:r>
      <w:r w:rsidRPr="00EE6B64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 w:rsidRPr="00EE6B64">
        <w:instrText xml:space="preserve"> ADDIN  \* MERGEFORMAT </w:instrText>
      </w:r>
      <w:r w:rsidRPr="00EE6B64">
        <w:fldChar w:fldCharType="end"/>
      </w:r>
      <w:bookmarkStart w:id="0" w:name="_GoBack"/>
      <w:bookmarkEnd w:id="0"/>
    </w:p>
    <w:p w14:paraId="6140BA08" w14:textId="68FEC6F7" w:rsidR="007D5B97" w:rsidRDefault="007D5B97"/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0BA0B" w14:textId="77777777" w:rsidR="007474A3" w:rsidRDefault="007474A3" w:rsidP="00C765C7">
      <w:r>
        <w:separator/>
      </w:r>
    </w:p>
  </w:endnote>
  <w:endnote w:type="continuationSeparator" w:id="0">
    <w:p w14:paraId="6140BA0C" w14:textId="77777777" w:rsidR="007474A3" w:rsidRDefault="007474A3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0BA0D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40BA0E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0BA0F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069D">
      <w:rPr>
        <w:rStyle w:val="PageNumber"/>
        <w:noProof/>
      </w:rPr>
      <w:t>i</w:t>
    </w:r>
    <w:r>
      <w:rPr>
        <w:rStyle w:val="PageNumber"/>
      </w:rPr>
      <w:fldChar w:fldCharType="end"/>
    </w:r>
  </w:p>
  <w:p w14:paraId="6140BA10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0BA09" w14:textId="77777777" w:rsidR="007474A3" w:rsidRDefault="007474A3" w:rsidP="00C765C7">
      <w:r>
        <w:separator/>
      </w:r>
    </w:p>
  </w:footnote>
  <w:footnote w:type="continuationSeparator" w:id="0">
    <w:p w14:paraId="6140BA0A" w14:textId="77777777" w:rsidR="007474A3" w:rsidRDefault="007474A3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6137F"/>
    <w:rsid w:val="00087761"/>
    <w:rsid w:val="00093228"/>
    <w:rsid w:val="000A7776"/>
    <w:rsid w:val="000B0E77"/>
    <w:rsid w:val="000B14E7"/>
    <w:rsid w:val="000B2BBE"/>
    <w:rsid w:val="000C49CB"/>
    <w:rsid w:val="00100433"/>
    <w:rsid w:val="0010215F"/>
    <w:rsid w:val="00106EEF"/>
    <w:rsid w:val="00123973"/>
    <w:rsid w:val="001253ED"/>
    <w:rsid w:val="00146BA7"/>
    <w:rsid w:val="00164CE8"/>
    <w:rsid w:val="00186D46"/>
    <w:rsid w:val="001A7FD3"/>
    <w:rsid w:val="001C3AE3"/>
    <w:rsid w:val="001C3EB5"/>
    <w:rsid w:val="002041BE"/>
    <w:rsid w:val="0022744B"/>
    <w:rsid w:val="00237C22"/>
    <w:rsid w:val="00240624"/>
    <w:rsid w:val="002741A5"/>
    <w:rsid w:val="002B7A7E"/>
    <w:rsid w:val="002E47E8"/>
    <w:rsid w:val="002F310F"/>
    <w:rsid w:val="002F5B21"/>
    <w:rsid w:val="002F7397"/>
    <w:rsid w:val="00325809"/>
    <w:rsid w:val="00332B80"/>
    <w:rsid w:val="00341981"/>
    <w:rsid w:val="00360FCA"/>
    <w:rsid w:val="00366D36"/>
    <w:rsid w:val="00375DCD"/>
    <w:rsid w:val="00386999"/>
    <w:rsid w:val="003B2927"/>
    <w:rsid w:val="003D47AF"/>
    <w:rsid w:val="003D4F63"/>
    <w:rsid w:val="003E2CA2"/>
    <w:rsid w:val="003F3021"/>
    <w:rsid w:val="003F6048"/>
    <w:rsid w:val="003F672A"/>
    <w:rsid w:val="00401EAD"/>
    <w:rsid w:val="0040351B"/>
    <w:rsid w:val="00406770"/>
    <w:rsid w:val="0041026E"/>
    <w:rsid w:val="00421403"/>
    <w:rsid w:val="00422836"/>
    <w:rsid w:val="00433233"/>
    <w:rsid w:val="00435BA5"/>
    <w:rsid w:val="00446276"/>
    <w:rsid w:val="004462EC"/>
    <w:rsid w:val="00450FD6"/>
    <w:rsid w:val="00455EF7"/>
    <w:rsid w:val="004562CC"/>
    <w:rsid w:val="00471ECA"/>
    <w:rsid w:val="00482FA3"/>
    <w:rsid w:val="0048559D"/>
    <w:rsid w:val="00494175"/>
    <w:rsid w:val="004F375E"/>
    <w:rsid w:val="00504F80"/>
    <w:rsid w:val="00506485"/>
    <w:rsid w:val="0050766F"/>
    <w:rsid w:val="00510120"/>
    <w:rsid w:val="00513DA7"/>
    <w:rsid w:val="00516C82"/>
    <w:rsid w:val="005353FA"/>
    <w:rsid w:val="00594258"/>
    <w:rsid w:val="005C01AC"/>
    <w:rsid w:val="005C2C58"/>
    <w:rsid w:val="005E4363"/>
    <w:rsid w:val="00600DC7"/>
    <w:rsid w:val="0062068D"/>
    <w:rsid w:val="006317AA"/>
    <w:rsid w:val="00641B22"/>
    <w:rsid w:val="006473C3"/>
    <w:rsid w:val="00661C5D"/>
    <w:rsid w:val="006708D7"/>
    <w:rsid w:val="006837E0"/>
    <w:rsid w:val="0069188C"/>
    <w:rsid w:val="006B6A8E"/>
    <w:rsid w:val="006B7262"/>
    <w:rsid w:val="006C3E5F"/>
    <w:rsid w:val="006C48FF"/>
    <w:rsid w:val="006D10E5"/>
    <w:rsid w:val="006D52FE"/>
    <w:rsid w:val="006F6D37"/>
    <w:rsid w:val="007062DF"/>
    <w:rsid w:val="00724248"/>
    <w:rsid w:val="00732186"/>
    <w:rsid w:val="00737049"/>
    <w:rsid w:val="007474A3"/>
    <w:rsid w:val="007A0C5F"/>
    <w:rsid w:val="007A46B7"/>
    <w:rsid w:val="007B29F0"/>
    <w:rsid w:val="007D5B97"/>
    <w:rsid w:val="007E5515"/>
    <w:rsid w:val="0080590C"/>
    <w:rsid w:val="00811419"/>
    <w:rsid w:val="008144E7"/>
    <w:rsid w:val="00822A16"/>
    <w:rsid w:val="00855FFF"/>
    <w:rsid w:val="0086475B"/>
    <w:rsid w:val="00875AFA"/>
    <w:rsid w:val="0088609E"/>
    <w:rsid w:val="008948A9"/>
    <w:rsid w:val="008B4CB5"/>
    <w:rsid w:val="008C723F"/>
    <w:rsid w:val="008D12C3"/>
    <w:rsid w:val="008D458B"/>
    <w:rsid w:val="008D69BA"/>
    <w:rsid w:val="008E22CF"/>
    <w:rsid w:val="008E3B67"/>
    <w:rsid w:val="008E3E25"/>
    <w:rsid w:val="008E5824"/>
    <w:rsid w:val="008E589A"/>
    <w:rsid w:val="008F14EA"/>
    <w:rsid w:val="008F1D5B"/>
    <w:rsid w:val="008F2E90"/>
    <w:rsid w:val="00916A00"/>
    <w:rsid w:val="00916AE6"/>
    <w:rsid w:val="00933BDB"/>
    <w:rsid w:val="00945950"/>
    <w:rsid w:val="0097069D"/>
    <w:rsid w:val="009769CD"/>
    <w:rsid w:val="00992905"/>
    <w:rsid w:val="00997D98"/>
    <w:rsid w:val="009C135C"/>
    <w:rsid w:val="009C5CEB"/>
    <w:rsid w:val="009D715B"/>
    <w:rsid w:val="009E6E1A"/>
    <w:rsid w:val="00A16786"/>
    <w:rsid w:val="00A315CB"/>
    <w:rsid w:val="00A3579D"/>
    <w:rsid w:val="00A55356"/>
    <w:rsid w:val="00A557BB"/>
    <w:rsid w:val="00A8520D"/>
    <w:rsid w:val="00A93952"/>
    <w:rsid w:val="00AC2993"/>
    <w:rsid w:val="00AE108C"/>
    <w:rsid w:val="00AF2CD6"/>
    <w:rsid w:val="00B30D2F"/>
    <w:rsid w:val="00B50AD7"/>
    <w:rsid w:val="00B540B6"/>
    <w:rsid w:val="00B64F2F"/>
    <w:rsid w:val="00B75418"/>
    <w:rsid w:val="00B93A3C"/>
    <w:rsid w:val="00B96287"/>
    <w:rsid w:val="00BB3345"/>
    <w:rsid w:val="00BF7FE3"/>
    <w:rsid w:val="00C24D50"/>
    <w:rsid w:val="00C36339"/>
    <w:rsid w:val="00C404E6"/>
    <w:rsid w:val="00C765C7"/>
    <w:rsid w:val="00CD2D08"/>
    <w:rsid w:val="00D1075E"/>
    <w:rsid w:val="00D33A6E"/>
    <w:rsid w:val="00D36508"/>
    <w:rsid w:val="00D51F92"/>
    <w:rsid w:val="00D57B91"/>
    <w:rsid w:val="00D61497"/>
    <w:rsid w:val="00D77146"/>
    <w:rsid w:val="00D823AF"/>
    <w:rsid w:val="00D82535"/>
    <w:rsid w:val="00D87741"/>
    <w:rsid w:val="00D90885"/>
    <w:rsid w:val="00D9207B"/>
    <w:rsid w:val="00DA11C2"/>
    <w:rsid w:val="00DB074F"/>
    <w:rsid w:val="00DB2902"/>
    <w:rsid w:val="00DB743E"/>
    <w:rsid w:val="00DE0E35"/>
    <w:rsid w:val="00DE3725"/>
    <w:rsid w:val="00DE3745"/>
    <w:rsid w:val="00DF44AC"/>
    <w:rsid w:val="00E051E9"/>
    <w:rsid w:val="00E2529E"/>
    <w:rsid w:val="00E36906"/>
    <w:rsid w:val="00E4615B"/>
    <w:rsid w:val="00E648E9"/>
    <w:rsid w:val="00E964FD"/>
    <w:rsid w:val="00ED4BEC"/>
    <w:rsid w:val="00ED4D5E"/>
    <w:rsid w:val="00EE4B5C"/>
    <w:rsid w:val="00EE6B64"/>
    <w:rsid w:val="00F006B2"/>
    <w:rsid w:val="00F07161"/>
    <w:rsid w:val="00F1004A"/>
    <w:rsid w:val="00F43DFA"/>
    <w:rsid w:val="00F87670"/>
    <w:rsid w:val="00F90609"/>
    <w:rsid w:val="00FB6AD1"/>
    <w:rsid w:val="00FC68A4"/>
    <w:rsid w:val="00FD0187"/>
    <w:rsid w:val="00FF26A6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0B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b438dcf7-3998-4283-b7fc-0ec6fa8e430f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524F90-4B86-4D08-A014-78863B686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261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47</cp:revision>
  <dcterms:created xsi:type="dcterms:W3CDTF">2014-09-03T17:13:00Z</dcterms:created>
  <dcterms:modified xsi:type="dcterms:W3CDTF">2015-04-20T13:21:00Z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