
<file path=[Content_Types].xml><?xml version="1.0" encoding="utf-8"?>
<Types xmlns="http://schemas.openxmlformats.org/package/2006/content-types">
  <Default Extension="bin" ContentType="application/vnd.ms-word.attachedToolbar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9B6" w:rsidRDefault="00A569B6" w:rsidP="00504F80">
      <w:pPr>
        <w:pStyle w:val="Heading4"/>
        <w:tabs>
          <w:tab w:val="left" w:pos="6840"/>
        </w:tabs>
        <w:spacing w:after="0"/>
        <w:ind w:right="-720"/>
        <w:rPr>
          <w:rFonts w:ascii="Times New Roman" w:hAnsi="Times New Roman"/>
          <w:sz w:val="20"/>
        </w:rPr>
      </w:pPr>
      <w:r>
        <w:rPr>
          <w:rFonts w:ascii="Times New Roman" w:hAnsi="Times New Roman"/>
          <w:sz w:val="20"/>
        </w:rPr>
        <w:t>Department of Veterans Affairs</w:t>
      </w:r>
      <w:r>
        <w:rPr>
          <w:rFonts w:ascii="Times New Roman" w:hAnsi="Times New Roman"/>
          <w:sz w:val="20"/>
        </w:rPr>
        <w:tab/>
        <w:t>M21-1MR, Part III, Subpart v</w:t>
      </w:r>
    </w:p>
    <w:p w:rsidR="00A569B6" w:rsidRDefault="00A569B6" w:rsidP="00504F80">
      <w:pPr>
        <w:rPr>
          <w:b/>
          <w:bCs/>
          <w:sz w:val="20"/>
        </w:rPr>
      </w:pPr>
      <w:r>
        <w:rPr>
          <w:b/>
          <w:bCs/>
          <w:sz w:val="20"/>
        </w:rPr>
        <w:t>Veterans Benefits Administration</w:t>
      </w:r>
      <w:r>
        <w:rPr>
          <w:b/>
          <w:bCs/>
          <w:sz w:val="20"/>
        </w:rPr>
        <w:tab/>
      </w:r>
      <w:r>
        <w:rPr>
          <w:b/>
          <w:bCs/>
          <w:sz w:val="20"/>
        </w:rPr>
        <w:tab/>
      </w:r>
      <w:r>
        <w:rPr>
          <w:b/>
          <w:bCs/>
          <w:sz w:val="20"/>
        </w:rPr>
        <w:tab/>
      </w:r>
      <w:r>
        <w:rPr>
          <w:b/>
          <w:bCs/>
          <w:sz w:val="20"/>
        </w:rPr>
        <w:tab/>
      </w:r>
      <w:r>
        <w:rPr>
          <w:b/>
          <w:bCs/>
          <w:sz w:val="20"/>
        </w:rPr>
        <w:tab/>
      </w:r>
      <w:r>
        <w:rPr>
          <w:b/>
          <w:bCs/>
          <w:sz w:val="20"/>
        </w:rPr>
        <w:tab/>
        <w:t xml:space="preserve">                                    May 3, 2012</w:t>
      </w:r>
      <w:r>
        <w:rPr>
          <w:b/>
          <w:bCs/>
          <w:sz w:val="20"/>
        </w:rPr>
        <w:tab/>
      </w:r>
    </w:p>
    <w:p w:rsidR="00A569B6" w:rsidRDefault="00A569B6" w:rsidP="00504F80">
      <w:pPr>
        <w:rPr>
          <w:b/>
          <w:bCs/>
          <w:sz w:val="20"/>
        </w:rPr>
      </w:pPr>
      <w:smartTag w:uri="urn:schemas-microsoft-com:office:smarttags" w:element="place">
        <w:smartTag w:uri="urn:schemas-microsoft-com:office:smarttags" w:element="City">
          <w:r>
            <w:rPr>
              <w:b/>
              <w:bCs/>
              <w:sz w:val="20"/>
            </w:rPr>
            <w:t>Washington</w:t>
          </w:r>
        </w:smartTag>
        <w:r>
          <w:rPr>
            <w:b/>
            <w:bCs/>
            <w:sz w:val="20"/>
          </w:rPr>
          <w:t xml:space="preserve">, </w:t>
        </w:r>
        <w:smartTag w:uri="urn:schemas-microsoft-com:office:smarttags" w:element="PostalCode">
          <w:r>
            <w:rPr>
              <w:b/>
              <w:bCs/>
              <w:sz w:val="20"/>
            </w:rPr>
            <w:t>DC</w:t>
          </w:r>
        </w:smartTag>
        <w:r>
          <w:rPr>
            <w:b/>
            <w:bCs/>
            <w:sz w:val="20"/>
          </w:rPr>
          <w:t xml:space="preserve">  </w:t>
        </w:r>
        <w:smartTag w:uri="urn:schemas-microsoft-com:office:smarttags" w:element="PostalCode">
          <w:r>
            <w:rPr>
              <w:b/>
              <w:bCs/>
              <w:sz w:val="20"/>
            </w:rPr>
            <w:t>20420</w:t>
          </w:r>
        </w:smartTag>
      </w:smartTag>
    </w:p>
    <w:p w:rsidR="00A569B6" w:rsidRDefault="00A569B6" w:rsidP="00504F80">
      <w:pPr>
        <w:rPr>
          <w:b/>
          <w:bCs/>
          <w:sz w:val="20"/>
        </w:rPr>
      </w:pPr>
    </w:p>
    <w:p w:rsidR="00A569B6" w:rsidRDefault="00A569B6" w:rsidP="00504F80">
      <w:pPr>
        <w:pStyle w:val="Heading4"/>
      </w:pPr>
      <w:r>
        <w:t xml:space="preserve">Transmittal Sheet </w:t>
      </w:r>
    </w:p>
    <w:p w:rsidR="00A569B6" w:rsidRDefault="00A569B6" w:rsidP="00504F80">
      <w:pPr>
        <w:pStyle w:val="BlockLine"/>
      </w:pPr>
      <w:r>
        <w:t xml:space="preserve"> </w:t>
      </w:r>
    </w:p>
    <w:tbl>
      <w:tblPr>
        <w:tblW w:w="9468" w:type="dxa"/>
        <w:tblLayout w:type="fixed"/>
        <w:tblLook w:val="0000"/>
      </w:tblPr>
      <w:tblGrid>
        <w:gridCol w:w="1728"/>
        <w:gridCol w:w="7740"/>
      </w:tblGrid>
      <w:tr w:rsidR="00A569B6" w:rsidRPr="00C24D50" w:rsidTr="00C24D50">
        <w:tc>
          <w:tcPr>
            <w:tcW w:w="1728" w:type="dxa"/>
          </w:tcPr>
          <w:p w:rsidR="00A569B6" w:rsidRDefault="00A569B6" w:rsidP="00237C22">
            <w:pPr>
              <w:pStyle w:val="Heading5"/>
            </w:pPr>
            <w:r>
              <w:t>Changes Included in This Revision</w:t>
            </w:r>
          </w:p>
        </w:tc>
        <w:tc>
          <w:tcPr>
            <w:tcW w:w="7740" w:type="dxa"/>
          </w:tcPr>
          <w:p w:rsidR="00A569B6" w:rsidRDefault="00A569B6" w:rsidP="00237C22">
            <w:pPr>
              <w:pStyle w:val="BlockText"/>
            </w:pPr>
            <w:r>
              <w:t>The table below describes the changes included in this revision of Veterans Benefits Manual M21-1MR, Part III, “General Claims Process,” Subpart v, “General Authorization Issues and Claimant Notification.”</w:t>
            </w:r>
          </w:p>
          <w:p w:rsidR="00A569B6" w:rsidRDefault="00A569B6" w:rsidP="00237C22">
            <w:pPr>
              <w:pStyle w:val="BulletText1"/>
              <w:numPr>
                <w:ilvl w:val="0"/>
                <w:numId w:val="0"/>
              </w:numPr>
              <w:rPr>
                <w:b/>
                <w:i/>
              </w:rPr>
            </w:pPr>
          </w:p>
          <w:p w:rsidR="00A569B6" w:rsidRDefault="00A569B6" w:rsidP="00237C22">
            <w:pPr>
              <w:pStyle w:val="BulletText1"/>
              <w:numPr>
                <w:ilvl w:val="0"/>
                <w:numId w:val="0"/>
              </w:numPr>
            </w:pPr>
            <w:r>
              <w:rPr>
                <w:b/>
                <w:i/>
              </w:rPr>
              <w:t>Notes</w:t>
            </w:r>
            <w:r>
              <w:t xml:space="preserve">:  </w:t>
            </w:r>
          </w:p>
          <w:p w:rsidR="00A569B6" w:rsidRDefault="00A569B6" w:rsidP="00997D98">
            <w:pPr>
              <w:pStyle w:val="BulletText1"/>
            </w:pPr>
            <w:r>
              <w:t xml:space="preserve">M21-1MR will retain some information related to the Benefits Delivery Network (BDN) until all master records are converted to VETSNET.  For information on VETSNET applications and input, consult the </w:t>
            </w:r>
            <w:hyperlink r:id="rId8" w:tooltip="http://10.220.1.10/vetsnet/User%20guide.htm" w:history="1">
              <w:r>
                <w:rPr>
                  <w:rStyle w:val="Hyperlink"/>
                </w:rPr>
                <w:t>VETSNET User Guides</w:t>
              </w:r>
            </w:hyperlink>
            <w:r>
              <w:t xml:space="preserve"> on the Compensation Service Intranet.</w:t>
            </w:r>
          </w:p>
          <w:p w:rsidR="00A569B6" w:rsidRDefault="00A569B6" w:rsidP="00237C22">
            <w:pPr>
              <w:pStyle w:val="BulletText1"/>
            </w:pPr>
            <w:r>
              <w:t>The term regional office (RO) also includes pension management center (PMC), where appropriate.</w:t>
            </w:r>
          </w:p>
          <w:p w:rsidR="00A569B6" w:rsidRDefault="00A569B6" w:rsidP="00237C22">
            <w:pPr>
              <w:pStyle w:val="BulletText1"/>
            </w:pPr>
            <w:r>
              <w:t>The term Veterans Service Center Manager (VSCM) also includes Pension Management Center Manager (PMCM), where appropriate.</w:t>
            </w:r>
          </w:p>
          <w:p w:rsidR="00A569B6" w:rsidRDefault="00A569B6" w:rsidP="00C24D50">
            <w:pPr>
              <w:pStyle w:val="BulletText1"/>
            </w:pPr>
            <w:r>
              <w:t xml:space="preserve">Minor editorial changes have also been made to </w:t>
            </w:r>
          </w:p>
          <w:p w:rsidR="00A569B6" w:rsidRDefault="00A569B6" w:rsidP="00237C22">
            <w:pPr>
              <w:pStyle w:val="BulletText2"/>
              <w:tabs>
                <w:tab w:val="num" w:pos="547"/>
              </w:tabs>
            </w:pPr>
            <w:r>
              <w:t>update incorrect or obsolete hyperlink references</w:t>
            </w:r>
          </w:p>
          <w:p w:rsidR="00A569B6" w:rsidRDefault="00A569B6" w:rsidP="00237C22">
            <w:pPr>
              <w:pStyle w:val="BulletText2"/>
              <w:tabs>
                <w:tab w:val="num" w:pos="547"/>
              </w:tabs>
            </w:pPr>
            <w:r>
              <w:t>update the term “veteran” to “Veteran”</w:t>
            </w:r>
          </w:p>
          <w:p w:rsidR="00A569B6" w:rsidRDefault="00A569B6" w:rsidP="00237C22">
            <w:pPr>
              <w:pStyle w:val="BulletText2"/>
              <w:tabs>
                <w:tab w:val="num" w:pos="547"/>
              </w:tabs>
            </w:pPr>
            <w:r>
              <w:t>update the term “notification letter” to “decision notice”</w:t>
            </w:r>
          </w:p>
          <w:p w:rsidR="00A569B6" w:rsidRDefault="00A569B6" w:rsidP="00237C22">
            <w:pPr>
              <w:pStyle w:val="BulletText2"/>
              <w:tabs>
                <w:tab w:val="num" w:pos="547"/>
              </w:tabs>
            </w:pPr>
            <w:r>
              <w:t>update obsolete terminology, where appropriate</w:t>
            </w:r>
          </w:p>
          <w:p w:rsidR="00A569B6" w:rsidRDefault="00A569B6" w:rsidP="00237C22">
            <w:pPr>
              <w:pStyle w:val="BulletText2"/>
              <w:tabs>
                <w:tab w:val="num" w:pos="547"/>
              </w:tabs>
            </w:pPr>
            <w:r>
              <w:t>update Topic headings to more accurately reflect their content</w:t>
            </w:r>
          </w:p>
          <w:p w:rsidR="00A569B6" w:rsidRDefault="00A569B6" w:rsidP="00237C22">
            <w:pPr>
              <w:pStyle w:val="BulletText2"/>
              <w:tabs>
                <w:tab w:val="num" w:pos="547"/>
              </w:tabs>
            </w:pPr>
            <w:r>
              <w:t xml:space="preserve">clarify Block labels and/or Block text, and </w:t>
            </w:r>
          </w:p>
          <w:p w:rsidR="00A569B6" w:rsidRPr="00EA3A57" w:rsidRDefault="00A569B6" w:rsidP="00237C22">
            <w:pPr>
              <w:pStyle w:val="BulletText2"/>
            </w:pPr>
            <w:r>
              <w:t>bring the documents into conformance with M21-1MR standards.</w:t>
            </w:r>
          </w:p>
        </w:tc>
      </w:tr>
    </w:tbl>
    <w:p w:rsidR="00A569B6" w:rsidRDefault="00A569B6" w:rsidP="00C24D50"/>
    <w:tbl>
      <w:tblPr>
        <w:tblW w:w="950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723"/>
        <w:gridCol w:w="2699"/>
        <w:gridCol w:w="1082"/>
      </w:tblGrid>
      <w:tr w:rsidR="00A569B6" w:rsidTr="00C24D50">
        <w:trPr>
          <w:trHeight w:val="180"/>
        </w:trPr>
        <w:tc>
          <w:tcPr>
            <w:tcW w:w="3011" w:type="pct"/>
          </w:tcPr>
          <w:p w:rsidR="00A569B6" w:rsidRPr="00C24D50" w:rsidRDefault="00A569B6" w:rsidP="002F7397">
            <w:pPr>
              <w:pStyle w:val="TableHeaderText"/>
            </w:pPr>
            <w:r w:rsidRPr="00C24D50">
              <w:t>Reason(s) for the Change</w:t>
            </w:r>
          </w:p>
        </w:tc>
        <w:tc>
          <w:tcPr>
            <w:tcW w:w="1420" w:type="pct"/>
          </w:tcPr>
          <w:p w:rsidR="00A569B6" w:rsidRPr="00C24D50" w:rsidRDefault="00A569B6" w:rsidP="002F7397">
            <w:pPr>
              <w:pStyle w:val="TableHeaderText"/>
            </w:pPr>
            <w:r w:rsidRPr="00C24D50">
              <w:t>Citation</w:t>
            </w:r>
          </w:p>
        </w:tc>
        <w:tc>
          <w:tcPr>
            <w:tcW w:w="569" w:type="pct"/>
          </w:tcPr>
          <w:p w:rsidR="00A569B6" w:rsidRDefault="00A569B6" w:rsidP="002F7397">
            <w:pPr>
              <w:pStyle w:val="TableHeaderText"/>
            </w:pPr>
            <w:r>
              <w:t>Page(s)</w:t>
            </w:r>
          </w:p>
        </w:tc>
      </w:tr>
      <w:tr w:rsidR="00A569B6" w:rsidTr="00C24D50">
        <w:trPr>
          <w:trHeight w:val="180"/>
        </w:trPr>
        <w:tc>
          <w:tcPr>
            <w:tcW w:w="3011" w:type="pct"/>
          </w:tcPr>
          <w:p w:rsidR="00A569B6" w:rsidRDefault="00A569B6" w:rsidP="005E55BA">
            <w:pPr>
              <w:pStyle w:val="TableText"/>
            </w:pPr>
            <w:r w:rsidRPr="009B0C1F">
              <w:t>Current version does not contain instructions to discontinue the apportionment pending further development when a Veteran’s award is reduced under 38 CFR 3.105(e).</w:t>
            </w:r>
          </w:p>
        </w:tc>
        <w:tc>
          <w:tcPr>
            <w:tcW w:w="1420" w:type="pct"/>
          </w:tcPr>
          <w:p w:rsidR="00A569B6" w:rsidRDefault="00A569B6" w:rsidP="0062704E">
            <w:pPr>
              <w:pStyle w:val="TableText"/>
            </w:pPr>
            <w:r>
              <w:t>M21-1MR, Part III, Subpart v, Chapter 3, Section B, Topic 5, Block b (III.v.3.B.5.b)</w:t>
            </w:r>
          </w:p>
        </w:tc>
        <w:tc>
          <w:tcPr>
            <w:tcW w:w="569" w:type="pct"/>
          </w:tcPr>
          <w:p w:rsidR="00A569B6" w:rsidRDefault="00A569B6" w:rsidP="0062704E">
            <w:pPr>
              <w:pStyle w:val="TableText"/>
            </w:pPr>
            <w:r>
              <w:t>3-B-3</w:t>
            </w:r>
          </w:p>
        </w:tc>
      </w:tr>
      <w:tr w:rsidR="00A569B6" w:rsidTr="00C24D50">
        <w:trPr>
          <w:trHeight w:val="180"/>
        </w:trPr>
        <w:tc>
          <w:tcPr>
            <w:tcW w:w="3011" w:type="pct"/>
          </w:tcPr>
          <w:p w:rsidR="00A569B6" w:rsidRDefault="00A569B6" w:rsidP="0062704E">
            <w:pPr>
              <w:pStyle w:val="TableText"/>
            </w:pPr>
            <w:r>
              <w:t>Moved the information in (old) III.v.3.B.5.e that applied only to awards in the Benefits Delivery Network (BDN) to a new block.</w:t>
            </w:r>
          </w:p>
        </w:tc>
        <w:tc>
          <w:tcPr>
            <w:tcW w:w="1420" w:type="pct"/>
          </w:tcPr>
          <w:p w:rsidR="00A569B6" w:rsidRDefault="00A569B6" w:rsidP="0062704E">
            <w:pPr>
              <w:pStyle w:val="TableText"/>
            </w:pPr>
            <w:r>
              <w:t>III.v.3.B.5.e</w:t>
            </w:r>
          </w:p>
        </w:tc>
        <w:tc>
          <w:tcPr>
            <w:tcW w:w="569" w:type="pct"/>
          </w:tcPr>
          <w:p w:rsidR="00A569B6" w:rsidRDefault="00A569B6" w:rsidP="0062704E">
            <w:pPr>
              <w:pStyle w:val="TableText"/>
            </w:pPr>
            <w:r>
              <w:t>3-B-4</w:t>
            </w:r>
          </w:p>
        </w:tc>
      </w:tr>
      <w:tr w:rsidR="00A569B6" w:rsidTr="00C24D50">
        <w:trPr>
          <w:trHeight w:val="180"/>
        </w:trPr>
        <w:tc>
          <w:tcPr>
            <w:tcW w:w="3011" w:type="pct"/>
          </w:tcPr>
          <w:p w:rsidR="00A569B6" w:rsidRDefault="00A569B6" w:rsidP="0062704E">
            <w:pPr>
              <w:pStyle w:val="TableText"/>
            </w:pPr>
            <w:r>
              <w:t>Added a block that contains instructions for discontinuing an apportionment (for the reasons set forth in III.v.3.B.5.e) in the Veterans Service Network (VETSNET).</w:t>
            </w:r>
          </w:p>
        </w:tc>
        <w:tc>
          <w:tcPr>
            <w:tcW w:w="1420" w:type="pct"/>
          </w:tcPr>
          <w:p w:rsidR="00A569B6" w:rsidRDefault="00A569B6" w:rsidP="0062704E">
            <w:pPr>
              <w:pStyle w:val="TableText"/>
            </w:pPr>
            <w:r>
              <w:t>III.v.3.B.5.f</w:t>
            </w:r>
          </w:p>
        </w:tc>
        <w:tc>
          <w:tcPr>
            <w:tcW w:w="569" w:type="pct"/>
          </w:tcPr>
          <w:p w:rsidR="00A569B6" w:rsidRDefault="00A569B6" w:rsidP="0062704E">
            <w:pPr>
              <w:pStyle w:val="TableText"/>
            </w:pPr>
            <w:r>
              <w:t>3-B-5</w:t>
            </w:r>
          </w:p>
        </w:tc>
      </w:tr>
      <w:tr w:rsidR="00A569B6" w:rsidTr="00C24D50">
        <w:trPr>
          <w:trHeight w:val="180"/>
        </w:trPr>
        <w:tc>
          <w:tcPr>
            <w:tcW w:w="3011" w:type="pct"/>
          </w:tcPr>
          <w:p w:rsidR="00A569B6" w:rsidRPr="00C24D50" w:rsidRDefault="00A569B6" w:rsidP="00672757">
            <w:pPr>
              <w:pStyle w:val="TableText"/>
            </w:pPr>
            <w:r>
              <w:t xml:space="preserve">Deleted the </w:t>
            </w:r>
            <w:r w:rsidRPr="00A00527">
              <w:rPr>
                <w:i/>
              </w:rPr>
              <w:t>Note</w:t>
            </w:r>
            <w:r>
              <w:t xml:space="preserve"> in this block, as it is misleading.  Furthermore, the verbiage quoted therein, ostensibly taken from VAOPGCPREC 74-90, cannot be found in that document.</w:t>
            </w:r>
          </w:p>
        </w:tc>
        <w:tc>
          <w:tcPr>
            <w:tcW w:w="1420" w:type="pct"/>
          </w:tcPr>
          <w:p w:rsidR="00A569B6" w:rsidRPr="00C24D50" w:rsidRDefault="00A569B6" w:rsidP="00672757">
            <w:pPr>
              <w:pStyle w:val="TableText"/>
            </w:pPr>
            <w:r>
              <w:t>III.v.3.B.5.g</w:t>
            </w:r>
          </w:p>
        </w:tc>
        <w:tc>
          <w:tcPr>
            <w:tcW w:w="569" w:type="pct"/>
          </w:tcPr>
          <w:p w:rsidR="00A569B6" w:rsidRDefault="00A569B6" w:rsidP="0062704E">
            <w:pPr>
              <w:pStyle w:val="TableText"/>
            </w:pPr>
            <w:r>
              <w:t>3-B-6</w:t>
            </w:r>
          </w:p>
        </w:tc>
      </w:tr>
    </w:tbl>
    <w:p w:rsidR="00A569B6" w:rsidRDefault="00A569B6" w:rsidP="00DD1FEE">
      <w:pPr>
        <w:pStyle w:val="ContinuedOnNextPa"/>
      </w:pPr>
      <w:r>
        <w:t>Continued on next page</w:t>
      </w:r>
    </w:p>
    <w:p w:rsidR="00A569B6" w:rsidRDefault="00A569B6" w:rsidP="00DD1FEE">
      <w:pPr>
        <w:pStyle w:val="MapTitleContinued"/>
        <w:rPr>
          <w:b w:val="0"/>
          <w:sz w:val="24"/>
        </w:rPr>
      </w:pPr>
      <w:r w:rsidRPr="00DD1FEE">
        <w:br w:type="page"/>
      </w:r>
      <w:fldSimple w:instr=" STYLEREF &quot;Map Title&quot; ">
        <w:r w:rsidRPr="00DD1FEE">
          <w:rPr>
            <w:noProof/>
          </w:rPr>
          <w:t>Transmittal Sheet</w:t>
        </w:r>
      </w:fldSimple>
      <w:r w:rsidRPr="00DD1FEE">
        <w:t xml:space="preserve">, </w:t>
      </w:r>
      <w:r w:rsidRPr="00DD1FEE">
        <w:rPr>
          <w:b w:val="0"/>
          <w:sz w:val="24"/>
        </w:rPr>
        <w:t>Continued</w:t>
      </w:r>
    </w:p>
    <w:p w:rsidR="00A569B6" w:rsidRDefault="00A569B6" w:rsidP="00DD1FEE">
      <w:pPr>
        <w:pStyle w:val="BlockLine"/>
      </w:pPr>
      <w:r>
        <w:t xml:space="preserve"> </w:t>
      </w:r>
    </w:p>
    <w:tbl>
      <w:tblPr>
        <w:tblW w:w="9320" w:type="dxa"/>
        <w:tblInd w:w="144" w:type="dxa"/>
        <w:tblLayout w:type="fixed"/>
        <w:tblLook w:val="0000"/>
      </w:tblPr>
      <w:tblGrid>
        <w:gridCol w:w="9320"/>
      </w:tblGrid>
      <w:tr w:rsidR="00A569B6" w:rsidTr="00DD1FEE">
        <w:tc>
          <w:tcPr>
            <w:tcW w:w="5000" w:type="pct"/>
          </w:tcPr>
          <w:p w:rsidR="00A569B6" w:rsidRDefault="00A569B6" w:rsidP="00DD1FEE">
            <w:pPr>
              <w:pStyle w:val="ContinuedTableLabe"/>
            </w:pPr>
            <w:fldSimple w:instr=" STYLEREF &quot;Block Label&quot; ">
              <w:r>
                <w:rPr>
                  <w:noProof/>
                </w:rPr>
                <w:t>Changes Included in This Revision</w:t>
              </w:r>
            </w:fldSimple>
            <w:r>
              <w:t xml:space="preserve"> </w:t>
            </w:r>
            <w:r w:rsidRPr="00DD1FEE">
              <w:rPr>
                <w:b w:val="0"/>
              </w:rPr>
              <w:t>(continued)</w:t>
            </w:r>
          </w:p>
        </w:tc>
      </w:tr>
    </w:tbl>
    <w:p w:rsidR="00A569B6" w:rsidRPr="00DD1FEE" w:rsidRDefault="00A569B6" w:rsidP="00DD1FEE"/>
    <w:tbl>
      <w:tblPr>
        <w:tblW w:w="950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723"/>
        <w:gridCol w:w="2699"/>
        <w:gridCol w:w="1082"/>
      </w:tblGrid>
      <w:tr w:rsidR="00A569B6" w:rsidTr="00DD1FEE">
        <w:tc>
          <w:tcPr>
            <w:tcW w:w="3011" w:type="pct"/>
          </w:tcPr>
          <w:p w:rsidR="00A569B6" w:rsidRPr="00C24D50" w:rsidRDefault="00A569B6" w:rsidP="00DD1FEE">
            <w:pPr>
              <w:pStyle w:val="TableHeaderText"/>
            </w:pPr>
            <w:r w:rsidRPr="00C24D50">
              <w:t>Reason(s) for the Change</w:t>
            </w:r>
          </w:p>
        </w:tc>
        <w:tc>
          <w:tcPr>
            <w:tcW w:w="1420" w:type="pct"/>
          </w:tcPr>
          <w:p w:rsidR="00A569B6" w:rsidRPr="00C24D50" w:rsidRDefault="00A569B6" w:rsidP="00DD1FEE">
            <w:pPr>
              <w:pStyle w:val="TableHeaderText"/>
            </w:pPr>
            <w:r w:rsidRPr="00C24D50">
              <w:t>Citation</w:t>
            </w:r>
          </w:p>
        </w:tc>
        <w:tc>
          <w:tcPr>
            <w:tcW w:w="569" w:type="pct"/>
          </w:tcPr>
          <w:p w:rsidR="00A569B6" w:rsidRDefault="00A569B6" w:rsidP="00DD1FEE">
            <w:pPr>
              <w:pStyle w:val="TableHeaderText"/>
            </w:pPr>
            <w:r>
              <w:t>Page(s)</w:t>
            </w:r>
          </w:p>
        </w:tc>
      </w:tr>
      <w:tr w:rsidR="00A569B6" w:rsidTr="00C24D50">
        <w:trPr>
          <w:trHeight w:val="180"/>
        </w:trPr>
        <w:tc>
          <w:tcPr>
            <w:tcW w:w="3011" w:type="pct"/>
          </w:tcPr>
          <w:p w:rsidR="00A569B6" w:rsidRPr="009B0C1F" w:rsidRDefault="00A569B6" w:rsidP="000F2CA2">
            <w:pPr>
              <w:pStyle w:val="TableText"/>
            </w:pPr>
            <w:r w:rsidRPr="009B0C1F">
              <w:t xml:space="preserve">Removed requirement (under </w:t>
            </w:r>
            <w:r w:rsidRPr="009B0C1F">
              <w:rPr>
                <w:i/>
              </w:rPr>
              <w:t>Exceptions</w:t>
            </w:r>
            <w:r w:rsidRPr="009B0C1F">
              <w:t>) to send notice of proposed adverse action to both the Veteran and apportionee when the Veteran notifies the Department of Veterans Affairs (VA) of a divorce or annulment.  In this situation, only the apportionee should receive notice of proposed adverse action.</w:t>
            </w:r>
          </w:p>
        </w:tc>
        <w:tc>
          <w:tcPr>
            <w:tcW w:w="1420" w:type="pct"/>
          </w:tcPr>
          <w:p w:rsidR="00A569B6" w:rsidRDefault="00A569B6" w:rsidP="000F2CA2">
            <w:pPr>
              <w:pStyle w:val="TableText"/>
            </w:pPr>
            <w:r>
              <w:t>III.v.3.B.5.h</w:t>
            </w:r>
          </w:p>
        </w:tc>
        <w:tc>
          <w:tcPr>
            <w:tcW w:w="569" w:type="pct"/>
          </w:tcPr>
          <w:p w:rsidR="00A569B6" w:rsidRDefault="00A569B6" w:rsidP="000F2CA2">
            <w:pPr>
              <w:pStyle w:val="TableText"/>
            </w:pPr>
            <w:r>
              <w:t>3-B-7</w:t>
            </w:r>
          </w:p>
        </w:tc>
      </w:tr>
      <w:tr w:rsidR="00A569B6" w:rsidTr="00C24D50">
        <w:trPr>
          <w:trHeight w:val="180"/>
        </w:trPr>
        <w:tc>
          <w:tcPr>
            <w:tcW w:w="3011" w:type="pct"/>
          </w:tcPr>
          <w:p w:rsidR="00A569B6" w:rsidRPr="009B0C1F" w:rsidRDefault="00A569B6" w:rsidP="003B12C0">
            <w:pPr>
              <w:pStyle w:val="TableText"/>
            </w:pPr>
            <w:r w:rsidRPr="009B0C1F">
              <w:t>Specified that the legal opinion referenced in this block should be requested from Regional C</w:t>
            </w:r>
            <w:r>
              <w:t>ounsel</w:t>
            </w:r>
            <w:r w:rsidRPr="009B0C1F">
              <w:t>.</w:t>
            </w:r>
          </w:p>
        </w:tc>
        <w:tc>
          <w:tcPr>
            <w:tcW w:w="1420" w:type="pct"/>
          </w:tcPr>
          <w:p w:rsidR="00A569B6" w:rsidRDefault="00A569B6" w:rsidP="00653539">
            <w:pPr>
              <w:pStyle w:val="TableText"/>
            </w:pPr>
            <w:r>
              <w:t>III.v.3.B.6.d</w:t>
            </w:r>
          </w:p>
        </w:tc>
        <w:tc>
          <w:tcPr>
            <w:tcW w:w="569" w:type="pct"/>
          </w:tcPr>
          <w:p w:rsidR="00A569B6" w:rsidRDefault="00A569B6" w:rsidP="00653539">
            <w:pPr>
              <w:pStyle w:val="TableText"/>
            </w:pPr>
            <w:r>
              <w:t>3-B-13</w:t>
            </w:r>
          </w:p>
        </w:tc>
      </w:tr>
      <w:tr w:rsidR="00A569B6" w:rsidTr="00C24D50">
        <w:trPr>
          <w:trHeight w:val="180"/>
        </w:trPr>
        <w:tc>
          <w:tcPr>
            <w:tcW w:w="3011" w:type="pct"/>
          </w:tcPr>
          <w:p w:rsidR="00A569B6" w:rsidRDefault="00A569B6" w:rsidP="007F50B8">
            <w:pPr>
              <w:pStyle w:val="BulletText1"/>
            </w:pPr>
            <w:r>
              <w:t>Consolidated (old) III.v.3.B.7.b and c.</w:t>
            </w:r>
          </w:p>
          <w:p w:rsidR="00A569B6" w:rsidRDefault="00A569B6" w:rsidP="007F50B8">
            <w:pPr>
              <w:pStyle w:val="BulletText1"/>
            </w:pPr>
            <w:r>
              <w:t>Added instructions for discontinuing a deceased apportionee’s award in VETSNET.</w:t>
            </w:r>
          </w:p>
        </w:tc>
        <w:tc>
          <w:tcPr>
            <w:tcW w:w="1420" w:type="pct"/>
          </w:tcPr>
          <w:p w:rsidR="00A569B6" w:rsidRDefault="00A569B6" w:rsidP="00653539">
            <w:pPr>
              <w:pStyle w:val="TableText"/>
            </w:pPr>
            <w:r>
              <w:t>III.v.3.B.7.b</w:t>
            </w:r>
          </w:p>
        </w:tc>
        <w:tc>
          <w:tcPr>
            <w:tcW w:w="569" w:type="pct"/>
          </w:tcPr>
          <w:p w:rsidR="00A569B6" w:rsidRDefault="00A569B6" w:rsidP="00653539">
            <w:pPr>
              <w:pStyle w:val="TableText"/>
            </w:pPr>
            <w:r>
              <w:t>3-B-16</w:t>
            </w:r>
          </w:p>
        </w:tc>
      </w:tr>
      <w:tr w:rsidR="00A569B6" w:rsidTr="00C24D50">
        <w:trPr>
          <w:trHeight w:val="180"/>
        </w:trPr>
        <w:tc>
          <w:tcPr>
            <w:tcW w:w="3011" w:type="pct"/>
          </w:tcPr>
          <w:p w:rsidR="00A569B6" w:rsidRDefault="00A569B6" w:rsidP="00B76D05">
            <w:pPr>
              <w:pStyle w:val="TableText"/>
            </w:pPr>
            <w:r>
              <w:t>Added a block containing</w:t>
            </w:r>
          </w:p>
          <w:p w:rsidR="00A569B6" w:rsidRDefault="00A569B6" w:rsidP="00B76D05">
            <w:pPr>
              <w:pStyle w:val="BulletText1"/>
            </w:pPr>
            <w:r>
              <w:t xml:space="preserve">the </w:t>
            </w:r>
            <w:r w:rsidRPr="00653539">
              <w:rPr>
                <w:i/>
              </w:rPr>
              <w:t>Note</w:t>
            </w:r>
            <w:r>
              <w:t xml:space="preserve"> that was previously located under the table in III.v.3.B.8.b</w:t>
            </w:r>
          </w:p>
          <w:p w:rsidR="00A569B6" w:rsidRDefault="00A569B6" w:rsidP="00B76D05">
            <w:pPr>
              <w:pStyle w:val="BulletText1"/>
            </w:pPr>
            <w:r>
              <w:t>exceptions to the instructions contained in this block (from III.iii.5.F.36), and</w:t>
            </w:r>
          </w:p>
          <w:p w:rsidR="00A569B6" w:rsidRDefault="00A569B6" w:rsidP="00B76D05">
            <w:pPr>
              <w:pStyle w:val="BulletText1"/>
            </w:pPr>
            <w:r>
              <w:t>an explanation of the end-of-month rule.</w:t>
            </w:r>
          </w:p>
        </w:tc>
        <w:tc>
          <w:tcPr>
            <w:tcW w:w="1420" w:type="pct"/>
          </w:tcPr>
          <w:p w:rsidR="00A569B6" w:rsidRDefault="00A569B6" w:rsidP="00B76D05">
            <w:pPr>
              <w:pStyle w:val="TableText"/>
            </w:pPr>
            <w:r>
              <w:t>III.v.3.B.8.a</w:t>
            </w:r>
          </w:p>
        </w:tc>
        <w:tc>
          <w:tcPr>
            <w:tcW w:w="569" w:type="pct"/>
          </w:tcPr>
          <w:p w:rsidR="00A569B6" w:rsidRDefault="00A569B6" w:rsidP="00653539">
            <w:pPr>
              <w:pStyle w:val="TableText"/>
            </w:pPr>
            <w:r>
              <w:t>3-B-19</w:t>
            </w:r>
          </w:p>
        </w:tc>
      </w:tr>
      <w:tr w:rsidR="00A569B6" w:rsidTr="00C24D50">
        <w:trPr>
          <w:trHeight w:val="180"/>
        </w:trPr>
        <w:tc>
          <w:tcPr>
            <w:tcW w:w="3011" w:type="pct"/>
          </w:tcPr>
          <w:p w:rsidR="00A569B6" w:rsidRPr="00434516" w:rsidRDefault="00A569B6" w:rsidP="0052495B">
            <w:pPr>
              <w:pStyle w:val="TableText"/>
            </w:pPr>
            <w:r w:rsidRPr="00434516">
              <w:t>The table in (old) III.v.3.B.8.b did not contain instructions for choosing an effective date for discontinuing an apportionment and removing a school child from a primary beneficiary’s award when the child stops attending school.</w:t>
            </w:r>
          </w:p>
        </w:tc>
        <w:tc>
          <w:tcPr>
            <w:tcW w:w="1420" w:type="pct"/>
          </w:tcPr>
          <w:p w:rsidR="00A569B6" w:rsidRPr="00434516" w:rsidRDefault="00A569B6" w:rsidP="00B76D05">
            <w:pPr>
              <w:pStyle w:val="TableText"/>
            </w:pPr>
            <w:r w:rsidRPr="00434516">
              <w:t>III.v.3.B.8.b</w:t>
            </w:r>
          </w:p>
        </w:tc>
        <w:tc>
          <w:tcPr>
            <w:tcW w:w="569" w:type="pct"/>
          </w:tcPr>
          <w:p w:rsidR="00A569B6" w:rsidRPr="00434516" w:rsidRDefault="00A569B6" w:rsidP="00653539">
            <w:pPr>
              <w:pStyle w:val="TableText"/>
            </w:pPr>
            <w:r w:rsidRPr="00434516">
              <w:t>3-B-2</w:t>
            </w:r>
            <w:r>
              <w:t>0</w:t>
            </w:r>
          </w:p>
        </w:tc>
      </w:tr>
      <w:tr w:rsidR="00A569B6" w:rsidTr="00C24D50">
        <w:trPr>
          <w:trHeight w:val="180"/>
        </w:trPr>
        <w:tc>
          <w:tcPr>
            <w:tcW w:w="3011" w:type="pct"/>
          </w:tcPr>
          <w:p w:rsidR="00A569B6" w:rsidRPr="00434516" w:rsidRDefault="00A569B6" w:rsidP="00956D96">
            <w:pPr>
              <w:pStyle w:val="BulletText1"/>
            </w:pPr>
            <w:r w:rsidRPr="00434516">
              <w:t>Removed reference to “facts found” in this block, as its meaning is unclear in the context of Topic 8.</w:t>
            </w:r>
          </w:p>
          <w:p w:rsidR="00A569B6" w:rsidRPr="00434516" w:rsidRDefault="00A569B6" w:rsidP="00956D96">
            <w:pPr>
              <w:pStyle w:val="BulletText1"/>
            </w:pPr>
            <w:r w:rsidRPr="00434516">
              <w:t>Added an exception to the rule expressed in Step 1 (per VAOPGCPREC 74-90).</w:t>
            </w:r>
          </w:p>
        </w:tc>
        <w:tc>
          <w:tcPr>
            <w:tcW w:w="1420" w:type="pct"/>
          </w:tcPr>
          <w:p w:rsidR="00A569B6" w:rsidRPr="00434516" w:rsidRDefault="00A569B6" w:rsidP="00A201C6">
            <w:pPr>
              <w:pStyle w:val="TableText"/>
            </w:pPr>
            <w:r w:rsidRPr="00434516">
              <w:t>III.v.3.B.8.d</w:t>
            </w:r>
          </w:p>
        </w:tc>
        <w:tc>
          <w:tcPr>
            <w:tcW w:w="569" w:type="pct"/>
          </w:tcPr>
          <w:p w:rsidR="00A569B6" w:rsidRPr="00434516" w:rsidRDefault="00A569B6" w:rsidP="002F7397">
            <w:pPr>
              <w:pStyle w:val="TableText"/>
            </w:pPr>
            <w:r w:rsidRPr="00434516">
              <w:t>3-B-2</w:t>
            </w:r>
            <w:r>
              <w:t>2</w:t>
            </w:r>
          </w:p>
        </w:tc>
      </w:tr>
      <w:tr w:rsidR="00A569B6" w:rsidTr="00C24D50">
        <w:trPr>
          <w:trHeight w:val="180"/>
        </w:trPr>
        <w:tc>
          <w:tcPr>
            <w:tcW w:w="3011" w:type="pct"/>
          </w:tcPr>
          <w:p w:rsidR="00A569B6" w:rsidRPr="00434516" w:rsidRDefault="00A569B6" w:rsidP="005A2724">
            <w:pPr>
              <w:pStyle w:val="TableText"/>
            </w:pPr>
            <w:r w:rsidRPr="00434516">
              <w:t>Added a block containing instructions for adjusting a VETSNET award to reflect the loss of a child-apportionee.</w:t>
            </w:r>
          </w:p>
        </w:tc>
        <w:tc>
          <w:tcPr>
            <w:tcW w:w="1420" w:type="pct"/>
          </w:tcPr>
          <w:p w:rsidR="00A569B6" w:rsidRPr="00434516" w:rsidRDefault="00A569B6" w:rsidP="005A2724">
            <w:pPr>
              <w:pStyle w:val="TableText"/>
            </w:pPr>
            <w:r w:rsidRPr="00434516">
              <w:t>III.v.3.B.8.e</w:t>
            </w:r>
          </w:p>
        </w:tc>
        <w:tc>
          <w:tcPr>
            <w:tcW w:w="569" w:type="pct"/>
          </w:tcPr>
          <w:p w:rsidR="00A569B6" w:rsidRPr="00434516" w:rsidRDefault="00A569B6" w:rsidP="005A2724">
            <w:pPr>
              <w:pStyle w:val="TableText"/>
            </w:pPr>
            <w:r>
              <w:t>3-B-23</w:t>
            </w:r>
          </w:p>
        </w:tc>
      </w:tr>
      <w:tr w:rsidR="00A569B6" w:rsidTr="00C24D50">
        <w:trPr>
          <w:trHeight w:val="180"/>
        </w:trPr>
        <w:tc>
          <w:tcPr>
            <w:tcW w:w="3011" w:type="pct"/>
          </w:tcPr>
          <w:p w:rsidR="00A569B6" w:rsidRPr="00434516" w:rsidRDefault="00A569B6" w:rsidP="00D51059">
            <w:pPr>
              <w:pStyle w:val="TableText"/>
            </w:pPr>
            <w:r w:rsidRPr="00434516">
              <w:t>Updated dates and rates of payment.</w:t>
            </w:r>
          </w:p>
        </w:tc>
        <w:tc>
          <w:tcPr>
            <w:tcW w:w="1420" w:type="pct"/>
          </w:tcPr>
          <w:p w:rsidR="00A569B6" w:rsidRPr="00434516" w:rsidRDefault="00A569B6" w:rsidP="002F7397">
            <w:pPr>
              <w:pStyle w:val="TableText"/>
            </w:pPr>
            <w:r w:rsidRPr="00434516">
              <w:t>III.v.3.B.8.f</w:t>
            </w:r>
          </w:p>
        </w:tc>
        <w:tc>
          <w:tcPr>
            <w:tcW w:w="569" w:type="pct"/>
          </w:tcPr>
          <w:p w:rsidR="00A569B6" w:rsidRPr="00434516" w:rsidRDefault="00A569B6" w:rsidP="002F7397">
            <w:pPr>
              <w:pStyle w:val="TableText"/>
            </w:pPr>
            <w:r w:rsidRPr="00434516">
              <w:t>3-B-2</w:t>
            </w:r>
            <w:r>
              <w:t>4</w:t>
            </w:r>
          </w:p>
        </w:tc>
      </w:tr>
    </w:tbl>
    <w:p w:rsidR="00A569B6" w:rsidRDefault="00A569B6" w:rsidP="00DD1FEE">
      <w:pPr>
        <w:pStyle w:val="ContinuedOnNextPa"/>
      </w:pPr>
      <w:r>
        <w:t>Continued on next page</w:t>
      </w:r>
    </w:p>
    <w:p w:rsidR="00A569B6" w:rsidRDefault="00A569B6" w:rsidP="00DD1FEE">
      <w:pPr>
        <w:pStyle w:val="MapTitleContinued"/>
        <w:rPr>
          <w:b w:val="0"/>
          <w:sz w:val="24"/>
        </w:rPr>
      </w:pPr>
      <w:r w:rsidRPr="00DD1FEE">
        <w:br w:type="page"/>
      </w:r>
      <w:fldSimple w:instr=" STYLEREF &quot;Map Title&quot; ">
        <w:r w:rsidRPr="00DD1FEE">
          <w:rPr>
            <w:noProof/>
          </w:rPr>
          <w:t>Transmittal Sheet</w:t>
        </w:r>
      </w:fldSimple>
      <w:r w:rsidRPr="00DD1FEE">
        <w:t xml:space="preserve">, </w:t>
      </w:r>
      <w:r w:rsidRPr="00DD1FEE">
        <w:rPr>
          <w:b w:val="0"/>
          <w:sz w:val="24"/>
        </w:rPr>
        <w:t>Continued</w:t>
      </w:r>
    </w:p>
    <w:p w:rsidR="00A569B6" w:rsidRDefault="00A569B6" w:rsidP="00DD1FEE">
      <w:pPr>
        <w:pStyle w:val="BlockLine"/>
      </w:pPr>
      <w:r>
        <w:t xml:space="preserve"> </w:t>
      </w:r>
    </w:p>
    <w:tbl>
      <w:tblPr>
        <w:tblW w:w="9320" w:type="dxa"/>
        <w:tblInd w:w="144" w:type="dxa"/>
        <w:tblLayout w:type="fixed"/>
        <w:tblLook w:val="0000"/>
      </w:tblPr>
      <w:tblGrid>
        <w:gridCol w:w="9320"/>
      </w:tblGrid>
      <w:tr w:rsidR="00A569B6" w:rsidTr="00DD1FEE">
        <w:tc>
          <w:tcPr>
            <w:tcW w:w="5000" w:type="pct"/>
          </w:tcPr>
          <w:p w:rsidR="00A569B6" w:rsidRDefault="00A569B6" w:rsidP="00DD1FEE">
            <w:pPr>
              <w:pStyle w:val="ContinuedTableLabe"/>
            </w:pPr>
            <w:fldSimple w:instr=" STYLEREF &quot;Block Label&quot; ">
              <w:r>
                <w:rPr>
                  <w:noProof/>
                </w:rPr>
                <w:t>Changes Included in This Revision</w:t>
              </w:r>
            </w:fldSimple>
            <w:r>
              <w:t xml:space="preserve"> </w:t>
            </w:r>
            <w:r w:rsidRPr="00DD1FEE">
              <w:rPr>
                <w:b w:val="0"/>
              </w:rPr>
              <w:t>(continued)</w:t>
            </w:r>
          </w:p>
        </w:tc>
      </w:tr>
    </w:tbl>
    <w:p w:rsidR="00A569B6" w:rsidRPr="00DD1FEE" w:rsidRDefault="00A569B6" w:rsidP="00DD1FEE"/>
    <w:tbl>
      <w:tblPr>
        <w:tblW w:w="950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723"/>
        <w:gridCol w:w="2699"/>
        <w:gridCol w:w="1082"/>
      </w:tblGrid>
      <w:tr w:rsidR="00A569B6" w:rsidTr="00DD1FEE">
        <w:tc>
          <w:tcPr>
            <w:tcW w:w="3011" w:type="pct"/>
          </w:tcPr>
          <w:p w:rsidR="00A569B6" w:rsidRPr="00C24D50" w:rsidRDefault="00A569B6" w:rsidP="00DD1FEE">
            <w:pPr>
              <w:pStyle w:val="TableHeaderText"/>
            </w:pPr>
            <w:r w:rsidRPr="00C24D50">
              <w:t>Reason(s) for the Change</w:t>
            </w:r>
          </w:p>
        </w:tc>
        <w:tc>
          <w:tcPr>
            <w:tcW w:w="1420" w:type="pct"/>
          </w:tcPr>
          <w:p w:rsidR="00A569B6" w:rsidRPr="00C24D50" w:rsidRDefault="00A569B6" w:rsidP="00DD1FEE">
            <w:pPr>
              <w:pStyle w:val="TableHeaderText"/>
            </w:pPr>
            <w:r w:rsidRPr="00C24D50">
              <w:t>Citation</w:t>
            </w:r>
          </w:p>
        </w:tc>
        <w:tc>
          <w:tcPr>
            <w:tcW w:w="569" w:type="pct"/>
          </w:tcPr>
          <w:p w:rsidR="00A569B6" w:rsidRDefault="00A569B6" w:rsidP="00DD1FEE">
            <w:pPr>
              <w:pStyle w:val="TableHeaderText"/>
            </w:pPr>
            <w:r>
              <w:t>Page(s)</w:t>
            </w:r>
          </w:p>
        </w:tc>
      </w:tr>
      <w:tr w:rsidR="00A569B6" w:rsidTr="000D4CB6">
        <w:tc>
          <w:tcPr>
            <w:tcW w:w="3011" w:type="pct"/>
          </w:tcPr>
          <w:p w:rsidR="00A569B6" w:rsidRPr="00434516" w:rsidRDefault="00A569B6" w:rsidP="002D4EA0">
            <w:pPr>
              <w:pStyle w:val="TableText"/>
              <w:rPr>
                <w:color w:val="auto"/>
              </w:rPr>
            </w:pPr>
            <w:r w:rsidRPr="00434516">
              <w:t xml:space="preserve">The </w:t>
            </w:r>
            <w:r w:rsidRPr="00434516">
              <w:rPr>
                <w:i/>
              </w:rPr>
              <w:t>Exception</w:t>
            </w:r>
            <w:r w:rsidRPr="00434516">
              <w:t xml:space="preserve"> noted in the second row of the table in (old) III.v.3.B.8.b has been deleted because it applies only to apportionments of Dependency and Indemnity Compensation (DIC) in BDN. (In VETSNET, the adjustment of a surviving spouse’s award to reflect the loss of an out-of-custody child is unnecessary.)  Examples of the adjustment of a surviving spouse’s award and an out-of-custody child’s apportionment in BDN, as found in (old) III.v.3.B.8.f, g, and j, were deleted for the same reason.  These blocks were replaced with a new block that discusses how apportionments of DIC to an out-of-custody child differ from the other apportionments discussed in III.v.3.</w:t>
            </w:r>
          </w:p>
        </w:tc>
        <w:tc>
          <w:tcPr>
            <w:tcW w:w="1420" w:type="pct"/>
          </w:tcPr>
          <w:p w:rsidR="00A569B6" w:rsidRPr="00434516" w:rsidRDefault="00A569B6" w:rsidP="002D4EA0">
            <w:pPr>
              <w:pStyle w:val="TableText"/>
            </w:pPr>
            <w:r w:rsidRPr="00434516">
              <w:t>III.v.3.B.8.g</w:t>
            </w:r>
          </w:p>
        </w:tc>
        <w:tc>
          <w:tcPr>
            <w:tcW w:w="569" w:type="pct"/>
          </w:tcPr>
          <w:p w:rsidR="00A569B6" w:rsidRPr="00434516" w:rsidRDefault="00A569B6" w:rsidP="002D4EA0">
            <w:pPr>
              <w:pStyle w:val="TableText"/>
            </w:pPr>
            <w:r w:rsidRPr="00434516">
              <w:t>3-B-2</w:t>
            </w:r>
            <w:r>
              <w:t>5</w:t>
            </w:r>
          </w:p>
        </w:tc>
      </w:tr>
      <w:tr w:rsidR="00A569B6" w:rsidTr="000D4CB6">
        <w:tc>
          <w:tcPr>
            <w:tcW w:w="3011" w:type="pct"/>
          </w:tcPr>
          <w:p w:rsidR="00A569B6" w:rsidRPr="00C24D50" w:rsidRDefault="00A569B6" w:rsidP="005F002D">
            <w:pPr>
              <w:pStyle w:val="TableText"/>
            </w:pPr>
            <w:r>
              <w:t>Deleted (old) III.v.3.B.5.a, as it essentially mirrors the introductory block of Topic 5.</w:t>
            </w:r>
          </w:p>
        </w:tc>
        <w:tc>
          <w:tcPr>
            <w:tcW w:w="1420" w:type="pct"/>
          </w:tcPr>
          <w:p w:rsidR="00A569B6" w:rsidRPr="00C24D50" w:rsidRDefault="00A569B6" w:rsidP="005F002D">
            <w:pPr>
              <w:pStyle w:val="TableText"/>
              <w:jc w:val="center"/>
            </w:pPr>
            <w:r>
              <w:t>---</w:t>
            </w:r>
          </w:p>
        </w:tc>
        <w:tc>
          <w:tcPr>
            <w:tcW w:w="569" w:type="pct"/>
          </w:tcPr>
          <w:p w:rsidR="00A569B6" w:rsidRDefault="00A569B6" w:rsidP="005F002D">
            <w:pPr>
              <w:pStyle w:val="TableText"/>
              <w:jc w:val="center"/>
            </w:pPr>
            <w:r>
              <w:t>---</w:t>
            </w:r>
          </w:p>
        </w:tc>
      </w:tr>
      <w:tr w:rsidR="00A569B6" w:rsidTr="000D4CB6">
        <w:tc>
          <w:tcPr>
            <w:tcW w:w="3011" w:type="pct"/>
          </w:tcPr>
          <w:p w:rsidR="00A569B6" w:rsidRPr="009B0C1F" w:rsidRDefault="00A569B6" w:rsidP="005F002D">
            <w:pPr>
              <w:pStyle w:val="TableText"/>
            </w:pPr>
            <w:r w:rsidRPr="009B0C1F">
              <w:t>Deleted (old) III.v.3.B.5.h, as it merely restates what is explained in greater detail throughout this section.</w:t>
            </w:r>
          </w:p>
        </w:tc>
        <w:tc>
          <w:tcPr>
            <w:tcW w:w="1420" w:type="pct"/>
          </w:tcPr>
          <w:p w:rsidR="00A569B6" w:rsidRDefault="00A569B6" w:rsidP="005F002D">
            <w:pPr>
              <w:pStyle w:val="TableText"/>
              <w:jc w:val="center"/>
            </w:pPr>
            <w:r>
              <w:t>---</w:t>
            </w:r>
          </w:p>
        </w:tc>
        <w:tc>
          <w:tcPr>
            <w:tcW w:w="569" w:type="pct"/>
          </w:tcPr>
          <w:p w:rsidR="00A569B6" w:rsidRDefault="00A569B6" w:rsidP="005F002D">
            <w:pPr>
              <w:pStyle w:val="TableText"/>
              <w:jc w:val="center"/>
            </w:pPr>
            <w:r>
              <w:t>---</w:t>
            </w:r>
          </w:p>
        </w:tc>
      </w:tr>
      <w:tr w:rsidR="00A569B6" w:rsidTr="000D4CB6">
        <w:tc>
          <w:tcPr>
            <w:tcW w:w="3011" w:type="pct"/>
          </w:tcPr>
          <w:p w:rsidR="00A569B6" w:rsidRPr="009B0C1F" w:rsidRDefault="00A569B6" w:rsidP="005F002D">
            <w:pPr>
              <w:pStyle w:val="TableText"/>
            </w:pPr>
            <w:r w:rsidRPr="009B0C1F">
              <w:t xml:space="preserve">Deleted the second sentence from the first bullet under </w:t>
            </w:r>
            <w:r w:rsidRPr="009B0C1F">
              <w:rPr>
                <w:i/>
              </w:rPr>
              <w:t>Exceptions</w:t>
            </w:r>
            <w:r w:rsidRPr="009B0C1F">
              <w:t xml:space="preserve"> in III.v.3.B.5.i.  This sentence does not describe an exception and the information it conveys exists in the next block (III.v.3.B.5.j).</w:t>
            </w:r>
          </w:p>
        </w:tc>
        <w:tc>
          <w:tcPr>
            <w:tcW w:w="1420" w:type="pct"/>
          </w:tcPr>
          <w:p w:rsidR="00A569B6" w:rsidRDefault="00A569B6" w:rsidP="005F002D">
            <w:pPr>
              <w:pStyle w:val="TableText"/>
              <w:jc w:val="center"/>
            </w:pPr>
            <w:r>
              <w:t>---</w:t>
            </w:r>
          </w:p>
        </w:tc>
        <w:tc>
          <w:tcPr>
            <w:tcW w:w="569" w:type="pct"/>
          </w:tcPr>
          <w:p w:rsidR="00A569B6" w:rsidRDefault="00A569B6" w:rsidP="005F002D">
            <w:pPr>
              <w:pStyle w:val="TableText"/>
              <w:jc w:val="center"/>
            </w:pPr>
            <w:r>
              <w:t>---</w:t>
            </w:r>
          </w:p>
        </w:tc>
      </w:tr>
      <w:tr w:rsidR="00A569B6" w:rsidTr="000D4CB6">
        <w:tc>
          <w:tcPr>
            <w:tcW w:w="3011" w:type="pct"/>
          </w:tcPr>
          <w:p w:rsidR="00A569B6" w:rsidRPr="00C24D50" w:rsidRDefault="00A569B6" w:rsidP="005F002D">
            <w:pPr>
              <w:pStyle w:val="TableText"/>
            </w:pPr>
            <w:r>
              <w:t>Deleted (old) III.v.3.B.8.a, as it duplicates instructions in III.v.3.B.6 and 7 (except for the reference to VAOPGCPREC 74-90, which has been relocated to III.v.3.B.6.e).</w:t>
            </w:r>
          </w:p>
        </w:tc>
        <w:tc>
          <w:tcPr>
            <w:tcW w:w="1420" w:type="pct"/>
          </w:tcPr>
          <w:p w:rsidR="00A569B6" w:rsidRPr="00C24D50" w:rsidRDefault="00A569B6" w:rsidP="005F002D">
            <w:pPr>
              <w:pStyle w:val="TableText"/>
              <w:jc w:val="center"/>
            </w:pPr>
            <w:r>
              <w:t>---</w:t>
            </w:r>
          </w:p>
        </w:tc>
        <w:tc>
          <w:tcPr>
            <w:tcW w:w="569" w:type="pct"/>
          </w:tcPr>
          <w:p w:rsidR="00A569B6" w:rsidRDefault="00A569B6" w:rsidP="005F002D">
            <w:pPr>
              <w:pStyle w:val="TableText"/>
              <w:jc w:val="center"/>
            </w:pPr>
            <w:r>
              <w:t>---</w:t>
            </w:r>
          </w:p>
        </w:tc>
      </w:tr>
      <w:tr w:rsidR="00A569B6" w:rsidTr="000D4CB6">
        <w:tc>
          <w:tcPr>
            <w:tcW w:w="3011" w:type="pct"/>
          </w:tcPr>
          <w:p w:rsidR="00A569B6" w:rsidRDefault="00A569B6" w:rsidP="0011712E">
            <w:pPr>
              <w:pStyle w:val="TableText"/>
            </w:pPr>
            <w:r>
              <w:t xml:space="preserve">Less than 50 awards of DIC to surviving spouses are currently running in BDN.  Accordingly, BDN screen shots (in (old) III.v.3.B.8. h, i, and k), terminology, and system codes were removed from III.v.3.B.8.  In lieu of screenshots of VETSNET - Awards, a hyperlink to the VETSNET </w:t>
            </w:r>
            <w:r>
              <w:rPr>
                <w:i/>
              </w:rPr>
              <w:t>Award User Guide</w:t>
            </w:r>
            <w:r>
              <w:t xml:space="preserve"> has been added.</w:t>
            </w:r>
          </w:p>
        </w:tc>
        <w:tc>
          <w:tcPr>
            <w:tcW w:w="1420" w:type="pct"/>
          </w:tcPr>
          <w:p w:rsidR="00A569B6" w:rsidRDefault="00A569B6" w:rsidP="001A745B">
            <w:pPr>
              <w:pStyle w:val="TableText"/>
              <w:jc w:val="center"/>
            </w:pPr>
            <w:r>
              <w:t>---</w:t>
            </w:r>
          </w:p>
        </w:tc>
        <w:tc>
          <w:tcPr>
            <w:tcW w:w="569" w:type="pct"/>
          </w:tcPr>
          <w:p w:rsidR="00A569B6" w:rsidRDefault="00A569B6" w:rsidP="001A745B">
            <w:pPr>
              <w:pStyle w:val="BulletText1"/>
              <w:numPr>
                <w:ilvl w:val="0"/>
                <w:numId w:val="0"/>
              </w:numPr>
              <w:jc w:val="center"/>
            </w:pPr>
            <w:r>
              <w:t>---</w:t>
            </w:r>
          </w:p>
        </w:tc>
      </w:tr>
    </w:tbl>
    <w:p w:rsidR="00A569B6" w:rsidRDefault="00A569B6" w:rsidP="00887045">
      <w:pPr>
        <w:pStyle w:val="ContinuedOnNextPa"/>
      </w:pPr>
      <w:r>
        <w:t>Continued on next page</w:t>
      </w:r>
    </w:p>
    <w:p w:rsidR="00A569B6" w:rsidRDefault="00A569B6" w:rsidP="00887045">
      <w:pPr>
        <w:pStyle w:val="MapTitleContinued"/>
        <w:rPr>
          <w:b w:val="0"/>
          <w:sz w:val="24"/>
        </w:rPr>
      </w:pPr>
      <w:r w:rsidRPr="00887045">
        <w:br w:type="page"/>
      </w:r>
      <w:fldSimple w:instr=" STYLEREF &quot;Map Title&quot; ">
        <w:r w:rsidRPr="00887045">
          <w:rPr>
            <w:noProof/>
          </w:rPr>
          <w:t>Transmittal Sheet</w:t>
        </w:r>
      </w:fldSimple>
      <w:r w:rsidRPr="00887045">
        <w:t xml:space="preserve">, </w:t>
      </w:r>
      <w:r w:rsidRPr="00887045">
        <w:rPr>
          <w:b w:val="0"/>
          <w:sz w:val="24"/>
        </w:rPr>
        <w:t>Continued</w:t>
      </w:r>
    </w:p>
    <w:p w:rsidR="00A569B6" w:rsidRPr="00887045" w:rsidRDefault="00A569B6" w:rsidP="00887045">
      <w:pPr>
        <w:pStyle w:val="BlockLine"/>
      </w:pPr>
    </w:p>
    <w:tbl>
      <w:tblPr>
        <w:tblW w:w="0" w:type="auto"/>
        <w:tblLayout w:type="fixed"/>
        <w:tblLook w:val="0000"/>
      </w:tblPr>
      <w:tblGrid>
        <w:gridCol w:w="1728"/>
        <w:gridCol w:w="7740"/>
      </w:tblGrid>
      <w:tr w:rsidR="00A569B6" w:rsidRPr="00B4163A" w:rsidTr="00237C22">
        <w:tc>
          <w:tcPr>
            <w:tcW w:w="1728" w:type="dxa"/>
          </w:tcPr>
          <w:p w:rsidR="00A569B6" w:rsidRPr="00B4163A" w:rsidRDefault="00A569B6" w:rsidP="00237C22">
            <w:pPr>
              <w:pStyle w:val="Heading5"/>
              <w:rPr>
                <w:sz w:val="24"/>
              </w:rPr>
            </w:pPr>
            <w:r w:rsidRPr="00B4163A">
              <w:rPr>
                <w:sz w:val="24"/>
              </w:rPr>
              <w:t>Rescissions</w:t>
            </w:r>
          </w:p>
        </w:tc>
        <w:tc>
          <w:tcPr>
            <w:tcW w:w="7740" w:type="dxa"/>
          </w:tcPr>
          <w:p w:rsidR="00A569B6" w:rsidRPr="00B4163A" w:rsidRDefault="00A569B6" w:rsidP="00237C22">
            <w:pPr>
              <w:pStyle w:val="BlockText"/>
            </w:pPr>
            <w:r w:rsidRPr="00B4163A">
              <w:t>None</w:t>
            </w:r>
          </w:p>
        </w:tc>
      </w:tr>
    </w:tbl>
    <w:p w:rsidR="00A569B6" w:rsidRPr="00B4163A" w:rsidRDefault="00A569B6" w:rsidP="00504F80">
      <w:pPr>
        <w:pStyle w:val="BlockLine"/>
      </w:pPr>
      <w:r w:rsidRPr="00B4163A">
        <w:t xml:space="preserve"> </w:t>
      </w:r>
    </w:p>
    <w:tbl>
      <w:tblPr>
        <w:tblW w:w="0" w:type="auto"/>
        <w:tblLayout w:type="fixed"/>
        <w:tblLook w:val="0000"/>
      </w:tblPr>
      <w:tblGrid>
        <w:gridCol w:w="1728"/>
        <w:gridCol w:w="7740"/>
      </w:tblGrid>
      <w:tr w:rsidR="00A569B6" w:rsidRPr="00B4163A" w:rsidTr="00237C22">
        <w:tc>
          <w:tcPr>
            <w:tcW w:w="1728" w:type="dxa"/>
          </w:tcPr>
          <w:p w:rsidR="00A569B6" w:rsidRPr="00B4163A" w:rsidRDefault="00A569B6" w:rsidP="00237C22">
            <w:pPr>
              <w:pStyle w:val="Heading5"/>
              <w:rPr>
                <w:sz w:val="24"/>
              </w:rPr>
            </w:pPr>
            <w:r w:rsidRPr="00B4163A">
              <w:rPr>
                <w:sz w:val="24"/>
              </w:rPr>
              <w:t>Authority</w:t>
            </w:r>
          </w:p>
        </w:tc>
        <w:tc>
          <w:tcPr>
            <w:tcW w:w="7740" w:type="dxa"/>
          </w:tcPr>
          <w:p w:rsidR="00A569B6" w:rsidRPr="00B4163A" w:rsidRDefault="00A569B6" w:rsidP="00237C22">
            <w:pPr>
              <w:pStyle w:val="BlockText"/>
            </w:pPr>
            <w:r w:rsidRPr="00B4163A">
              <w:t>By Direction of the Under Secretary for Benefits</w:t>
            </w:r>
          </w:p>
        </w:tc>
      </w:tr>
    </w:tbl>
    <w:p w:rsidR="00A569B6" w:rsidRPr="00B4163A" w:rsidRDefault="00A569B6" w:rsidP="000D4CB6">
      <w:pPr>
        <w:pStyle w:val="BlockLine"/>
      </w:pPr>
    </w:p>
    <w:tbl>
      <w:tblPr>
        <w:tblW w:w="0" w:type="auto"/>
        <w:tblLayout w:type="fixed"/>
        <w:tblLook w:val="0000"/>
      </w:tblPr>
      <w:tblGrid>
        <w:gridCol w:w="1728"/>
        <w:gridCol w:w="7740"/>
      </w:tblGrid>
      <w:tr w:rsidR="00A569B6" w:rsidRPr="00B4163A" w:rsidTr="00237C22">
        <w:tc>
          <w:tcPr>
            <w:tcW w:w="1728" w:type="dxa"/>
          </w:tcPr>
          <w:p w:rsidR="00A569B6" w:rsidRPr="00B4163A" w:rsidRDefault="00A569B6" w:rsidP="00237C22">
            <w:pPr>
              <w:pStyle w:val="Heading5"/>
              <w:rPr>
                <w:sz w:val="24"/>
              </w:rPr>
            </w:pPr>
            <w:r w:rsidRPr="00B4163A">
              <w:rPr>
                <w:sz w:val="24"/>
              </w:rPr>
              <w:t>Signature</w:t>
            </w:r>
          </w:p>
        </w:tc>
        <w:tc>
          <w:tcPr>
            <w:tcW w:w="7740" w:type="dxa"/>
          </w:tcPr>
          <w:p w:rsidR="00A569B6" w:rsidRPr="00B4163A" w:rsidRDefault="00A569B6" w:rsidP="00237C22">
            <w:pPr>
              <w:pStyle w:val="BlockText"/>
            </w:pPr>
          </w:p>
          <w:p w:rsidR="00A569B6" w:rsidRPr="00B4163A" w:rsidRDefault="00A569B6" w:rsidP="00237C22">
            <w:pPr>
              <w:pStyle w:val="MemoLine"/>
              <w:ind w:left="-18" w:right="612"/>
            </w:pPr>
          </w:p>
          <w:p w:rsidR="00A569B6" w:rsidRPr="00B4163A" w:rsidRDefault="00A569B6" w:rsidP="00237C22">
            <w:pPr>
              <w:rPr>
                <w:szCs w:val="20"/>
              </w:rPr>
            </w:pPr>
            <w:r w:rsidRPr="00B4163A">
              <w:t>Thomas J. Murphy, Director</w:t>
            </w:r>
          </w:p>
          <w:p w:rsidR="00A569B6" w:rsidRPr="00B4163A" w:rsidRDefault="00A569B6" w:rsidP="00237C22">
            <w:pPr>
              <w:pStyle w:val="BlockText"/>
            </w:pPr>
            <w:r w:rsidRPr="00B4163A">
              <w:t>Compensation Service</w:t>
            </w:r>
          </w:p>
        </w:tc>
      </w:tr>
    </w:tbl>
    <w:p w:rsidR="00A569B6" w:rsidRPr="00B4163A" w:rsidRDefault="00A569B6" w:rsidP="00504F80">
      <w:pPr>
        <w:pStyle w:val="BlockLine"/>
      </w:pPr>
      <w:r w:rsidRPr="00B4163A">
        <w:t xml:space="preserve"> </w:t>
      </w:r>
    </w:p>
    <w:tbl>
      <w:tblPr>
        <w:tblW w:w="0" w:type="auto"/>
        <w:tblLayout w:type="fixed"/>
        <w:tblLook w:val="0000"/>
      </w:tblPr>
      <w:tblGrid>
        <w:gridCol w:w="1728"/>
        <w:gridCol w:w="7740"/>
      </w:tblGrid>
      <w:tr w:rsidR="00A569B6" w:rsidTr="00237C22">
        <w:tc>
          <w:tcPr>
            <w:tcW w:w="1728" w:type="dxa"/>
          </w:tcPr>
          <w:p w:rsidR="00A569B6" w:rsidRPr="00B4163A" w:rsidRDefault="00A569B6" w:rsidP="00237C22">
            <w:pPr>
              <w:pStyle w:val="Heading5"/>
              <w:rPr>
                <w:sz w:val="24"/>
              </w:rPr>
            </w:pPr>
            <w:r w:rsidRPr="00B4163A">
              <w:rPr>
                <w:sz w:val="24"/>
              </w:rPr>
              <w:t>Distribution</w:t>
            </w:r>
          </w:p>
        </w:tc>
        <w:tc>
          <w:tcPr>
            <w:tcW w:w="7740" w:type="dxa"/>
          </w:tcPr>
          <w:p w:rsidR="00A569B6" w:rsidRPr="00B4163A" w:rsidRDefault="00A569B6" w:rsidP="00237C22">
            <w:pPr>
              <w:pStyle w:val="BlockText"/>
            </w:pPr>
            <w:r w:rsidRPr="00B4163A">
              <w:t>RPC:  2068</w:t>
            </w:r>
          </w:p>
          <w:p w:rsidR="00A569B6" w:rsidRPr="00B4163A" w:rsidRDefault="00A569B6" w:rsidP="00237C22">
            <w:pPr>
              <w:pStyle w:val="BlockText"/>
            </w:pPr>
            <w:r w:rsidRPr="00B4163A">
              <w:t>FD:  EX:  ASO and AR (included in RPC 2068)</w:t>
            </w:r>
          </w:p>
          <w:p w:rsidR="00A569B6" w:rsidRPr="00B4163A" w:rsidRDefault="00A569B6" w:rsidP="00237C22">
            <w:pPr>
              <w:pStyle w:val="BlockText"/>
            </w:pPr>
          </w:p>
          <w:p w:rsidR="00A569B6" w:rsidRDefault="00A569B6" w:rsidP="00237C22">
            <w:pPr>
              <w:pStyle w:val="BlockText"/>
              <w:jc w:val="center"/>
            </w:pPr>
            <w:r w:rsidRPr="00B4163A">
              <w:t>LOCAL REPRODUCTION AUTHORIZED</w:t>
            </w:r>
          </w:p>
        </w:tc>
      </w:tr>
    </w:tbl>
    <w:p w:rsidR="00A569B6" w:rsidRDefault="00A569B6" w:rsidP="00504F80">
      <w:pPr>
        <w:pStyle w:val="BlockLine"/>
      </w:pPr>
      <w:r>
        <w:fldChar w:fldCharType="begin">
          <w:fldData xml:space="preserve">RABvAGMAVABlAG0AcAAxAFYAYQByAFQAcgBhAGQAaQB0AGkAbwBuAGEAbAAAcgB0ADF=
</w:fldData>
        </w:fldChar>
      </w:r>
      <w:r>
        <w:instrText xml:space="preserve"> ADDIN  \* MERGEFORMAT </w:instrText>
      </w:r>
      <w:r>
        <w:fldChar w:fldCharType="end"/>
      </w:r>
      <w:r>
        <w:fldChar w:fldCharType="begin">
          <w:fldData xml:space="preserve">RgBvAG4AdABTAGUAdABGAG8AbgB0AFMAZQB0AGkAbQBpAHMAdAB5AGwAZQBzAC4AeABtAGwAAGEA
cgBm
</w:fldData>
        </w:fldChar>
      </w:r>
      <w:r>
        <w:instrText xml:space="preserve"> ADDIN  \* MERGEFORMAT </w:instrText>
      </w:r>
      <w:r>
        <w:fldChar w:fldCharType="end"/>
      </w:r>
      <w:r>
        <w:fldChar w:fldCharType="begin">
          <w:fldData xml:space="preserve">RABvAGMAVABlAG0AcAAxAFYAYQByAFQAcgBhAGQAaQB0AGkAbwBuAGEAbAAAXAAgAHQ=
</w:fldData>
        </w:fldChar>
      </w:r>
      <w:r>
        <w:instrText xml:space="preserve"> ADDIN  \* MERGEFORMAT </w:instrText>
      </w:r>
      <w:r>
        <w:fldChar w:fldCharType="end"/>
      </w:r>
      <w:r>
        <w:fldChar w:fldCharType="begin">
          <w:fldData xml:space="preserve">RgBvAG4AdABTAGUAdABGAG8AbgB0AFMAZQB0AEYAbwBuAHQAUwBlAHQAaQBtAGkAcwB0AHkAbABl
AHMALgB4AG0AbAAAMwAgAGw=
</w:fldData>
        </w:fldChar>
      </w:r>
      <w:r>
        <w:instrText xml:space="preserve"> ADDIN  \* MERGEFORMAT </w:instrText>
      </w:r>
      <w:r>
        <w:fldChar w:fldCharType="end"/>
      </w:r>
      <w:r>
        <w:fldChar w:fldCharType="begin">
          <w:fldData xml:space="preserve">RABvAGMAVABlAG0AcAAxAFYAYQByAFQAcgBhAGQAaQB0AGkAbwBuAGEAbAAAaQBwAGJ=
</w:fldData>
        </w:fldChar>
      </w:r>
      <w:r>
        <w:instrText xml:space="preserve"> ADDIN  \* MERGEFORMAT </w:instrText>
      </w:r>
      <w:r>
        <w:fldChar w:fldCharType="end"/>
      </w:r>
      <w:r>
        <w:fldChar w:fldCharType="begin">
          <w:fldData xml:space="preserve">RgBvAG4AdABTAGUAdABGAG8AbgB0AFMAZQB0AEYAbwBuAHQAUwBlAHQARgBvAG4AdABTAGUAdABp
AG0AaQBzAHQAeQBsAGUAcwAuAHgAbQBsAABoAGcAdG==
</w:fldData>
        </w:fldChar>
      </w:r>
      <w:r>
        <w:instrText xml:space="preserve"> ADDIN  \* MERGEFORMAT </w:instrText>
      </w:r>
      <w:r>
        <w:fldChar w:fldCharType="end"/>
      </w:r>
      <w:r>
        <w:fldChar w:fldCharType="begin">
          <w:fldData xml:space="preserve">RABvAGMAVABlAG0AcAAxAFYAYQByAFQAcgBhAGQAaQB0AGkAbwBuAGEAbAAAdAByAHJ=
</w:fldData>
        </w:fldChar>
      </w:r>
      <w:r>
        <w:instrText xml:space="preserve"> ADDIN  \* MERGEFORMAT </w:instrText>
      </w:r>
      <w:r>
        <w:fldChar w:fldCharType="end"/>
      </w:r>
      <w:r>
        <w:fldChar w:fldCharType="begin">
          <w:fldData xml:space="preserve">RgBvAG4AdABTAGUAdABGAG8AbgB0AFMAZQB0AEYAbwBuAHQAUwBlAHQARgBvAG4AdABTAGUAdABG
AG8AbgB0AFMAZQB0AGkAbQBpAHMAdAB5AGwAZQBzAC4AeABtAGwAAHQAIAAg
</w:fldData>
        </w:fldChar>
      </w:r>
      <w:r>
        <w:instrText xml:space="preserve"> ADDIN  \* MERGEFORMAT </w:instrText>
      </w:r>
      <w:r>
        <w:fldChar w:fldCharType="end"/>
      </w:r>
      <w:r>
        <w:fldChar w:fldCharType="begin">
          <w:fldData xml:space="preserve">RABvAGMAVABlAG0AcAAxAFYAYQByAFQAcgBhAGQAaQB0AGkAbwBuAGEAbAAAcgAzAGY=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AG8AbgB0AFMAZQB0AEYAbwBuAHQAUwBlAHQAaQBtAGkAcwB0AHkAbABlAHMALgB4AG0AbAAAcgBu
AGN=
</w:fldData>
        </w:fldChar>
      </w:r>
      <w:r>
        <w:instrText xml:space="preserve"> ADDIN  \* MERGEFORMAT </w:instrText>
      </w:r>
      <w:r>
        <w:fldChar w:fldCharType="end"/>
      </w:r>
      <w:r>
        <w:fldChar w:fldCharType="begin">
          <w:fldData xml:space="preserve">RABvAGMAVABlAG0AcAAxAFYAYQByAFQAcgBhAGQAaQB0AGkAbwBuAGEAbAAAcwBmAGF=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AG8AbgB0AFMAZQB0AEYAbwBuAHQAUwBlAHQARgBvAG4AdABTAGUAdABpAG0AaQBzAHQAeQBsAGUA
cwAuAHgAbQBsAAAyADAAdz==
</w:fldData>
        </w:fldChar>
      </w:r>
      <w:r>
        <w:instrText xml:space="preserve"> ADDIN  \* MERGEFORMAT </w:instrText>
      </w:r>
      <w:r>
        <w:fldChar w:fldCharType="end"/>
      </w:r>
      <w:r>
        <w:fldChar w:fldCharType="begin">
          <w:fldData xml:space="preserve">RABvAGMAVABlAG0AcAAxAFYAYQByAFQAcgBhAGQAaQB0AGkAbwBuAGEAbAAAMABcACB=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AG8AbgB0AFMAZQB0AEYAbwBuAHQAUwBlAHQARgBvAG4AdABTAGUAdABGAG8AbgB0AFMAZQB0AGkA
bQBpAHMAdAB5AGwAZQBzAC4AeABtAGwAAGwAMwBu
</w:fldData>
        </w:fldChar>
      </w:r>
      <w:r>
        <w:instrText xml:space="preserve"> ADDIN  \* MERGEFORMAT </w:instrText>
      </w:r>
      <w:r>
        <w:fldChar w:fldCharType="end"/>
      </w:r>
      <w:r>
        <w:fldChar w:fldCharType="begin">
          <w:fldData xml:space="preserve">RABvAGMAVABlAG0AcAAxAFYAYQByAFQAcgBhAGQAaQB0AGkAbwBuAGEAbAAAcwBjAGx=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bwBuAHQAUwBlAHQAaQBtAGkAcwB0AHkAbABlAHMALgB4AG0AbAAAcwByADB=
</w:fldData>
        </w:fldChar>
      </w:r>
      <w:r>
        <w:instrText xml:space="preserve"> ADDIN  \* MERGEFORMAT </w:instrText>
      </w:r>
      <w:r>
        <w:fldChar w:fldCharType="end"/>
      </w:r>
      <w:r>
        <w:fldChar w:fldCharType="begin">
          <w:fldData xml:space="preserve">RABvAGMAVABlAG0AcAAxAFYAYQByAFQAcgBhAGQAaQB0AGkAbwBuAGEAbAAANgB0AGh=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bwBuAHQAUwBlAHQARgBvAG4AdABTAGUAdABpAG0AaQBzAHQAeQBsAGUAcwAuAHgAbQBsAABkAGMA
ZG==
</w:fldData>
        </w:fldChar>
      </w:r>
      <w:r>
        <w:instrText xml:space="preserve"> ADDIN  \* MERGEFORMAT </w:instrText>
      </w:r>
      <w:r>
        <w:fldChar w:fldCharType="end"/>
      </w:r>
      <w:r>
        <w:fldChar w:fldCharType="begin">
          <w:fldData xml:space="preserve">RABvAGMAVABlAG0AcAAxAFYAYQByAFQAcgBhAGQAaQB0AGkAbwBuAGEAbAAAZgAwAGI=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bwBuAHQAUwBlAHQARgBvAG4AdABTAGUAdABGAG8AbgB0AFMAZQB0AGkAbQBpAHMAdAB5AGwAZQBz
AC4AeABtAGwAAGEAaQBz
</w:fldData>
        </w:fldChar>
      </w:r>
      <w:r>
        <w:instrText xml:space="preserve"> ADDIN  \* MERGEFORMAT </w:instrText>
      </w:r>
      <w:r>
        <w:fldChar w:fldCharType="end"/>
      </w:r>
      <w:r>
        <w:fldChar w:fldCharType="begin">
          <w:fldData xml:space="preserve">RABvAGMAVABlAG0AcAAxAFYAYQByAFQAcgBhAGQAaQB0AGkAbwBuAGEAbAAAewBoAFx=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bwBuAHQAUwBlAHQARgBvAG4AdABTAGUAdABGAG8AbgB0AFMAZQB0AEYAbwBuAHQAUwBlAHQAaQBt
AGkAcwB0AHkAbABlAHMALgB4AG0AbAAAfQBTACB=
</w:fldData>
        </w:fldChar>
      </w:r>
      <w:r>
        <w:instrText xml:space="preserve"> ADDIN  \* MERGEFORMAT </w:instrText>
      </w:r>
      <w:r>
        <w:fldChar w:fldCharType="end"/>
      </w:r>
    </w:p>
    <w:p w:rsidR="00A569B6" w:rsidRDefault="00A569B6">
      <w:r>
        <w:fldChar w:fldCharType="begin">
          <w:fldData xml:space="preserve">RABvAGMAVABlAG0AcAAxAFYAYQByAFQAcgBhAGQAaQB0AGkAbwBuAGEAbAAAOQAuAGE=
</w:fldData>
        </w:fldChar>
      </w:r>
      <w:r>
        <w:instrText xml:space="preserve"> ADDIN  \* MERGEFORMAT </w:instrText>
      </w:r>
      <w:r>
        <w:fldChar w:fldCharType="end"/>
      </w:r>
      <w:r>
        <w:fldChar w:fldCharType="begin">
          <w:fldData xml:space="preserve">RgBvAG4AdABTAGUAdABpAG0AaQBzAHQAeQBsAGUAcwAuAHgAbQBsAABzAGMAc2==
</w:fldData>
        </w:fldChar>
      </w:r>
      <w:r>
        <w:instrText xml:space="preserve"> ADDIN  \* MERGEFORMAT </w:instrText>
      </w:r>
      <w:r>
        <w:fldChar w:fldCharType="end"/>
      </w:r>
      <w:r>
        <w:fldChar w:fldCharType="begin">
          <w:fldData xml:space="preserve">RABvAGMAVABlAG0AcAAxAFYAYQByAFQAcgBhAGQAaQB0AGkAbwBuAGEAbAAAaQB0AHR=
</w:fldData>
        </w:fldChar>
      </w:r>
      <w:r>
        <w:instrText xml:space="preserve"> ADDIN  \* MERGEFORMAT </w:instrText>
      </w:r>
      <w:r>
        <w:fldChar w:fldCharType="end"/>
      </w:r>
      <w:r>
        <w:fldChar w:fldCharType="begin">
          <w:fldData xml:space="preserve">RgBvAG4AdABTAGUAdABGAG8AbgB0AFMAZQB0AGkAbQBpAHMAdAB5AGwAZQBzAC4AeABtAGwAACAA
MAB1
</w:fldData>
        </w:fldChar>
      </w:r>
      <w:r>
        <w:instrText xml:space="preserve"> ADDIN  \* MERGEFORMAT </w:instrText>
      </w:r>
      <w:r>
        <w:fldChar w:fldCharType="end"/>
      </w:r>
      <w:r>
        <w:fldChar w:fldCharType="begin">
          <w:fldData xml:space="preserve">RABvAGMAVABlAG0AcAAxAFYAYQByAFQAcgBhAGQAaQB0AGkAbwBuAGEAbAAAIAAwAGM=
</w:fldData>
        </w:fldChar>
      </w:r>
      <w:r>
        <w:instrText xml:space="preserve"> ADDIN  \* MERGEFORMAT </w:instrText>
      </w:r>
      <w:r>
        <w:fldChar w:fldCharType="end"/>
      </w:r>
      <w:r>
        <w:fldChar w:fldCharType="begin">
          <w:fldData xml:space="preserve">RgBvAG4AdABTAGUAdABGAG8AbgB0AFMAZQB0AEYAbwBuAHQAUwBlAHQAaQBtAGkAcwB0AHkAbABl
AHMALgB4AG0AbAAAbgBlAFx=
</w:fldData>
        </w:fldChar>
      </w:r>
      <w:r>
        <w:instrText xml:space="preserve"> ADDIN  \* MERGEFORMAT </w:instrText>
      </w:r>
      <w:r>
        <w:fldChar w:fldCharType="end"/>
      </w:r>
      <w:r>
        <w:fldChar w:fldCharType="begin">
          <w:fldData xml:space="preserve">RABvAGMAVABlAG0AcAAxAFYAYQByAFQAcgBhAGQAaQB0AGkAbwBuAGEAbAAAXAByAGl=
</w:fldData>
        </w:fldChar>
      </w:r>
      <w:r>
        <w:instrText xml:space="preserve"> ADDIN  \* MERGEFORMAT </w:instrText>
      </w:r>
      <w:r>
        <w:fldChar w:fldCharType="end"/>
      </w:r>
      <w:r>
        <w:fldChar w:fldCharType="begin">
          <w:fldData xml:space="preserve">RgBvAG4AdABTAGUAdABGAG8AbgB0AFMAZQB0AEYAbwBuAHQAUwBlAHQARgBvAG4AdABTAGUAdABp
AG0AaQBzAHQAeQBsAGUAcwAuAHgAbQBsAAB0ADkAYz==
</w:fldData>
        </w:fldChar>
      </w:r>
      <w:r>
        <w:instrText xml:space="preserve"> ADDIN  \* MERGEFORMAT </w:instrText>
      </w:r>
      <w:r>
        <w:fldChar w:fldCharType="end"/>
      </w:r>
      <w:r>
        <w:fldChar w:fldCharType="begin">
          <w:fldData xml:space="preserve">RABvAGMAVABlAG0AcAAxAFYAYQByAFQAcgBhAGQAaQB0AGkAbwBuAGEAbAAAOQBpAGl=
</w:fldData>
        </w:fldChar>
      </w:r>
      <w:r>
        <w:instrText xml:space="preserve"> ADDIN  \* MERGEFORMAT </w:instrText>
      </w:r>
      <w:r>
        <w:fldChar w:fldCharType="end"/>
      </w:r>
      <w:r>
        <w:fldChar w:fldCharType="begin">
          <w:fldData xml:space="preserve">RgBvAG4AdABTAGUAdABGAG8AbgB0AFMAZQB0AEYAbwBuAHQAUwBlAHQARgBvAG4AdABTAGUAdABG
AG8AbgB0AFMAZQB0AGkAbQBpAHMAdAB5AGwAZQBzAC4AeABtAGwAAEYAAABn
</w:fldData>
        </w:fldChar>
      </w:r>
      <w:r>
        <w:instrText xml:space="preserve"> ADDIN  \* MERGEFORMAT </w:instrText>
      </w:r>
      <w:r>
        <w:fldChar w:fldCharType="end"/>
      </w:r>
      <w:r>
        <w:fldChar w:fldCharType="begin">
          <w:fldData xml:space="preserve">RABvAGMAVABlAG0AcAAxAFYAYQByAFQAcgBhAGQAaQB0AGkAbwBuAGEAbAAAAAAAADM=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AG8AbgB0AFMAZQB0AEYAbwBuAHQAUwBlAHQAaQBtAGkAcwB0AHkAbABlAHMALgB4AG0AbAAAcwB0
AFx=
</w:fldData>
        </w:fldChar>
      </w:r>
      <w:r>
        <w:instrText xml:space="preserve"> ADDIN  \* MERGEFORMAT </w:instrText>
      </w:r>
      <w:r>
        <w:fldChar w:fldCharType="end"/>
      </w:r>
      <w:r>
        <w:fldChar w:fldCharType="begin">
          <w:fldData xml:space="preserve">RABvAGMAVABlAG0AcAAxAFYAYQByAFQAcgBhAGQAaQB0AGkAbwBuAGEAbAAAMABhAGl=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AG8AbgB0AFMAZQB0AEYAbwBuAHQAUwBlAHQARgBvAG4AdABTAGUAdABpAG0AaQBzAHQAeQBsAGUA
cwAuAHgAbQBsAABmAHQAZn==
</w:fldData>
        </w:fldChar>
      </w:r>
      <w:r>
        <w:instrText xml:space="preserve"> ADDIN  \* MERGEFORMAT </w:instrText>
      </w:r>
      <w:r>
        <w:fldChar w:fldCharType="end"/>
      </w:r>
      <w:r>
        <w:fldChar w:fldCharType="begin">
          <w:fldData xml:space="preserve">RABvAGMAVABlAG0AcAAxAFYAYQByAFQAcgBhAGQAaQB0AGkAbwBuAGEAbAAAZgBmAGx=
</w:fldData>
        </w:fldChar>
      </w:r>
      <w:r>
        <w:instrText xml:space="preserve"> ADDIN  \* MERGEFORMAT </w:instrText>
      </w:r>
      <w:r>
        <w:fldChar w:fldCharType="end"/>
      </w:r>
      <w:r>
        <w:fldChar w:fldCharType="begin">
          <w:fldData xml:space="preserve">RgBvAG4AdABTAGUAdABpAG0AaQBzAHQAeQBsAGUAcwAuAHgAbQBsAABzAFwAcl==
</w:fldData>
        </w:fldChar>
      </w:r>
      <w:r>
        <w:instrText xml:space="preserve"> ADDIN  \* MERGEFORMAT </w:instrText>
      </w:r>
      <w:r>
        <w:fldChar w:fldCharType="end"/>
      </w:r>
      <w:r>
        <w:fldChar w:fldCharType="begin">
          <w:fldData xml:space="preserve">RABvAGMAVABlAG0AcAAxAFYAYQByAFQAcgBhAGQAaQB0AGkAbwBuAGEAbAAASQBBADJ=
</w:fldData>
        </w:fldChar>
      </w:r>
      <w:r>
        <w:instrText xml:space="preserve"> ADDIN  \* MERGEFORMAT </w:instrText>
      </w:r>
      <w:r>
        <w:fldChar w:fldCharType="end"/>
      </w:r>
      <w:r>
        <w:fldChar w:fldCharType="begin">
          <w:fldData xml:space="preserve">RgBvAG4AdABTAGUAdABGAG8AbgB0AFMAZQB0AGkAbQBpAHMAdAB5AGwAZQBzAC4AeABtAGwAAGEA
ZABy
</w:fldData>
        </w:fldChar>
      </w:r>
      <w:r>
        <w:instrText xml:space="preserve"> ADDIN  \* MERGEFORMAT </w:instrText>
      </w:r>
      <w:r>
        <w:fldChar w:fldCharType="end"/>
      </w:r>
      <w:r>
        <w:fldChar w:fldCharType="begin">
          <w:fldData xml:space="preserve">RABvAGMAVABlAG0AcAAxAFYAYQByAFQAcgBhAGQAaQB0AGkAbwBuAGEAbAAAXABp
</w:fldData>
        </w:fldChar>
      </w:r>
      <w:r>
        <w:instrText xml:space="preserve"> ADDIN  \* MERGEFORMAT </w:instrText>
      </w:r>
      <w:r>
        <w:fldChar w:fldCharType="end"/>
      </w:r>
      <w:r>
        <w:fldChar w:fldCharType="begin">
          <w:fldData xml:space="preserve">RgBvAG4AdABTAGUAdABGAG8AbgB0AFMAZQB0AGkAbQBpAHMAdAB5AGwAZQBzAC4AeABtAGwAAGUA
XG==
</w:fldData>
        </w:fldChar>
      </w:r>
      <w:r>
        <w:instrText xml:space="preserve"> ADDIN  \* MERGEFORMAT </w:instrText>
      </w:r>
      <w:r>
        <w:fldChar w:fldCharType="end"/>
      </w:r>
      <w:r>
        <w:fldChar w:fldCharType="begin">
          <w:fldData xml:space="preserve">RABvAGMAVABlAG0AcAAxAFYAYQByAFQAcgBhAGQAaQB0AGkAbwBuAGEAbAAAAAA5
</w:fldData>
        </w:fldChar>
      </w:r>
      <w:r>
        <w:instrText xml:space="preserve"> ADDIN  \* MERGEFORMAT </w:instrText>
      </w:r>
      <w:r>
        <w:fldChar w:fldCharType="end"/>
      </w:r>
      <w:r>
        <w:fldChar w:fldCharType="begin">
          <w:fldData xml:space="preserve">RgBvAG4AdABTAGUAdABpAG0AaQBzAHQAeQBsAGUAcwAuAHgAbQBsAAAAAGw=
</w:fldData>
        </w:fldChar>
      </w:r>
      <w:r>
        <w:instrText xml:space="preserve"> ADDIN  \* MERGEFORMAT </w:instrText>
      </w:r>
      <w:r>
        <w:fldChar w:fldCharType="end"/>
      </w:r>
    </w:p>
    <w:sectPr w:rsidR="00A569B6" w:rsidSect="00237C22">
      <w:footerReference w:type="even" r:id="rId9"/>
      <w:footerReference w:type="default" r:id="rId10"/>
      <w:pgSz w:w="12240" w:h="15840"/>
      <w:pgMar w:top="1152" w:right="1440" w:bottom="1008" w:left="1440" w:header="720" w:footer="720" w:gutter="0"/>
      <w:pgNumType w:fmt="lowerRoman"/>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9B6" w:rsidRDefault="00A569B6" w:rsidP="00C765C7">
      <w:r>
        <w:separator/>
      </w:r>
    </w:p>
  </w:endnote>
  <w:endnote w:type="continuationSeparator" w:id="0">
    <w:p w:rsidR="00A569B6" w:rsidRDefault="00A569B6" w:rsidP="00C765C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9B6" w:rsidRDefault="00A569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69B6" w:rsidRDefault="00A569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9B6" w:rsidRDefault="00A569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iii</w:t>
    </w:r>
    <w:r>
      <w:rPr>
        <w:rStyle w:val="PageNumber"/>
      </w:rPr>
      <w:fldChar w:fldCharType="end"/>
    </w:r>
  </w:p>
  <w:p w:rsidR="00A569B6" w:rsidRDefault="00A569B6" w:rsidP="00237C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9B6" w:rsidRDefault="00A569B6" w:rsidP="00C765C7">
      <w:r>
        <w:separator/>
      </w:r>
    </w:p>
  </w:footnote>
  <w:footnote w:type="continuationSeparator" w:id="0">
    <w:p w:rsidR="00A569B6" w:rsidRDefault="00A569B6" w:rsidP="00C765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bullet="t">
        <v:imagedata r:id="rId1" o:title=""/>
      </v:shape>
    </w:pict>
  </w:numPicBullet>
  <w:numPicBullet w:numPicBulletId="1">
    <w:pict>
      <v:shape id="_x0000_i1026" type="#_x0000_t75" style="width:12pt;height:12pt" o:bullet="t">
        <v:imagedata r:id="rId2" o:title=""/>
      </v:shape>
    </w:pict>
  </w:numPicBullet>
  <w:numPicBullet w:numPicBulletId="2">
    <w:pict>
      <v:shape id="_x0000_i1027" type="#_x0000_t75" style="width:12pt;height:12pt" o:bullet="t">
        <v:imagedata r:id="rId3" o:title=""/>
      </v:shape>
    </w:pict>
  </w:numPicBullet>
  <w:numPicBullet w:numPicBulletId="3">
    <w:pict>
      <v:shape id="_x0000_i1028" type="#_x0000_t75" style="width:12pt;height:12pt" o:bullet="t">
        <v:imagedata r:id="rId4" o:title=""/>
      </v:shape>
    </w:pict>
  </w:numPicBullet>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3">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4">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5">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A6B4C78"/>
    <w:multiLevelType w:val="singleLevel"/>
    <w:tmpl w:val="B4525DB6"/>
    <w:lvl w:ilvl="0">
      <w:start w:val="1"/>
      <w:numFmt w:val="bullet"/>
      <w:lvlText w:val=""/>
      <w:lvlJc w:val="left"/>
      <w:pPr>
        <w:tabs>
          <w:tab w:val="num" w:pos="533"/>
        </w:tabs>
        <w:ind w:left="533" w:hanging="360"/>
      </w:pPr>
      <w:rPr>
        <w:rFonts w:ascii="Symbol" w:hAnsi="Symbol" w:hint="default"/>
        <w:color w:val="auto"/>
      </w:rPr>
    </w:lvl>
  </w:abstractNum>
  <w:abstractNum w:abstractNumId="7">
    <w:nsid w:val="707C2456"/>
    <w:multiLevelType w:val="hybridMultilevel"/>
    <w:tmpl w:val="A5FE9EAA"/>
    <w:lvl w:ilvl="0" w:tplc="443ADE8A">
      <w:start w:val="1"/>
      <w:numFmt w:val="bullet"/>
      <w:pStyle w:val="BulletText3"/>
      <w:lvlText w:val=""/>
      <w:lvlJc w:val="left"/>
      <w:pPr>
        <w:tabs>
          <w:tab w:val="num" w:pos="173"/>
        </w:tabs>
        <w:ind w:left="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9">
    <w:nsid w:val="78407290"/>
    <w:multiLevelType w:val="singleLevel"/>
    <w:tmpl w:val="67E094D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5"/>
  </w:num>
  <w:num w:numId="3">
    <w:abstractNumId w:val="0"/>
  </w:num>
  <w:num w:numId="4">
    <w:abstractNumId w:val="7"/>
  </w:num>
  <w:num w:numId="5">
    <w:abstractNumId w:val="4"/>
  </w:num>
  <w:num w:numId="6">
    <w:abstractNumId w:val="3"/>
  </w:num>
  <w:num w:numId="7">
    <w:abstractNumId w:val="8"/>
  </w:num>
  <w:num w:numId="8">
    <w:abstractNumId w:val="2"/>
  </w:num>
  <w:num w:numId="9">
    <w:abstractNumId w:val="1"/>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ocTemp1Var" w:val="Traditional"/>
    <w:docVar w:name="FontSet" w:val="imistyles.xml"/>
    <w:docVar w:name="XSLPath" w:val="C:\Program Files\Information Mapping\FS Pro 4.2\StyleSheets\"/>
    <w:docVar w:name="XSLstylesheet" w:val="Basic.xsl"/>
  </w:docVars>
  <w:rsids>
    <w:rsidRoot w:val="00C23B78"/>
    <w:rsid w:val="00002A1E"/>
    <w:rsid w:val="00014A89"/>
    <w:rsid w:val="00017E4C"/>
    <w:rsid w:val="0002166C"/>
    <w:rsid w:val="000252C6"/>
    <w:rsid w:val="000256FB"/>
    <w:rsid w:val="000331D8"/>
    <w:rsid w:val="00053EAE"/>
    <w:rsid w:val="00063228"/>
    <w:rsid w:val="00067F1B"/>
    <w:rsid w:val="00075B7D"/>
    <w:rsid w:val="00093228"/>
    <w:rsid w:val="000A2924"/>
    <w:rsid w:val="000A7776"/>
    <w:rsid w:val="000D4CB6"/>
    <w:rsid w:val="000D5804"/>
    <w:rsid w:val="000D6C6C"/>
    <w:rsid w:val="000E112D"/>
    <w:rsid w:val="000F2CA2"/>
    <w:rsid w:val="00100433"/>
    <w:rsid w:val="0010215F"/>
    <w:rsid w:val="00106EEF"/>
    <w:rsid w:val="0011712E"/>
    <w:rsid w:val="00123973"/>
    <w:rsid w:val="00124FFD"/>
    <w:rsid w:val="00125EAE"/>
    <w:rsid w:val="00132E36"/>
    <w:rsid w:val="001371F5"/>
    <w:rsid w:val="001500FD"/>
    <w:rsid w:val="00153C0F"/>
    <w:rsid w:val="00186D46"/>
    <w:rsid w:val="001A0554"/>
    <w:rsid w:val="001A745B"/>
    <w:rsid w:val="001B7443"/>
    <w:rsid w:val="001C3AE3"/>
    <w:rsid w:val="001C3EB5"/>
    <w:rsid w:val="001D283C"/>
    <w:rsid w:val="001D5DAB"/>
    <w:rsid w:val="001F280B"/>
    <w:rsid w:val="001F4F3D"/>
    <w:rsid w:val="001F7016"/>
    <w:rsid w:val="00224899"/>
    <w:rsid w:val="002257EB"/>
    <w:rsid w:val="00230207"/>
    <w:rsid w:val="00230D01"/>
    <w:rsid w:val="00237C22"/>
    <w:rsid w:val="00240624"/>
    <w:rsid w:val="00250D85"/>
    <w:rsid w:val="00253666"/>
    <w:rsid w:val="00254982"/>
    <w:rsid w:val="00257431"/>
    <w:rsid w:val="00265EB6"/>
    <w:rsid w:val="00277078"/>
    <w:rsid w:val="00281967"/>
    <w:rsid w:val="002834D2"/>
    <w:rsid w:val="002A24E1"/>
    <w:rsid w:val="002A6646"/>
    <w:rsid w:val="002B1190"/>
    <w:rsid w:val="002B7A7E"/>
    <w:rsid w:val="002C1708"/>
    <w:rsid w:val="002D4EA0"/>
    <w:rsid w:val="002D79A0"/>
    <w:rsid w:val="002F5B21"/>
    <w:rsid w:val="002F7397"/>
    <w:rsid w:val="00301274"/>
    <w:rsid w:val="00301637"/>
    <w:rsid w:val="0031322F"/>
    <w:rsid w:val="003214B7"/>
    <w:rsid w:val="00332B80"/>
    <w:rsid w:val="00341981"/>
    <w:rsid w:val="00357549"/>
    <w:rsid w:val="0035777D"/>
    <w:rsid w:val="00363E5F"/>
    <w:rsid w:val="00366D36"/>
    <w:rsid w:val="00381A7F"/>
    <w:rsid w:val="00385B75"/>
    <w:rsid w:val="00386999"/>
    <w:rsid w:val="003A41CA"/>
    <w:rsid w:val="003B12C0"/>
    <w:rsid w:val="003B2927"/>
    <w:rsid w:val="003E0D04"/>
    <w:rsid w:val="003F6048"/>
    <w:rsid w:val="003F672A"/>
    <w:rsid w:val="00401EAD"/>
    <w:rsid w:val="0040345B"/>
    <w:rsid w:val="0040351B"/>
    <w:rsid w:val="00421403"/>
    <w:rsid w:val="00426339"/>
    <w:rsid w:val="00434516"/>
    <w:rsid w:val="00435BA5"/>
    <w:rsid w:val="00455EF7"/>
    <w:rsid w:val="004562CC"/>
    <w:rsid w:val="00471ECA"/>
    <w:rsid w:val="0047732D"/>
    <w:rsid w:val="00482FA3"/>
    <w:rsid w:val="0048559D"/>
    <w:rsid w:val="00494175"/>
    <w:rsid w:val="004A2250"/>
    <w:rsid w:val="004B426C"/>
    <w:rsid w:val="004C4BEF"/>
    <w:rsid w:val="004F375E"/>
    <w:rsid w:val="00504F80"/>
    <w:rsid w:val="00506485"/>
    <w:rsid w:val="00513DA7"/>
    <w:rsid w:val="0051420D"/>
    <w:rsid w:val="00516C82"/>
    <w:rsid w:val="00520ECA"/>
    <w:rsid w:val="00522314"/>
    <w:rsid w:val="0052291C"/>
    <w:rsid w:val="0052495B"/>
    <w:rsid w:val="00545129"/>
    <w:rsid w:val="005472D3"/>
    <w:rsid w:val="00562AE3"/>
    <w:rsid w:val="00567B4F"/>
    <w:rsid w:val="00572535"/>
    <w:rsid w:val="00594258"/>
    <w:rsid w:val="00594E15"/>
    <w:rsid w:val="005A2724"/>
    <w:rsid w:val="005D5B32"/>
    <w:rsid w:val="005E3509"/>
    <w:rsid w:val="005E4363"/>
    <w:rsid w:val="005E55BA"/>
    <w:rsid w:val="005F002D"/>
    <w:rsid w:val="005F46B0"/>
    <w:rsid w:val="00615A74"/>
    <w:rsid w:val="00616C47"/>
    <w:rsid w:val="0062068D"/>
    <w:rsid w:val="0062071A"/>
    <w:rsid w:val="0062704E"/>
    <w:rsid w:val="006317AA"/>
    <w:rsid w:val="006473C3"/>
    <w:rsid w:val="00653539"/>
    <w:rsid w:val="00663869"/>
    <w:rsid w:val="006708D7"/>
    <w:rsid w:val="00672757"/>
    <w:rsid w:val="006837E0"/>
    <w:rsid w:val="00691FC1"/>
    <w:rsid w:val="006A6515"/>
    <w:rsid w:val="006B7262"/>
    <w:rsid w:val="006C3E5F"/>
    <w:rsid w:val="006C48FF"/>
    <w:rsid w:val="006C4C27"/>
    <w:rsid w:val="006D10E5"/>
    <w:rsid w:val="006D52FE"/>
    <w:rsid w:val="006E05F5"/>
    <w:rsid w:val="006E1A29"/>
    <w:rsid w:val="006E66EF"/>
    <w:rsid w:val="006E754E"/>
    <w:rsid w:val="006F3B12"/>
    <w:rsid w:val="006F6D37"/>
    <w:rsid w:val="006F7358"/>
    <w:rsid w:val="007019D7"/>
    <w:rsid w:val="00711E35"/>
    <w:rsid w:val="00713693"/>
    <w:rsid w:val="00724248"/>
    <w:rsid w:val="00725A30"/>
    <w:rsid w:val="00732186"/>
    <w:rsid w:val="007321FC"/>
    <w:rsid w:val="00733E8E"/>
    <w:rsid w:val="00737049"/>
    <w:rsid w:val="00743230"/>
    <w:rsid w:val="007474B5"/>
    <w:rsid w:val="00755315"/>
    <w:rsid w:val="00776ABF"/>
    <w:rsid w:val="00781F32"/>
    <w:rsid w:val="007A0C5F"/>
    <w:rsid w:val="007A5104"/>
    <w:rsid w:val="007B303D"/>
    <w:rsid w:val="007B3062"/>
    <w:rsid w:val="007B599A"/>
    <w:rsid w:val="007C0E57"/>
    <w:rsid w:val="007D352F"/>
    <w:rsid w:val="007D3C7E"/>
    <w:rsid w:val="007D5B97"/>
    <w:rsid w:val="007E3E58"/>
    <w:rsid w:val="007E5515"/>
    <w:rsid w:val="007E56BA"/>
    <w:rsid w:val="007F50B8"/>
    <w:rsid w:val="0080590C"/>
    <w:rsid w:val="008232EE"/>
    <w:rsid w:val="00826FF3"/>
    <w:rsid w:val="00830A3E"/>
    <w:rsid w:val="00846CE7"/>
    <w:rsid w:val="00850748"/>
    <w:rsid w:val="0086475B"/>
    <w:rsid w:val="008714F2"/>
    <w:rsid w:val="00875AFA"/>
    <w:rsid w:val="0088598E"/>
    <w:rsid w:val="0088609E"/>
    <w:rsid w:val="00887045"/>
    <w:rsid w:val="008B4CB5"/>
    <w:rsid w:val="008C20F8"/>
    <w:rsid w:val="008C723F"/>
    <w:rsid w:val="008D12C3"/>
    <w:rsid w:val="008D458B"/>
    <w:rsid w:val="008D4833"/>
    <w:rsid w:val="008E22CF"/>
    <w:rsid w:val="008E5824"/>
    <w:rsid w:val="008E589A"/>
    <w:rsid w:val="008E61D5"/>
    <w:rsid w:val="008F1D5B"/>
    <w:rsid w:val="008F66E8"/>
    <w:rsid w:val="009079C7"/>
    <w:rsid w:val="00916AE6"/>
    <w:rsid w:val="00940FFC"/>
    <w:rsid w:val="00951BA3"/>
    <w:rsid w:val="00956D96"/>
    <w:rsid w:val="00957F76"/>
    <w:rsid w:val="00964FF8"/>
    <w:rsid w:val="0097064C"/>
    <w:rsid w:val="009769CD"/>
    <w:rsid w:val="009838BF"/>
    <w:rsid w:val="00983EEC"/>
    <w:rsid w:val="00986E0E"/>
    <w:rsid w:val="00995594"/>
    <w:rsid w:val="00997D98"/>
    <w:rsid w:val="009B08E3"/>
    <w:rsid w:val="009B0B44"/>
    <w:rsid w:val="009B0C1F"/>
    <w:rsid w:val="009B5C50"/>
    <w:rsid w:val="009B78DA"/>
    <w:rsid w:val="009C19B2"/>
    <w:rsid w:val="009C436F"/>
    <w:rsid w:val="009D3DAD"/>
    <w:rsid w:val="009E6E1A"/>
    <w:rsid w:val="00A00527"/>
    <w:rsid w:val="00A01C8D"/>
    <w:rsid w:val="00A16A43"/>
    <w:rsid w:val="00A201C6"/>
    <w:rsid w:val="00A315CB"/>
    <w:rsid w:val="00A3579D"/>
    <w:rsid w:val="00A41E43"/>
    <w:rsid w:val="00A42597"/>
    <w:rsid w:val="00A55356"/>
    <w:rsid w:val="00A569B6"/>
    <w:rsid w:val="00A56B75"/>
    <w:rsid w:val="00A8520D"/>
    <w:rsid w:val="00AA06B5"/>
    <w:rsid w:val="00AA08AC"/>
    <w:rsid w:val="00AA18D4"/>
    <w:rsid w:val="00AC2993"/>
    <w:rsid w:val="00AE13D8"/>
    <w:rsid w:val="00AE1883"/>
    <w:rsid w:val="00AE4B69"/>
    <w:rsid w:val="00AF2CD6"/>
    <w:rsid w:val="00AF7F68"/>
    <w:rsid w:val="00B11626"/>
    <w:rsid w:val="00B154A4"/>
    <w:rsid w:val="00B23C1E"/>
    <w:rsid w:val="00B25A5C"/>
    <w:rsid w:val="00B30D2F"/>
    <w:rsid w:val="00B339B8"/>
    <w:rsid w:val="00B4163A"/>
    <w:rsid w:val="00B50AD7"/>
    <w:rsid w:val="00B62BFC"/>
    <w:rsid w:val="00B6354B"/>
    <w:rsid w:val="00B73757"/>
    <w:rsid w:val="00B76D05"/>
    <w:rsid w:val="00B87CFF"/>
    <w:rsid w:val="00B92989"/>
    <w:rsid w:val="00B93A3C"/>
    <w:rsid w:val="00B96287"/>
    <w:rsid w:val="00BA1B90"/>
    <w:rsid w:val="00BA4212"/>
    <w:rsid w:val="00BC1B6F"/>
    <w:rsid w:val="00BC60DC"/>
    <w:rsid w:val="00BD7CD4"/>
    <w:rsid w:val="00BF7FE3"/>
    <w:rsid w:val="00C05305"/>
    <w:rsid w:val="00C2045D"/>
    <w:rsid w:val="00C23B78"/>
    <w:rsid w:val="00C24D50"/>
    <w:rsid w:val="00C3468B"/>
    <w:rsid w:val="00C50408"/>
    <w:rsid w:val="00C7030A"/>
    <w:rsid w:val="00C704FC"/>
    <w:rsid w:val="00C765C7"/>
    <w:rsid w:val="00C84D26"/>
    <w:rsid w:val="00C948C5"/>
    <w:rsid w:val="00CB0974"/>
    <w:rsid w:val="00CB7DEB"/>
    <w:rsid w:val="00CC7B3C"/>
    <w:rsid w:val="00CD2D08"/>
    <w:rsid w:val="00CF17C1"/>
    <w:rsid w:val="00D36508"/>
    <w:rsid w:val="00D51059"/>
    <w:rsid w:val="00D551C9"/>
    <w:rsid w:val="00D56074"/>
    <w:rsid w:val="00D57B91"/>
    <w:rsid w:val="00D61497"/>
    <w:rsid w:val="00D6373A"/>
    <w:rsid w:val="00D77146"/>
    <w:rsid w:val="00D823AF"/>
    <w:rsid w:val="00D83DE4"/>
    <w:rsid w:val="00DA0830"/>
    <w:rsid w:val="00DA11C2"/>
    <w:rsid w:val="00DB074F"/>
    <w:rsid w:val="00DB1F82"/>
    <w:rsid w:val="00DB2902"/>
    <w:rsid w:val="00DB743E"/>
    <w:rsid w:val="00DC0F72"/>
    <w:rsid w:val="00DC1DD9"/>
    <w:rsid w:val="00DC5947"/>
    <w:rsid w:val="00DC639F"/>
    <w:rsid w:val="00DC7CE7"/>
    <w:rsid w:val="00DC7F27"/>
    <w:rsid w:val="00DD1FEE"/>
    <w:rsid w:val="00DE0E35"/>
    <w:rsid w:val="00DE4DC4"/>
    <w:rsid w:val="00DF374D"/>
    <w:rsid w:val="00DF44AC"/>
    <w:rsid w:val="00E02872"/>
    <w:rsid w:val="00E11444"/>
    <w:rsid w:val="00E14CFE"/>
    <w:rsid w:val="00E2529E"/>
    <w:rsid w:val="00E32219"/>
    <w:rsid w:val="00E3522A"/>
    <w:rsid w:val="00E36906"/>
    <w:rsid w:val="00E608F5"/>
    <w:rsid w:val="00E62E10"/>
    <w:rsid w:val="00E91EF6"/>
    <w:rsid w:val="00E964FD"/>
    <w:rsid w:val="00E96567"/>
    <w:rsid w:val="00EA3A57"/>
    <w:rsid w:val="00EB427C"/>
    <w:rsid w:val="00EB48DB"/>
    <w:rsid w:val="00ED13BC"/>
    <w:rsid w:val="00ED4D5E"/>
    <w:rsid w:val="00ED5756"/>
    <w:rsid w:val="00ED714C"/>
    <w:rsid w:val="00EE292C"/>
    <w:rsid w:val="00EF5DE7"/>
    <w:rsid w:val="00F006B2"/>
    <w:rsid w:val="00F06821"/>
    <w:rsid w:val="00F068F0"/>
    <w:rsid w:val="00F15F80"/>
    <w:rsid w:val="00F256DD"/>
    <w:rsid w:val="00F25FD7"/>
    <w:rsid w:val="00F37104"/>
    <w:rsid w:val="00F40391"/>
    <w:rsid w:val="00F43DFA"/>
    <w:rsid w:val="00F56C03"/>
    <w:rsid w:val="00F64E9C"/>
    <w:rsid w:val="00F85C4A"/>
    <w:rsid w:val="00F87670"/>
    <w:rsid w:val="00F90609"/>
    <w:rsid w:val="00FC03A1"/>
    <w:rsid w:val="00FD1B8D"/>
    <w:rsid w:val="00FE743F"/>
    <w:rsid w:val="00FF1D8A"/>
    <w:rsid w:val="00FF731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A3E"/>
    <w:rPr>
      <w:rFonts w:eastAsia="Times New Roman"/>
      <w:color w:val="000000"/>
      <w:sz w:val="24"/>
      <w:szCs w:val="24"/>
    </w:rPr>
  </w:style>
  <w:style w:type="paragraph" w:styleId="Heading1">
    <w:name w:val="heading 1"/>
    <w:aliases w:val="Part Title"/>
    <w:basedOn w:val="Normal"/>
    <w:next w:val="Heading4"/>
    <w:link w:val="Heading1Char"/>
    <w:uiPriority w:val="99"/>
    <w:qFormat/>
    <w:rsid w:val="00830A3E"/>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uiPriority w:val="99"/>
    <w:qFormat/>
    <w:rsid w:val="00830A3E"/>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uiPriority w:val="99"/>
    <w:qFormat/>
    <w:rsid w:val="00830A3E"/>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uiPriority w:val="99"/>
    <w:qFormat/>
    <w:rsid w:val="00830A3E"/>
    <w:pPr>
      <w:spacing w:after="240"/>
      <w:outlineLvl w:val="3"/>
    </w:pPr>
    <w:rPr>
      <w:rFonts w:ascii="Arial" w:hAnsi="Arial" w:cs="Arial"/>
      <w:b/>
      <w:sz w:val="32"/>
      <w:szCs w:val="20"/>
    </w:rPr>
  </w:style>
  <w:style w:type="paragraph" w:styleId="Heading5">
    <w:name w:val="heading 5"/>
    <w:aliases w:val="Block Label"/>
    <w:basedOn w:val="Normal"/>
    <w:link w:val="Heading5Char"/>
    <w:uiPriority w:val="99"/>
    <w:qFormat/>
    <w:rsid w:val="00830A3E"/>
    <w:pPr>
      <w:outlineLvl w:val="4"/>
    </w:pPr>
    <w:rPr>
      <w:b/>
      <w:sz w:val="22"/>
      <w:szCs w:val="20"/>
    </w:rPr>
  </w:style>
  <w:style w:type="paragraph" w:styleId="Heading6">
    <w:name w:val="heading 6"/>
    <w:aliases w:val="Sub Label"/>
    <w:basedOn w:val="Heading5"/>
    <w:next w:val="BlockText"/>
    <w:link w:val="Heading6Char"/>
    <w:uiPriority w:val="99"/>
    <w:qFormat/>
    <w:rsid w:val="00830A3E"/>
    <w:pPr>
      <w:spacing w:before="240" w:after="60"/>
      <w:outlineLvl w:val="5"/>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Title Char"/>
    <w:basedOn w:val="DefaultParagraphFont"/>
    <w:link w:val="Heading1"/>
    <w:uiPriority w:val="99"/>
    <w:locked/>
    <w:rsid w:val="00C24D50"/>
    <w:rPr>
      <w:rFonts w:ascii="Arial" w:hAnsi="Arial" w:cs="Arial"/>
      <w:b/>
      <w:color w:val="000000"/>
      <w:sz w:val="32"/>
    </w:rPr>
  </w:style>
  <w:style w:type="character" w:customStyle="1" w:styleId="Heading2Char">
    <w:name w:val="Heading 2 Char"/>
    <w:aliases w:val="Chapter Title Char"/>
    <w:basedOn w:val="DefaultParagraphFont"/>
    <w:link w:val="Heading2"/>
    <w:uiPriority w:val="99"/>
    <w:locked/>
    <w:rsid w:val="00C24D50"/>
    <w:rPr>
      <w:rFonts w:ascii="Arial" w:hAnsi="Arial" w:cs="Arial"/>
      <w:b/>
      <w:color w:val="000000"/>
      <w:sz w:val="32"/>
    </w:rPr>
  </w:style>
  <w:style w:type="character" w:customStyle="1" w:styleId="Heading3Char">
    <w:name w:val="Heading 3 Char"/>
    <w:aliases w:val="Section Title Char"/>
    <w:basedOn w:val="DefaultParagraphFont"/>
    <w:link w:val="Heading3"/>
    <w:uiPriority w:val="99"/>
    <w:locked/>
    <w:rsid w:val="00C24D50"/>
    <w:rPr>
      <w:rFonts w:ascii="Arial" w:hAnsi="Arial" w:cs="Arial"/>
      <w:b/>
      <w:color w:val="000000"/>
      <w:sz w:val="32"/>
    </w:rPr>
  </w:style>
  <w:style w:type="character" w:customStyle="1" w:styleId="Heading4Char">
    <w:name w:val="Heading 4 Char"/>
    <w:aliases w:val="Map Title Char"/>
    <w:basedOn w:val="DefaultParagraphFont"/>
    <w:link w:val="Heading4"/>
    <w:uiPriority w:val="99"/>
    <w:locked/>
    <w:rsid w:val="00504F80"/>
    <w:rPr>
      <w:rFonts w:ascii="Arial" w:hAnsi="Arial" w:cs="Arial"/>
      <w:b/>
      <w:color w:val="000000"/>
      <w:sz w:val="32"/>
    </w:rPr>
  </w:style>
  <w:style w:type="character" w:customStyle="1" w:styleId="Heading5Char">
    <w:name w:val="Heading 5 Char"/>
    <w:aliases w:val="Block Label Char"/>
    <w:basedOn w:val="DefaultParagraphFont"/>
    <w:link w:val="Heading5"/>
    <w:uiPriority w:val="99"/>
    <w:locked/>
    <w:rsid w:val="00504F80"/>
    <w:rPr>
      <w:rFonts w:eastAsia="Times New Roman" w:cs="Times New Roman"/>
      <w:b/>
      <w:color w:val="000000"/>
      <w:sz w:val="22"/>
    </w:rPr>
  </w:style>
  <w:style w:type="character" w:customStyle="1" w:styleId="Heading6Char">
    <w:name w:val="Heading 6 Char"/>
    <w:aliases w:val="Sub Label Char"/>
    <w:basedOn w:val="DefaultParagraphFont"/>
    <w:link w:val="Heading6"/>
    <w:uiPriority w:val="99"/>
    <w:locked/>
    <w:rsid w:val="00C24D50"/>
    <w:rPr>
      <w:rFonts w:eastAsia="Times New Roman" w:cs="Times New Roman"/>
      <w:b/>
      <w:i/>
      <w:color w:val="000000"/>
      <w:sz w:val="22"/>
    </w:rPr>
  </w:style>
  <w:style w:type="paragraph" w:customStyle="1" w:styleId="BlockLine">
    <w:name w:val="Block Line"/>
    <w:basedOn w:val="Normal"/>
    <w:next w:val="Normal"/>
    <w:uiPriority w:val="99"/>
    <w:rsid w:val="00830A3E"/>
    <w:pPr>
      <w:pBdr>
        <w:top w:val="single" w:sz="6" w:space="1" w:color="000000"/>
        <w:between w:val="single" w:sz="6" w:space="1" w:color="auto"/>
      </w:pBdr>
      <w:spacing w:before="240"/>
      <w:ind w:left="1728"/>
    </w:pPr>
    <w:rPr>
      <w:szCs w:val="20"/>
    </w:rPr>
  </w:style>
  <w:style w:type="paragraph" w:styleId="BlockText">
    <w:name w:val="Block Text"/>
    <w:basedOn w:val="Normal"/>
    <w:uiPriority w:val="99"/>
    <w:rsid w:val="00830A3E"/>
  </w:style>
  <w:style w:type="paragraph" w:customStyle="1" w:styleId="BulletText1">
    <w:name w:val="Bullet Text 1"/>
    <w:basedOn w:val="Normal"/>
    <w:uiPriority w:val="99"/>
    <w:rsid w:val="00830A3E"/>
    <w:pPr>
      <w:numPr>
        <w:numId w:val="2"/>
      </w:numPr>
    </w:pPr>
    <w:rPr>
      <w:szCs w:val="20"/>
    </w:rPr>
  </w:style>
  <w:style w:type="paragraph" w:customStyle="1" w:styleId="ContinuedOnNextPa">
    <w:name w:val="Continued On Next Pa"/>
    <w:basedOn w:val="Normal"/>
    <w:next w:val="Normal"/>
    <w:uiPriority w:val="99"/>
    <w:rsid w:val="00830A3E"/>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uiPriority w:val="99"/>
    <w:rsid w:val="00830A3E"/>
    <w:rPr>
      <w:szCs w:val="20"/>
    </w:rPr>
  </w:style>
  <w:style w:type="paragraph" w:customStyle="1" w:styleId="TableHeaderText">
    <w:name w:val="Table Header Text"/>
    <w:basedOn w:val="Normal"/>
    <w:uiPriority w:val="99"/>
    <w:rsid w:val="00830A3E"/>
    <w:pPr>
      <w:jc w:val="center"/>
    </w:pPr>
    <w:rPr>
      <w:b/>
      <w:szCs w:val="20"/>
    </w:rPr>
  </w:style>
  <w:style w:type="paragraph" w:customStyle="1" w:styleId="MapTitleContinued">
    <w:name w:val="Map Title. Continued"/>
    <w:basedOn w:val="Normal"/>
    <w:next w:val="Normal"/>
    <w:uiPriority w:val="99"/>
    <w:rsid w:val="00830A3E"/>
    <w:pPr>
      <w:spacing w:after="240"/>
    </w:pPr>
    <w:rPr>
      <w:rFonts w:ascii="Arial" w:hAnsi="Arial" w:cs="Arial"/>
      <w:b/>
      <w:sz w:val="32"/>
      <w:szCs w:val="20"/>
    </w:rPr>
  </w:style>
  <w:style w:type="paragraph" w:customStyle="1" w:styleId="BulletText2">
    <w:name w:val="Bullet Text 2"/>
    <w:basedOn w:val="Normal"/>
    <w:uiPriority w:val="99"/>
    <w:rsid w:val="00830A3E"/>
    <w:pPr>
      <w:numPr>
        <w:numId w:val="3"/>
      </w:numPr>
    </w:pPr>
    <w:rPr>
      <w:szCs w:val="20"/>
    </w:rPr>
  </w:style>
  <w:style w:type="character" w:styleId="Hyperlink">
    <w:name w:val="Hyperlink"/>
    <w:basedOn w:val="DefaultParagraphFont"/>
    <w:uiPriority w:val="99"/>
    <w:rsid w:val="00830A3E"/>
    <w:rPr>
      <w:rFonts w:cs="Times New Roman"/>
      <w:color w:val="0000FF"/>
      <w:u w:val="single"/>
    </w:rPr>
  </w:style>
  <w:style w:type="paragraph" w:customStyle="1" w:styleId="ContinuedTableLabe">
    <w:name w:val="Continued Table Labe"/>
    <w:basedOn w:val="Normal"/>
    <w:next w:val="Normal"/>
    <w:uiPriority w:val="99"/>
    <w:rsid w:val="00830A3E"/>
    <w:pPr>
      <w:spacing w:after="240"/>
    </w:pPr>
    <w:rPr>
      <w:b/>
      <w:sz w:val="22"/>
      <w:szCs w:val="20"/>
    </w:rPr>
  </w:style>
  <w:style w:type="paragraph" w:customStyle="1" w:styleId="MemoLine">
    <w:name w:val="Memo Line"/>
    <w:basedOn w:val="BlockLine"/>
    <w:next w:val="Normal"/>
    <w:uiPriority w:val="99"/>
    <w:rsid w:val="00830A3E"/>
  </w:style>
  <w:style w:type="paragraph" w:styleId="Footer">
    <w:name w:val="footer"/>
    <w:basedOn w:val="Normal"/>
    <w:link w:val="FooterChar"/>
    <w:uiPriority w:val="99"/>
    <w:rsid w:val="00830A3E"/>
    <w:pPr>
      <w:tabs>
        <w:tab w:val="center" w:pos="4680"/>
        <w:tab w:val="right" w:pos="9360"/>
      </w:tabs>
    </w:pPr>
    <w:rPr>
      <w:color w:val="auto"/>
    </w:rPr>
  </w:style>
  <w:style w:type="character" w:customStyle="1" w:styleId="FooterChar">
    <w:name w:val="Footer Char"/>
    <w:basedOn w:val="DefaultParagraphFont"/>
    <w:link w:val="Footer"/>
    <w:uiPriority w:val="99"/>
    <w:locked/>
    <w:rsid w:val="00830A3E"/>
    <w:rPr>
      <w:rFonts w:eastAsia="Times New Roman" w:cs="Times New Roman"/>
      <w:sz w:val="24"/>
    </w:rPr>
  </w:style>
  <w:style w:type="character" w:styleId="PageNumber">
    <w:name w:val="page number"/>
    <w:basedOn w:val="DefaultParagraphFont"/>
    <w:uiPriority w:val="99"/>
    <w:rsid w:val="00504F80"/>
    <w:rPr>
      <w:rFonts w:cs="Times New Roman"/>
    </w:rPr>
  </w:style>
  <w:style w:type="character" w:styleId="CommentReference">
    <w:name w:val="annotation reference"/>
    <w:basedOn w:val="DefaultParagraphFont"/>
    <w:uiPriority w:val="99"/>
    <w:semiHidden/>
    <w:rsid w:val="00B96287"/>
    <w:rPr>
      <w:rFonts w:cs="Times New Roman"/>
      <w:sz w:val="16"/>
      <w:szCs w:val="16"/>
    </w:rPr>
  </w:style>
  <w:style w:type="paragraph" w:styleId="CommentText">
    <w:name w:val="annotation text"/>
    <w:basedOn w:val="Normal"/>
    <w:link w:val="CommentTextChar"/>
    <w:uiPriority w:val="99"/>
    <w:semiHidden/>
    <w:rsid w:val="00B96287"/>
    <w:rPr>
      <w:sz w:val="20"/>
      <w:szCs w:val="20"/>
    </w:rPr>
  </w:style>
  <w:style w:type="character" w:customStyle="1" w:styleId="CommentTextChar">
    <w:name w:val="Comment Text Char"/>
    <w:basedOn w:val="DefaultParagraphFont"/>
    <w:link w:val="CommentText"/>
    <w:uiPriority w:val="99"/>
    <w:semiHidden/>
    <w:locked/>
    <w:rsid w:val="00B96287"/>
    <w:rPr>
      <w:rFonts w:eastAsia="Times New Roman" w:cs="Times New Roman"/>
      <w:color w:val="000000"/>
    </w:rPr>
  </w:style>
  <w:style w:type="paragraph" w:styleId="CommentSubject">
    <w:name w:val="annotation subject"/>
    <w:basedOn w:val="CommentText"/>
    <w:next w:val="CommentText"/>
    <w:link w:val="CommentSubjectChar"/>
    <w:uiPriority w:val="99"/>
    <w:semiHidden/>
    <w:rsid w:val="00B96287"/>
    <w:rPr>
      <w:b/>
      <w:bCs/>
    </w:rPr>
  </w:style>
  <w:style w:type="character" w:customStyle="1" w:styleId="CommentSubjectChar">
    <w:name w:val="Comment Subject Char"/>
    <w:basedOn w:val="CommentTextChar"/>
    <w:link w:val="CommentSubject"/>
    <w:uiPriority w:val="99"/>
    <w:semiHidden/>
    <w:locked/>
    <w:rsid w:val="00B96287"/>
    <w:rPr>
      <w:b/>
      <w:bCs/>
    </w:rPr>
  </w:style>
  <w:style w:type="paragraph" w:styleId="BalloonText">
    <w:name w:val="Balloon Text"/>
    <w:basedOn w:val="Normal"/>
    <w:link w:val="BalloonTextChar"/>
    <w:uiPriority w:val="99"/>
    <w:semiHidden/>
    <w:rsid w:val="00830A3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6287"/>
    <w:rPr>
      <w:rFonts w:ascii="Tahoma" w:hAnsi="Tahoma" w:cs="Tahoma"/>
      <w:color w:val="000000"/>
      <w:sz w:val="16"/>
      <w:szCs w:val="16"/>
    </w:rPr>
  </w:style>
  <w:style w:type="paragraph" w:customStyle="1" w:styleId="BulletText3">
    <w:name w:val="Bullet Text 3"/>
    <w:basedOn w:val="Normal"/>
    <w:uiPriority w:val="99"/>
    <w:rsid w:val="00830A3E"/>
    <w:pPr>
      <w:numPr>
        <w:numId w:val="4"/>
      </w:numPr>
      <w:tabs>
        <w:tab w:val="clear" w:pos="173"/>
      </w:tabs>
      <w:ind w:left="533" w:hanging="173"/>
    </w:pPr>
    <w:rPr>
      <w:szCs w:val="20"/>
    </w:rPr>
  </w:style>
  <w:style w:type="paragraph" w:customStyle="1" w:styleId="ContinuedBlockLabel">
    <w:name w:val="Continued Block Label"/>
    <w:basedOn w:val="Normal"/>
    <w:next w:val="Normal"/>
    <w:uiPriority w:val="99"/>
    <w:rsid w:val="00830A3E"/>
    <w:pPr>
      <w:spacing w:after="240"/>
    </w:pPr>
    <w:rPr>
      <w:b/>
      <w:sz w:val="22"/>
      <w:szCs w:val="20"/>
    </w:rPr>
  </w:style>
  <w:style w:type="paragraph" w:customStyle="1" w:styleId="EmbeddedText">
    <w:name w:val="Embedded Text"/>
    <w:basedOn w:val="Normal"/>
    <w:uiPriority w:val="99"/>
    <w:rsid w:val="00830A3E"/>
    <w:rPr>
      <w:szCs w:val="20"/>
    </w:rPr>
  </w:style>
  <w:style w:type="character" w:styleId="HTMLAcronym">
    <w:name w:val="HTML Acronym"/>
    <w:basedOn w:val="DefaultParagraphFont"/>
    <w:uiPriority w:val="99"/>
    <w:rsid w:val="00830A3E"/>
    <w:rPr>
      <w:rFonts w:cs="Times New Roman"/>
    </w:rPr>
  </w:style>
  <w:style w:type="paragraph" w:customStyle="1" w:styleId="IMTOC">
    <w:name w:val="IMTOC"/>
    <w:uiPriority w:val="99"/>
    <w:rsid w:val="00830A3E"/>
    <w:rPr>
      <w:rFonts w:eastAsia="Times New Roman"/>
      <w:sz w:val="24"/>
      <w:szCs w:val="20"/>
    </w:rPr>
  </w:style>
  <w:style w:type="paragraph" w:customStyle="1" w:styleId="NoteText">
    <w:name w:val="Note Text"/>
    <w:basedOn w:val="Normal"/>
    <w:uiPriority w:val="99"/>
    <w:rsid w:val="00830A3E"/>
    <w:rPr>
      <w:szCs w:val="20"/>
    </w:rPr>
  </w:style>
  <w:style w:type="paragraph" w:customStyle="1" w:styleId="PublicationTitle">
    <w:name w:val="Publication Title"/>
    <w:basedOn w:val="Normal"/>
    <w:next w:val="Heading4"/>
    <w:uiPriority w:val="99"/>
    <w:rsid w:val="00830A3E"/>
    <w:pPr>
      <w:spacing w:after="240"/>
      <w:jc w:val="center"/>
    </w:pPr>
    <w:rPr>
      <w:rFonts w:ascii="Arial" w:hAnsi="Arial" w:cs="Arial"/>
      <w:b/>
      <w:sz w:val="32"/>
      <w:szCs w:val="20"/>
    </w:rPr>
  </w:style>
  <w:style w:type="table" w:styleId="TableGrid">
    <w:name w:val="Table Grid"/>
    <w:basedOn w:val="TableNormal"/>
    <w:uiPriority w:val="99"/>
    <w:rsid w:val="00830A3E"/>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OCTitle">
    <w:name w:val="TOC Title"/>
    <w:basedOn w:val="Normal"/>
    <w:uiPriority w:val="99"/>
    <w:rsid w:val="00830A3E"/>
    <w:pPr>
      <w:widowControl w:val="0"/>
    </w:pPr>
    <w:rPr>
      <w:rFonts w:ascii="Arial" w:hAnsi="Arial" w:cs="Arial"/>
      <w:b/>
      <w:sz w:val="32"/>
      <w:szCs w:val="20"/>
    </w:rPr>
  </w:style>
  <w:style w:type="paragraph" w:customStyle="1" w:styleId="TOCItem">
    <w:name w:val="TOCItem"/>
    <w:basedOn w:val="Normal"/>
    <w:uiPriority w:val="99"/>
    <w:rsid w:val="00830A3E"/>
    <w:pPr>
      <w:tabs>
        <w:tab w:val="left" w:leader="dot" w:pos="7061"/>
        <w:tab w:val="right" w:pos="7524"/>
      </w:tabs>
      <w:spacing w:before="60" w:after="60"/>
      <w:ind w:right="465"/>
    </w:pPr>
    <w:rPr>
      <w:szCs w:val="20"/>
    </w:rPr>
  </w:style>
  <w:style w:type="paragraph" w:customStyle="1" w:styleId="TOCStem">
    <w:name w:val="TOCStem"/>
    <w:basedOn w:val="Normal"/>
    <w:uiPriority w:val="99"/>
    <w:rsid w:val="00830A3E"/>
    <w:rPr>
      <w:szCs w:val="20"/>
    </w:rPr>
  </w:style>
  <w:style w:type="paragraph" w:styleId="Header">
    <w:name w:val="header"/>
    <w:basedOn w:val="Normal"/>
    <w:link w:val="HeaderChar"/>
    <w:uiPriority w:val="99"/>
    <w:rsid w:val="00830A3E"/>
    <w:pPr>
      <w:tabs>
        <w:tab w:val="center" w:pos="4680"/>
        <w:tab w:val="right" w:pos="9360"/>
      </w:tabs>
    </w:pPr>
    <w:rPr>
      <w:color w:val="auto"/>
    </w:rPr>
  </w:style>
  <w:style w:type="character" w:customStyle="1" w:styleId="HeaderChar">
    <w:name w:val="Header Char"/>
    <w:basedOn w:val="DefaultParagraphFont"/>
    <w:link w:val="Header"/>
    <w:uiPriority w:val="99"/>
    <w:locked/>
    <w:rsid w:val="00830A3E"/>
    <w:rPr>
      <w:rFonts w:eastAsia="Times New Roman" w:cs="Times New Roman"/>
      <w:sz w:val="24"/>
    </w:rPr>
  </w:style>
  <w:style w:type="character" w:styleId="FollowedHyperlink">
    <w:name w:val="FollowedHyperlink"/>
    <w:basedOn w:val="DefaultParagraphFont"/>
    <w:uiPriority w:val="99"/>
    <w:rsid w:val="00830A3E"/>
    <w:rPr>
      <w:rFonts w:cs="Times New Roman"/>
      <w:color w:val="800080"/>
      <w:u w:val="single"/>
    </w:rPr>
  </w:style>
  <w:style w:type="paragraph" w:styleId="TOC3">
    <w:name w:val="toc 3"/>
    <w:basedOn w:val="Normal"/>
    <w:next w:val="Normal"/>
    <w:autoRedefine/>
    <w:uiPriority w:val="99"/>
    <w:rsid w:val="00830A3E"/>
    <w:pPr>
      <w:ind w:left="480"/>
    </w:pPr>
  </w:style>
  <w:style w:type="paragraph" w:styleId="TOC4">
    <w:name w:val="toc 4"/>
    <w:basedOn w:val="Normal"/>
    <w:next w:val="Normal"/>
    <w:autoRedefine/>
    <w:uiPriority w:val="99"/>
    <w:rsid w:val="00830A3E"/>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vbaw.vba.va.gov/bl/21/Systems/award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Information%20Mapping\FS%20Pro%204.2\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FSPro.dotm</Template>
  <TotalTime>614</TotalTime>
  <Pages>4</Pages>
  <Words>1078</Words>
  <Characters>6150</Characters>
  <Application>Microsoft Office Outlook</Application>
  <DocSecurity>0</DocSecurity>
  <Lines>0</Lines>
  <Paragraphs>0</Paragraphs>
  <ScaleCrop>false</ScaleCrop>
  <Company>Department of Veterans Affairs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capktibb</dc:creator>
  <cp:keywords/>
  <dc:description/>
  <cp:lastModifiedBy>faajschm</cp:lastModifiedBy>
  <cp:revision>50</cp:revision>
  <dcterms:created xsi:type="dcterms:W3CDTF">2011-12-16T16:16:00Z</dcterms:created>
  <dcterms:modified xsi:type="dcterms:W3CDTF">2012-09-27T15:07:00Z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0x01010087CC3A49C1CDA34C8A8DBFD75C1DD13C</vt:lpwstr>
  </property>
</Properties>
</file>