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8DF5E" w14:textId="2994602B"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w:t>
      </w:r>
      <w:r w:rsidR="00C10796">
        <w:rPr>
          <w:rFonts w:ascii="Times New Roman" w:hAnsi="Times New Roman"/>
          <w:sz w:val="20"/>
        </w:rPr>
        <w:t>ment of Veterans Affairs</w:t>
      </w:r>
      <w:r w:rsidR="00C10796">
        <w:rPr>
          <w:rFonts w:ascii="Times New Roman" w:hAnsi="Times New Roman"/>
          <w:sz w:val="20"/>
        </w:rPr>
        <w:tab/>
        <w:t>M21-1</w:t>
      </w:r>
      <w:r>
        <w:rPr>
          <w:rFonts w:ascii="Times New Roman" w:hAnsi="Times New Roman"/>
          <w:sz w:val="20"/>
        </w:rPr>
        <w:t xml:space="preserve">, Part </w:t>
      </w:r>
      <w:r w:rsidR="00945950">
        <w:rPr>
          <w:rFonts w:ascii="Times New Roman" w:hAnsi="Times New Roman"/>
          <w:sz w:val="20"/>
        </w:rPr>
        <w:t>III</w:t>
      </w:r>
      <w:r w:rsidR="00DE62E3">
        <w:rPr>
          <w:rFonts w:ascii="Times New Roman" w:hAnsi="Times New Roman"/>
          <w:sz w:val="20"/>
        </w:rPr>
        <w:t>, Subpart v</w:t>
      </w:r>
    </w:p>
    <w:p w14:paraId="064DE32E" w14:textId="511F1905"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9F2830">
        <w:rPr>
          <w:b/>
          <w:bCs/>
          <w:sz w:val="20"/>
        </w:rPr>
        <w:t xml:space="preserve">                          April 6, 2015</w:t>
      </w:r>
      <w:r>
        <w:rPr>
          <w:b/>
          <w:bCs/>
          <w:sz w:val="20"/>
        </w:rPr>
        <w:tab/>
      </w:r>
    </w:p>
    <w:p w14:paraId="751120DE" w14:textId="77777777" w:rsidR="00504F80" w:rsidRDefault="00504F80" w:rsidP="00504F80">
      <w:pPr>
        <w:rPr>
          <w:b/>
          <w:bCs/>
          <w:sz w:val="20"/>
        </w:rPr>
      </w:pPr>
      <w:r>
        <w:rPr>
          <w:b/>
          <w:bCs/>
          <w:sz w:val="20"/>
        </w:rPr>
        <w:t>Washington, DC  20420</w:t>
      </w:r>
    </w:p>
    <w:p w14:paraId="2D26D797" w14:textId="77777777" w:rsidR="00504F80" w:rsidRDefault="00504F80" w:rsidP="00504F80">
      <w:pPr>
        <w:rPr>
          <w:b/>
          <w:bCs/>
          <w:sz w:val="20"/>
        </w:rPr>
      </w:pPr>
    </w:p>
    <w:p w14:paraId="462987C2" w14:textId="77777777" w:rsidR="00504F80" w:rsidRDefault="00504F80" w:rsidP="00504F80">
      <w:pPr>
        <w:pStyle w:val="Heading4"/>
      </w:pPr>
      <w:r>
        <w:t xml:space="preserve">Transmittal Sheet </w:t>
      </w:r>
    </w:p>
    <w:p w14:paraId="4249F764"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27296D15" w14:textId="77777777" w:rsidTr="00C24D50">
        <w:tc>
          <w:tcPr>
            <w:tcW w:w="1728" w:type="dxa"/>
          </w:tcPr>
          <w:p w14:paraId="2AA48FF8" w14:textId="77777777" w:rsidR="00504F80" w:rsidRDefault="00504F80" w:rsidP="00237C22">
            <w:pPr>
              <w:pStyle w:val="Heading5"/>
            </w:pPr>
            <w:r>
              <w:t>Changes Included in This Revision</w:t>
            </w:r>
          </w:p>
        </w:tc>
        <w:tc>
          <w:tcPr>
            <w:tcW w:w="7740" w:type="dxa"/>
          </w:tcPr>
          <w:p w14:paraId="0633F25E" w14:textId="4D3445CD" w:rsidR="00504F80" w:rsidRDefault="00504F80" w:rsidP="00237C22">
            <w:pPr>
              <w:pStyle w:val="BlockText"/>
            </w:pPr>
            <w:r>
              <w:t xml:space="preserve">The table below describes the changes included in this revision of </w:t>
            </w:r>
            <w:r w:rsidR="00C036A4">
              <w:t>Veterans Benefits Manual M21-1</w:t>
            </w:r>
            <w:r>
              <w:t xml:space="preserve">, Part </w:t>
            </w:r>
            <w:r w:rsidR="00BB3345">
              <w:t>III</w:t>
            </w:r>
            <w:r>
              <w:t>, “</w:t>
            </w:r>
            <w:r w:rsidR="00BB3345">
              <w:t>General Claims Process</w:t>
            </w:r>
            <w:r>
              <w:t xml:space="preserve">,” Subpart </w:t>
            </w:r>
            <w:r w:rsidR="00DE62E3">
              <w:t>v</w:t>
            </w:r>
            <w:r>
              <w:t>, “</w:t>
            </w:r>
            <w:r w:rsidR="00BB3345">
              <w:t xml:space="preserve">General </w:t>
            </w:r>
            <w:r w:rsidR="00DE62E3">
              <w:t>Authorization Issues and Claimant Notifications</w:t>
            </w:r>
            <w:r>
              <w:t>.”</w:t>
            </w:r>
          </w:p>
          <w:p w14:paraId="11E5A863" w14:textId="77777777" w:rsidR="00504F80" w:rsidRPr="00450FD6" w:rsidRDefault="00504F80" w:rsidP="00237C22">
            <w:pPr>
              <w:pStyle w:val="BulletText1"/>
              <w:numPr>
                <w:ilvl w:val="0"/>
                <w:numId w:val="0"/>
              </w:numPr>
            </w:pPr>
          </w:p>
          <w:p w14:paraId="3279A632" w14:textId="77777777" w:rsidR="00504F80" w:rsidRDefault="00504F80" w:rsidP="00237C22">
            <w:pPr>
              <w:pStyle w:val="BulletText1"/>
              <w:numPr>
                <w:ilvl w:val="0"/>
                <w:numId w:val="0"/>
              </w:numPr>
            </w:pPr>
            <w:r>
              <w:rPr>
                <w:b/>
                <w:i/>
              </w:rPr>
              <w:t>Notes</w:t>
            </w:r>
            <w:r>
              <w:t xml:space="preserve">:  </w:t>
            </w:r>
          </w:p>
          <w:p w14:paraId="7FE9A9E5" w14:textId="77777777" w:rsidR="00504F80" w:rsidRDefault="00504F80" w:rsidP="00237C22">
            <w:pPr>
              <w:pStyle w:val="BulletText1"/>
            </w:pPr>
            <w:r>
              <w:t>The term Veterans Service Center Manager (VSCM) also includes Pension Management Center Manager (PMCM)</w:t>
            </w:r>
            <w:r w:rsidR="00C24D50">
              <w:t>, where appropriate</w:t>
            </w:r>
            <w:r>
              <w:t>.</w:t>
            </w:r>
          </w:p>
          <w:p w14:paraId="4227BF4F" w14:textId="77777777" w:rsidR="00504F80" w:rsidRDefault="00504F80" w:rsidP="00C24D50">
            <w:pPr>
              <w:pStyle w:val="BulletText1"/>
            </w:pPr>
            <w:r>
              <w:t xml:space="preserve">Minor editorial changes have also been made to </w:t>
            </w:r>
          </w:p>
          <w:p w14:paraId="09E322FA" w14:textId="77777777" w:rsidR="00504F80" w:rsidRDefault="00504F80" w:rsidP="00237C22">
            <w:pPr>
              <w:pStyle w:val="BulletText2"/>
              <w:tabs>
                <w:tab w:val="num" w:pos="547"/>
              </w:tabs>
            </w:pPr>
            <w:r>
              <w:t>remove references to rescinded portions of M21-1</w:t>
            </w:r>
          </w:p>
          <w:p w14:paraId="69C18C29" w14:textId="77777777" w:rsidR="00504F80" w:rsidRDefault="00504F80" w:rsidP="00237C22">
            <w:pPr>
              <w:pStyle w:val="BulletText2"/>
              <w:tabs>
                <w:tab w:val="num" w:pos="547"/>
              </w:tabs>
            </w:pPr>
            <w:r>
              <w:t>update incorrect or obsolete hyperlink references</w:t>
            </w:r>
          </w:p>
          <w:p w14:paraId="0B411661" w14:textId="77777777" w:rsidR="00DE62E3" w:rsidRDefault="00DE62E3" w:rsidP="00237C22">
            <w:pPr>
              <w:pStyle w:val="BulletText2"/>
              <w:tabs>
                <w:tab w:val="num" w:pos="547"/>
              </w:tabs>
            </w:pPr>
            <w:r>
              <w:t>update the term “retired pay” to “military retired pay”</w:t>
            </w:r>
          </w:p>
          <w:p w14:paraId="5B043A7D" w14:textId="6A1C777F" w:rsidR="003A0BA9" w:rsidRDefault="003A0BA9" w:rsidP="00237C22">
            <w:pPr>
              <w:pStyle w:val="BulletText2"/>
              <w:tabs>
                <w:tab w:val="num" w:pos="547"/>
              </w:tabs>
            </w:pPr>
            <w:r>
              <w:t>update the term “grant” to “award</w:t>
            </w:r>
            <w:r w:rsidR="00B2274E">
              <w:t>,</w:t>
            </w:r>
            <w:r>
              <w:t>”</w:t>
            </w:r>
            <w:r w:rsidR="00B2274E">
              <w:t xml:space="preserve"> where appropriate</w:t>
            </w:r>
          </w:p>
          <w:p w14:paraId="4C44B08A" w14:textId="77777777" w:rsidR="00504F80" w:rsidRDefault="00504F80" w:rsidP="00237C22">
            <w:pPr>
              <w:pStyle w:val="BulletText2"/>
              <w:tabs>
                <w:tab w:val="num" w:pos="547"/>
              </w:tabs>
            </w:pPr>
            <w:r>
              <w:t>update obsolete terminology, where appropriate</w:t>
            </w:r>
          </w:p>
          <w:p w14:paraId="1117CAD0" w14:textId="77777777" w:rsidR="00AF242C" w:rsidRDefault="00F87F72" w:rsidP="00237C22">
            <w:pPr>
              <w:pStyle w:val="BulletText2"/>
              <w:tabs>
                <w:tab w:val="num" w:pos="547"/>
              </w:tabs>
            </w:pPr>
            <w:r>
              <w:t xml:space="preserve">renumber </w:t>
            </w:r>
            <w:r w:rsidR="00437647">
              <w:t xml:space="preserve">each </w:t>
            </w:r>
            <w:r w:rsidR="00526F0E">
              <w:t>topic</w:t>
            </w:r>
            <w:r w:rsidR="00437647">
              <w:t xml:space="preserve"> </w:t>
            </w:r>
            <w:r w:rsidR="00B2274E">
              <w:t>to account for the</w:t>
            </w:r>
          </w:p>
          <w:p w14:paraId="5988297D" w14:textId="77777777" w:rsidR="00AF242C" w:rsidRDefault="00B2274E" w:rsidP="00AF242C">
            <w:pPr>
              <w:pStyle w:val="ListParagraph"/>
              <w:numPr>
                <w:ilvl w:val="0"/>
                <w:numId w:val="11"/>
              </w:numPr>
              <w:ind w:left="518" w:hanging="158"/>
            </w:pPr>
            <w:r>
              <w:t xml:space="preserve">deletion of </w:t>
            </w:r>
            <w:r w:rsidR="00AF242C">
              <w:t>T</w:t>
            </w:r>
            <w:r>
              <w:t xml:space="preserve">opic 4 </w:t>
            </w:r>
            <w:r w:rsidR="00AF242C">
              <w:t>(</w:t>
            </w:r>
            <w:r>
              <w:t>in a prior change</w:t>
            </w:r>
            <w:r w:rsidR="00AF242C">
              <w:t xml:space="preserve">), and </w:t>
            </w:r>
          </w:p>
          <w:p w14:paraId="023583E4" w14:textId="57AC7527" w:rsidR="00271962" w:rsidRDefault="00AF242C" w:rsidP="00AF242C">
            <w:pPr>
              <w:pStyle w:val="ListParagraph"/>
              <w:numPr>
                <w:ilvl w:val="0"/>
                <w:numId w:val="11"/>
              </w:numPr>
              <w:ind w:left="518" w:hanging="158"/>
            </w:pPr>
            <w:r>
              <w:t>relocation of Topic 5 (in the current change)</w:t>
            </w:r>
          </w:p>
          <w:p w14:paraId="419402B5"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6638ABF3" w14:textId="0C38D805" w:rsidR="00504F80" w:rsidRPr="00EA3A57" w:rsidRDefault="00504F80" w:rsidP="00120103">
            <w:pPr>
              <w:pStyle w:val="BulletText2"/>
            </w:pPr>
            <w:proofErr w:type="gramStart"/>
            <w:r>
              <w:t>bring</w:t>
            </w:r>
            <w:proofErr w:type="gramEnd"/>
            <w:r>
              <w:t xml:space="preserve"> the document into conform</w:t>
            </w:r>
            <w:r w:rsidR="00E72214">
              <w:t>ance with M21-1</w:t>
            </w:r>
            <w:r>
              <w:t xml:space="preserve"> standards.</w:t>
            </w:r>
          </w:p>
        </w:tc>
      </w:tr>
    </w:tbl>
    <w:p w14:paraId="7B4A965E"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1"/>
        <w:gridCol w:w="2699"/>
      </w:tblGrid>
      <w:tr w:rsidR="002A1D3E" w14:paraId="744F3057" w14:textId="77777777" w:rsidTr="009F2830">
        <w:trPr>
          <w:trHeight w:val="180"/>
        </w:trPr>
        <w:tc>
          <w:tcPr>
            <w:tcW w:w="3558" w:type="pct"/>
            <w:shd w:val="clear" w:color="auto" w:fill="auto"/>
          </w:tcPr>
          <w:p w14:paraId="777788E2" w14:textId="77777777" w:rsidR="002A1D3E" w:rsidRPr="00C24D50" w:rsidRDefault="002A1D3E" w:rsidP="002F7397">
            <w:pPr>
              <w:pStyle w:val="TableHeaderText"/>
            </w:pPr>
            <w:r w:rsidRPr="00C24D50">
              <w:t>Reason(s) for the Change</w:t>
            </w:r>
          </w:p>
        </w:tc>
        <w:tc>
          <w:tcPr>
            <w:tcW w:w="1442" w:type="pct"/>
            <w:shd w:val="clear" w:color="auto" w:fill="auto"/>
          </w:tcPr>
          <w:p w14:paraId="3FCB4628" w14:textId="77777777" w:rsidR="002A1D3E" w:rsidRPr="00C24D50" w:rsidRDefault="002A1D3E" w:rsidP="002F7397">
            <w:pPr>
              <w:pStyle w:val="TableHeaderText"/>
            </w:pPr>
            <w:r w:rsidRPr="00C24D50">
              <w:t>Citation</w:t>
            </w:r>
          </w:p>
        </w:tc>
      </w:tr>
      <w:tr w:rsidR="00B2274E" w14:paraId="0A30376F" w14:textId="77777777" w:rsidTr="009F2830">
        <w:trPr>
          <w:trHeight w:val="180"/>
        </w:trPr>
        <w:tc>
          <w:tcPr>
            <w:tcW w:w="3558" w:type="pct"/>
            <w:shd w:val="clear" w:color="auto" w:fill="auto"/>
          </w:tcPr>
          <w:p w14:paraId="2BCFDCBB" w14:textId="0AB1B4B5" w:rsidR="00B2274E" w:rsidRDefault="00B2274E" w:rsidP="00BD6729">
            <w:pPr>
              <w:pStyle w:val="TableText"/>
            </w:pPr>
            <w:r>
              <w:t>To add Federal tax information (FTI) as a type of evidence that, if relevant and of record, must be considered when making an entitlement decision.</w:t>
            </w:r>
          </w:p>
        </w:tc>
        <w:tc>
          <w:tcPr>
            <w:tcW w:w="1442" w:type="pct"/>
            <w:shd w:val="clear" w:color="auto" w:fill="auto"/>
          </w:tcPr>
          <w:p w14:paraId="6053CEC5" w14:textId="445530C9" w:rsidR="00B2274E" w:rsidRDefault="00B2274E" w:rsidP="002F7397">
            <w:pPr>
              <w:pStyle w:val="TableText"/>
            </w:pPr>
            <w:r>
              <w:t>M21-1, Part III, Subpart v, Chapter 2, Section A, Topic 1, Block a (III.v.2.A.1.a)</w:t>
            </w:r>
          </w:p>
        </w:tc>
      </w:tr>
      <w:tr w:rsidR="00B2274E" w14:paraId="1358644C" w14:textId="77777777" w:rsidTr="009F2830">
        <w:trPr>
          <w:trHeight w:val="180"/>
        </w:trPr>
        <w:tc>
          <w:tcPr>
            <w:tcW w:w="3558" w:type="pct"/>
            <w:shd w:val="clear" w:color="auto" w:fill="auto"/>
          </w:tcPr>
          <w:p w14:paraId="4044A16F" w14:textId="1F41E9B1" w:rsidR="00B2274E" w:rsidRDefault="00B2274E" w:rsidP="00B2274E">
            <w:pPr>
              <w:pStyle w:val="TableText"/>
            </w:pPr>
            <w:r>
              <w:t xml:space="preserve">To explain the proper payment of benefits to a beneficiary </w:t>
            </w:r>
            <w:r w:rsidR="00AF242C" w:rsidRPr="00AF242C">
              <w:t>the Department of Veterans Affairs (VA)</w:t>
            </w:r>
            <w:r w:rsidR="00AF242C">
              <w:t xml:space="preserve"> </w:t>
            </w:r>
            <w:r>
              <w:t>has proposed to rate incompetent.</w:t>
            </w:r>
          </w:p>
        </w:tc>
        <w:tc>
          <w:tcPr>
            <w:tcW w:w="1442" w:type="pct"/>
            <w:shd w:val="clear" w:color="auto" w:fill="auto"/>
          </w:tcPr>
          <w:p w14:paraId="23F1EE87" w14:textId="0FDD311F" w:rsidR="00B2274E" w:rsidRDefault="00B2274E" w:rsidP="002F7397">
            <w:pPr>
              <w:pStyle w:val="TableText"/>
            </w:pPr>
            <w:r>
              <w:t>III.v.2.A.1.c</w:t>
            </w:r>
          </w:p>
        </w:tc>
      </w:tr>
      <w:tr w:rsidR="00B2274E" w14:paraId="13AEF4E6" w14:textId="77777777" w:rsidTr="009F2830">
        <w:trPr>
          <w:trHeight w:val="180"/>
        </w:trPr>
        <w:tc>
          <w:tcPr>
            <w:tcW w:w="3558" w:type="pct"/>
            <w:shd w:val="clear" w:color="auto" w:fill="auto"/>
          </w:tcPr>
          <w:p w14:paraId="0E2FD327" w14:textId="39F5C7C3" w:rsidR="00B2274E" w:rsidRDefault="00B2274E" w:rsidP="00B2274E">
            <w:pPr>
              <w:pStyle w:val="TableText"/>
            </w:pPr>
            <w:r>
              <w:t>To refer the reader to III.v.2.B for information about the handling of decision notices that contain FTI.</w:t>
            </w:r>
          </w:p>
        </w:tc>
        <w:tc>
          <w:tcPr>
            <w:tcW w:w="1442" w:type="pct"/>
            <w:shd w:val="clear" w:color="auto" w:fill="auto"/>
          </w:tcPr>
          <w:p w14:paraId="5BC44599" w14:textId="4BFCC66D" w:rsidR="00B2274E" w:rsidRDefault="007A14D5" w:rsidP="002F7397">
            <w:pPr>
              <w:pStyle w:val="TableText"/>
            </w:pPr>
            <w:r>
              <w:t>III.v.2.A.2.c</w:t>
            </w:r>
          </w:p>
        </w:tc>
      </w:tr>
      <w:tr w:rsidR="00344B89" w14:paraId="58E43F6E" w14:textId="77777777" w:rsidTr="009F2830">
        <w:trPr>
          <w:trHeight w:val="180"/>
        </w:trPr>
        <w:tc>
          <w:tcPr>
            <w:tcW w:w="3558" w:type="pct"/>
            <w:shd w:val="clear" w:color="auto" w:fill="auto"/>
          </w:tcPr>
          <w:p w14:paraId="15F1945A" w14:textId="3F2B0706" w:rsidR="00344B89" w:rsidRDefault="00B2274E" w:rsidP="00F34ACB">
            <w:pPr>
              <w:pStyle w:val="TableText"/>
            </w:pPr>
            <w:r>
              <w:t xml:space="preserve">To </w:t>
            </w:r>
            <w:proofErr w:type="gramStart"/>
            <w:r>
              <w:t>remove</w:t>
            </w:r>
            <w:bookmarkStart w:id="0" w:name="_GoBack"/>
            <w:bookmarkEnd w:id="0"/>
            <w:r>
              <w:t xml:space="preserve">  reference</w:t>
            </w:r>
            <w:r w:rsidR="00F34ACB">
              <w:t>s</w:t>
            </w:r>
            <w:proofErr w:type="gramEnd"/>
            <w:r>
              <w:t xml:space="preserve"> that </w:t>
            </w:r>
            <w:r w:rsidR="00F34ACB">
              <w:t>are</w:t>
            </w:r>
            <w:r>
              <w:t xml:space="preserve"> provided </w:t>
            </w:r>
            <w:r w:rsidR="007A14D5">
              <w:t xml:space="preserve">in the </w:t>
            </w:r>
            <w:r w:rsidR="00F34ACB">
              <w:t xml:space="preserve">text of the </w:t>
            </w:r>
            <w:r w:rsidR="007A14D5">
              <w:t>block.</w:t>
            </w:r>
          </w:p>
        </w:tc>
        <w:tc>
          <w:tcPr>
            <w:tcW w:w="1442" w:type="pct"/>
            <w:shd w:val="clear" w:color="auto" w:fill="auto"/>
          </w:tcPr>
          <w:p w14:paraId="6FD4FC69" w14:textId="53DAEBC8" w:rsidR="00344B89" w:rsidRDefault="00344B89" w:rsidP="002F7397">
            <w:pPr>
              <w:pStyle w:val="TableText"/>
            </w:pPr>
            <w:r>
              <w:t>III.v.2.A.3.d</w:t>
            </w:r>
          </w:p>
        </w:tc>
      </w:tr>
      <w:tr w:rsidR="00AF242C" w14:paraId="59C02F10" w14:textId="77777777" w:rsidTr="009F2830">
        <w:trPr>
          <w:trHeight w:val="180"/>
        </w:trPr>
        <w:tc>
          <w:tcPr>
            <w:tcW w:w="3558" w:type="pct"/>
            <w:shd w:val="clear" w:color="auto" w:fill="auto"/>
          </w:tcPr>
          <w:p w14:paraId="2718CBF8" w14:textId="0EEBEC3D" w:rsidR="00AF242C" w:rsidRDefault="00AF242C" w:rsidP="00B2274E">
            <w:pPr>
              <w:pStyle w:val="TableText"/>
            </w:pPr>
            <w:r>
              <w:t>To state that, in order to remain entitled to benefits from the original date of claim, claimants must submit the evidence VA requested (but the claimant failed to provide) within one year of the date of notice of the corresponding denial.  (There exists no regulatory basis for the prior requirement to submit the evidence within one year of the date VA requested it.)</w:t>
            </w:r>
          </w:p>
        </w:tc>
        <w:tc>
          <w:tcPr>
            <w:tcW w:w="1442" w:type="pct"/>
            <w:shd w:val="clear" w:color="auto" w:fill="auto"/>
          </w:tcPr>
          <w:p w14:paraId="7D55A5A2" w14:textId="3E067499" w:rsidR="00AF242C" w:rsidRDefault="00AF242C" w:rsidP="00473A94">
            <w:pPr>
              <w:pStyle w:val="TableText"/>
            </w:pPr>
            <w:r>
              <w:t>III.v.2.A.</w:t>
            </w:r>
            <w:r w:rsidR="00473A94">
              <w:t>4</w:t>
            </w:r>
            <w:r>
              <w:t>.a</w:t>
            </w:r>
          </w:p>
        </w:tc>
      </w:tr>
      <w:tr w:rsidR="007A14D5" w14:paraId="4E433115" w14:textId="77777777" w:rsidTr="009F2830">
        <w:trPr>
          <w:trHeight w:val="246"/>
        </w:trPr>
        <w:tc>
          <w:tcPr>
            <w:tcW w:w="3558" w:type="pct"/>
            <w:shd w:val="clear" w:color="auto" w:fill="auto"/>
          </w:tcPr>
          <w:p w14:paraId="54712B87" w14:textId="30F740EC" w:rsidR="007A14D5" w:rsidRDefault="007A14D5" w:rsidP="0074135C">
            <w:pPr>
              <w:pStyle w:val="TableText"/>
            </w:pPr>
            <w:r>
              <w:t>To remove a reference to III.iv.3.B.14.e,</w:t>
            </w:r>
            <w:r w:rsidR="0074135C">
              <w:t xml:space="preserve"> </w:t>
            </w:r>
            <w:proofErr w:type="gramStart"/>
            <w:r>
              <w:t>which was recently deleted.</w:t>
            </w:r>
            <w:proofErr w:type="gramEnd"/>
          </w:p>
        </w:tc>
        <w:tc>
          <w:tcPr>
            <w:tcW w:w="1442" w:type="pct"/>
            <w:shd w:val="clear" w:color="auto" w:fill="auto"/>
          </w:tcPr>
          <w:p w14:paraId="149FB72F" w14:textId="47F13033" w:rsidR="007A14D5" w:rsidRDefault="007A14D5" w:rsidP="00473A94">
            <w:pPr>
              <w:pStyle w:val="TableText"/>
            </w:pPr>
            <w:r>
              <w:t>III.v.2.A.</w:t>
            </w:r>
            <w:r w:rsidR="00473A94">
              <w:t>4</w:t>
            </w:r>
            <w:r>
              <w:t>.b</w:t>
            </w:r>
          </w:p>
        </w:tc>
      </w:tr>
      <w:tr w:rsidR="00AF242C" w14:paraId="01FA9E57" w14:textId="77777777" w:rsidTr="009F2830">
        <w:trPr>
          <w:trHeight w:val="180"/>
        </w:trPr>
        <w:tc>
          <w:tcPr>
            <w:tcW w:w="3558" w:type="pct"/>
            <w:shd w:val="clear" w:color="auto" w:fill="auto"/>
          </w:tcPr>
          <w:p w14:paraId="4720938A" w14:textId="229BEC44" w:rsidR="00AF242C" w:rsidRDefault="00AF242C" w:rsidP="00BD6729">
            <w:pPr>
              <w:pStyle w:val="TableText"/>
            </w:pPr>
            <w:r>
              <w:t>To remove (old) III.v.2.A.5 due to its relocation to III.ii.7.1.</w:t>
            </w:r>
          </w:p>
        </w:tc>
        <w:tc>
          <w:tcPr>
            <w:tcW w:w="1442" w:type="pct"/>
            <w:shd w:val="clear" w:color="auto" w:fill="auto"/>
          </w:tcPr>
          <w:p w14:paraId="47C8EB60" w14:textId="52C3BC5A" w:rsidR="00AF242C" w:rsidRDefault="00AF242C" w:rsidP="00AF242C">
            <w:pPr>
              <w:pStyle w:val="TableText"/>
              <w:jc w:val="center"/>
            </w:pPr>
            <w:r>
              <w:t>---</w:t>
            </w:r>
          </w:p>
        </w:tc>
      </w:tr>
    </w:tbl>
    <w:p w14:paraId="1D5990F4"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16B67F93" w14:textId="77777777" w:rsidTr="00237C22">
        <w:tc>
          <w:tcPr>
            <w:tcW w:w="1728" w:type="dxa"/>
          </w:tcPr>
          <w:p w14:paraId="101A9A30" w14:textId="77777777" w:rsidR="00504F80" w:rsidRPr="00B4163A" w:rsidRDefault="00504F80" w:rsidP="00237C22">
            <w:pPr>
              <w:pStyle w:val="Heading5"/>
              <w:rPr>
                <w:sz w:val="24"/>
              </w:rPr>
            </w:pPr>
            <w:r w:rsidRPr="00B4163A">
              <w:rPr>
                <w:sz w:val="24"/>
              </w:rPr>
              <w:lastRenderedPageBreak/>
              <w:t>Rescissions</w:t>
            </w:r>
          </w:p>
        </w:tc>
        <w:tc>
          <w:tcPr>
            <w:tcW w:w="7740" w:type="dxa"/>
          </w:tcPr>
          <w:p w14:paraId="6799EA18" w14:textId="067CA508" w:rsidR="00504F80" w:rsidRPr="00B4163A" w:rsidRDefault="00A5603B" w:rsidP="00237C22">
            <w:pPr>
              <w:pStyle w:val="BlockText"/>
            </w:pPr>
            <w:r>
              <w:t>None</w:t>
            </w:r>
          </w:p>
        </w:tc>
      </w:tr>
    </w:tbl>
    <w:p w14:paraId="7248F09B"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23EAABC3" w14:textId="77777777" w:rsidTr="00237C22">
        <w:tc>
          <w:tcPr>
            <w:tcW w:w="1728" w:type="dxa"/>
          </w:tcPr>
          <w:p w14:paraId="73437213" w14:textId="77777777" w:rsidR="00504F80" w:rsidRPr="00B4163A" w:rsidRDefault="00504F80" w:rsidP="00237C22">
            <w:pPr>
              <w:pStyle w:val="Heading5"/>
              <w:rPr>
                <w:sz w:val="24"/>
              </w:rPr>
            </w:pPr>
            <w:r w:rsidRPr="00B4163A">
              <w:rPr>
                <w:sz w:val="24"/>
              </w:rPr>
              <w:t>Authority</w:t>
            </w:r>
          </w:p>
        </w:tc>
        <w:tc>
          <w:tcPr>
            <w:tcW w:w="7740" w:type="dxa"/>
          </w:tcPr>
          <w:p w14:paraId="7D7C4832" w14:textId="77777777" w:rsidR="00504F80" w:rsidRPr="00B4163A" w:rsidRDefault="00504F80" w:rsidP="00237C22">
            <w:pPr>
              <w:pStyle w:val="BlockText"/>
            </w:pPr>
            <w:r w:rsidRPr="00B4163A">
              <w:t>By Direction of the Under Secretary for Benefits</w:t>
            </w:r>
          </w:p>
        </w:tc>
      </w:tr>
    </w:tbl>
    <w:p w14:paraId="7CCC2C95"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0A0437BD" w14:textId="77777777" w:rsidTr="00237C22">
        <w:tc>
          <w:tcPr>
            <w:tcW w:w="1728" w:type="dxa"/>
          </w:tcPr>
          <w:p w14:paraId="3FD73AAD" w14:textId="77777777" w:rsidR="00504F80" w:rsidRPr="00B4163A" w:rsidRDefault="00504F80" w:rsidP="00237C22">
            <w:pPr>
              <w:pStyle w:val="Heading5"/>
              <w:rPr>
                <w:sz w:val="24"/>
              </w:rPr>
            </w:pPr>
            <w:r w:rsidRPr="00B4163A">
              <w:rPr>
                <w:sz w:val="24"/>
              </w:rPr>
              <w:t>Signature</w:t>
            </w:r>
          </w:p>
        </w:tc>
        <w:tc>
          <w:tcPr>
            <w:tcW w:w="7740" w:type="dxa"/>
          </w:tcPr>
          <w:p w14:paraId="3EF2E3ED" w14:textId="77777777" w:rsidR="00504F80" w:rsidRPr="00B4163A" w:rsidRDefault="00504F80" w:rsidP="00237C22">
            <w:pPr>
              <w:pStyle w:val="BlockText"/>
            </w:pPr>
          </w:p>
          <w:p w14:paraId="071ED637" w14:textId="77777777" w:rsidR="00504F80" w:rsidRPr="00B4163A" w:rsidRDefault="00504F80" w:rsidP="00237C22">
            <w:pPr>
              <w:pStyle w:val="MemoLine"/>
              <w:ind w:left="-18" w:right="612"/>
            </w:pPr>
          </w:p>
          <w:p w14:paraId="450CAAA9" w14:textId="77777777" w:rsidR="00504F80" w:rsidRPr="00B4163A" w:rsidRDefault="00504F80" w:rsidP="00237C22">
            <w:pPr>
              <w:rPr>
                <w:szCs w:val="20"/>
              </w:rPr>
            </w:pPr>
            <w:r w:rsidRPr="00B4163A">
              <w:t>Thomas J. Murphy, Director</w:t>
            </w:r>
          </w:p>
          <w:p w14:paraId="11FBF575" w14:textId="77777777" w:rsidR="00504F80" w:rsidRPr="00B4163A" w:rsidRDefault="00504F80" w:rsidP="00237C22">
            <w:pPr>
              <w:pStyle w:val="BlockText"/>
            </w:pPr>
            <w:r w:rsidRPr="00B4163A">
              <w:t>Compensation Service</w:t>
            </w:r>
          </w:p>
        </w:tc>
      </w:tr>
    </w:tbl>
    <w:p w14:paraId="5EDB03E8"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3830C9" w14:textId="77777777" w:rsidTr="00237C22">
        <w:tc>
          <w:tcPr>
            <w:tcW w:w="1728" w:type="dxa"/>
          </w:tcPr>
          <w:p w14:paraId="1331C89B" w14:textId="77777777" w:rsidR="00504F80" w:rsidRPr="00B4163A" w:rsidRDefault="00504F80" w:rsidP="00237C22">
            <w:pPr>
              <w:pStyle w:val="Heading5"/>
              <w:rPr>
                <w:sz w:val="24"/>
              </w:rPr>
            </w:pPr>
            <w:r w:rsidRPr="00B4163A">
              <w:rPr>
                <w:sz w:val="24"/>
              </w:rPr>
              <w:t>Distribution</w:t>
            </w:r>
          </w:p>
        </w:tc>
        <w:tc>
          <w:tcPr>
            <w:tcW w:w="7740" w:type="dxa"/>
          </w:tcPr>
          <w:p w14:paraId="77E9964E" w14:textId="77777777" w:rsidR="00504F80" w:rsidRDefault="00504F80" w:rsidP="00237C22">
            <w:pPr>
              <w:pStyle w:val="BlockText"/>
              <w:jc w:val="center"/>
            </w:pPr>
            <w:r w:rsidRPr="00B4163A">
              <w:t>LOCAL REPRODUCTION AUTHORIZED</w:t>
            </w:r>
          </w:p>
        </w:tc>
      </w:tr>
    </w:tbl>
    <w:p w14:paraId="21B47201"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228641D1" w14:textId="18B2B170"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343B80">
        <w:fldChar w:fldCharType="begin">
          <w:fldData xml:space="preserve">RABvAGMAVABlAG0AcAAxAFYAYQByAFQAcgBhAGQAaQB0AGkAbwBuAGEAbAA=
</w:fldData>
        </w:fldChar>
      </w:r>
      <w:r w:rsidR="00343B80">
        <w:instrText xml:space="preserve"> ADDIN  \* MERGEFORMAT </w:instrText>
      </w:r>
      <w:r w:rsidR="00343B80">
        <w:fldChar w:fldCharType="end"/>
      </w:r>
      <w:r w:rsidR="00343B80">
        <w:fldChar w:fldCharType="begin">
          <w:fldData xml:space="preserve">RgBvAG4AdABTAGUAdABpAG0AaQBzAHQAeQBsAGUAcwAuAHgAbQBsAA==
</w:fldData>
        </w:fldChar>
      </w:r>
      <w:r w:rsidR="00343B80">
        <w:instrText xml:space="preserve"> ADDIN  \* MERGEFORMAT </w:instrText>
      </w:r>
      <w:r w:rsidR="00343B80">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39892" w14:textId="77777777" w:rsidR="00285172" w:rsidRDefault="00285172" w:rsidP="00C765C7">
      <w:r>
        <w:separator/>
      </w:r>
    </w:p>
  </w:endnote>
  <w:endnote w:type="continuationSeparator" w:id="0">
    <w:p w14:paraId="0DBBDA1F" w14:textId="77777777" w:rsidR="00285172" w:rsidRDefault="00285172"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38BD2"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7CFEE"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7E8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2830">
      <w:rPr>
        <w:rStyle w:val="PageNumber"/>
        <w:noProof/>
      </w:rPr>
      <w:t>i</w:t>
    </w:r>
    <w:r>
      <w:rPr>
        <w:rStyle w:val="PageNumber"/>
      </w:rPr>
      <w:fldChar w:fldCharType="end"/>
    </w:r>
  </w:p>
  <w:p w14:paraId="2EB41600"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7C446" w14:textId="77777777" w:rsidR="00285172" w:rsidRDefault="00285172" w:rsidP="00C765C7">
      <w:r>
        <w:separator/>
      </w:r>
    </w:p>
  </w:footnote>
  <w:footnote w:type="continuationSeparator" w:id="0">
    <w:p w14:paraId="0CF51154" w14:textId="77777777" w:rsidR="00285172" w:rsidRDefault="00285172"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fspro_2columns"/>
      </v:shape>
    </w:pict>
  </w:numPicBullet>
  <w:numPicBullet w:numPicBulletId="1">
    <w:pict>
      <v:shape id="_x0000_i1035" type="#_x0000_t75" style="width:12pt;height:12pt" o:bullet="t">
        <v:imagedata r:id="rId2" o:title="advanced"/>
      </v:shape>
    </w:pict>
  </w:numPicBullet>
  <w:numPicBullet w:numPicBulletId="2">
    <w:pict>
      <v:shape id="_x0000_i1036" type="#_x0000_t75" style="width:12pt;height:12pt" o:bullet="t">
        <v:imagedata r:id="rId3" o:title="continue"/>
      </v:shape>
    </w:pict>
  </w:numPicBullet>
  <w:numPicBullet w:numPicBulletId="3">
    <w:pict>
      <v:shape id="_x0000_i1037"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17769CA"/>
    <w:multiLevelType w:val="hybridMultilevel"/>
    <w:tmpl w:val="7E18D646"/>
    <w:lvl w:ilvl="0" w:tplc="8F94B88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0"/>
  </w:num>
  <w:num w:numId="4">
    <w:abstractNumId w:val="8"/>
  </w:num>
  <w:num w:numId="5">
    <w:abstractNumId w:val="4"/>
  </w:num>
  <w:num w:numId="6">
    <w:abstractNumId w:val="3"/>
  </w:num>
  <w:num w:numId="7">
    <w:abstractNumId w:val="9"/>
  </w:num>
  <w:num w:numId="8">
    <w:abstractNumId w:val="2"/>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7776"/>
    <w:rsid w:val="000E0CCC"/>
    <w:rsid w:val="00100433"/>
    <w:rsid w:val="0010215F"/>
    <w:rsid w:val="00106EEF"/>
    <w:rsid w:val="00120103"/>
    <w:rsid w:val="00123973"/>
    <w:rsid w:val="001253ED"/>
    <w:rsid w:val="00186D46"/>
    <w:rsid w:val="001C0E84"/>
    <w:rsid w:val="001C3AE3"/>
    <w:rsid w:val="001C3EB5"/>
    <w:rsid w:val="002041BE"/>
    <w:rsid w:val="002220F1"/>
    <w:rsid w:val="002351FE"/>
    <w:rsid w:val="00237C22"/>
    <w:rsid w:val="00240624"/>
    <w:rsid w:val="00271962"/>
    <w:rsid w:val="00285172"/>
    <w:rsid w:val="002A1D3E"/>
    <w:rsid w:val="002B23C7"/>
    <w:rsid w:val="002B7A7E"/>
    <w:rsid w:val="002F5B21"/>
    <w:rsid w:val="002F7397"/>
    <w:rsid w:val="00332B80"/>
    <w:rsid w:val="003346E3"/>
    <w:rsid w:val="00341981"/>
    <w:rsid w:val="00343B80"/>
    <w:rsid w:val="00344B89"/>
    <w:rsid w:val="00366D36"/>
    <w:rsid w:val="00386999"/>
    <w:rsid w:val="003A0BA9"/>
    <w:rsid w:val="003B2927"/>
    <w:rsid w:val="003D47AF"/>
    <w:rsid w:val="003E2CA2"/>
    <w:rsid w:val="003F1517"/>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73A94"/>
    <w:rsid w:val="00482FA3"/>
    <w:rsid w:val="0048559D"/>
    <w:rsid w:val="00494175"/>
    <w:rsid w:val="004F375E"/>
    <w:rsid w:val="00504F80"/>
    <w:rsid w:val="00506485"/>
    <w:rsid w:val="00513DA7"/>
    <w:rsid w:val="00516C82"/>
    <w:rsid w:val="00526F0E"/>
    <w:rsid w:val="0053620C"/>
    <w:rsid w:val="00594258"/>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4135C"/>
    <w:rsid w:val="007A0C5F"/>
    <w:rsid w:val="007A14D5"/>
    <w:rsid w:val="007D5B97"/>
    <w:rsid w:val="007E5515"/>
    <w:rsid w:val="0080590C"/>
    <w:rsid w:val="008144E7"/>
    <w:rsid w:val="00822A16"/>
    <w:rsid w:val="0086475B"/>
    <w:rsid w:val="00875AFA"/>
    <w:rsid w:val="0088609E"/>
    <w:rsid w:val="00887D54"/>
    <w:rsid w:val="00895FA7"/>
    <w:rsid w:val="008B4CB5"/>
    <w:rsid w:val="008C1AB8"/>
    <w:rsid w:val="008C723F"/>
    <w:rsid w:val="008D12C3"/>
    <w:rsid w:val="008D458B"/>
    <w:rsid w:val="008E22CF"/>
    <w:rsid w:val="008E367A"/>
    <w:rsid w:val="008E5824"/>
    <w:rsid w:val="008E589A"/>
    <w:rsid w:val="008F14EA"/>
    <w:rsid w:val="008F1D5B"/>
    <w:rsid w:val="00916AE6"/>
    <w:rsid w:val="00933BDB"/>
    <w:rsid w:val="009402FB"/>
    <w:rsid w:val="00945950"/>
    <w:rsid w:val="009769CD"/>
    <w:rsid w:val="009977F5"/>
    <w:rsid w:val="00997D98"/>
    <w:rsid w:val="009C22C8"/>
    <w:rsid w:val="009E6E1A"/>
    <w:rsid w:val="009F2830"/>
    <w:rsid w:val="00A17C3B"/>
    <w:rsid w:val="00A315CB"/>
    <w:rsid w:val="00A3579D"/>
    <w:rsid w:val="00A55356"/>
    <w:rsid w:val="00A557BB"/>
    <w:rsid w:val="00A5603B"/>
    <w:rsid w:val="00A8520D"/>
    <w:rsid w:val="00AC2993"/>
    <w:rsid w:val="00AD0EDC"/>
    <w:rsid w:val="00AF242C"/>
    <w:rsid w:val="00AF2CD6"/>
    <w:rsid w:val="00B0548B"/>
    <w:rsid w:val="00B2274E"/>
    <w:rsid w:val="00B30D2F"/>
    <w:rsid w:val="00B50AD7"/>
    <w:rsid w:val="00B533E9"/>
    <w:rsid w:val="00B64F2F"/>
    <w:rsid w:val="00B93A3C"/>
    <w:rsid w:val="00B96287"/>
    <w:rsid w:val="00BB3345"/>
    <w:rsid w:val="00BD6729"/>
    <w:rsid w:val="00BF7FE3"/>
    <w:rsid w:val="00C036A4"/>
    <w:rsid w:val="00C0404B"/>
    <w:rsid w:val="00C10796"/>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E62E3"/>
    <w:rsid w:val="00DF44AC"/>
    <w:rsid w:val="00E2529E"/>
    <w:rsid w:val="00E36906"/>
    <w:rsid w:val="00E648E9"/>
    <w:rsid w:val="00E72214"/>
    <w:rsid w:val="00E964FD"/>
    <w:rsid w:val="00ED4D5E"/>
    <w:rsid w:val="00ED71C8"/>
    <w:rsid w:val="00F006B2"/>
    <w:rsid w:val="00F34ACB"/>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2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AF2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AF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b438dcf7-3998-4283-b7fc-0ec6fa8e430f"/>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8821A99-C0E9-4471-B161-50DA66CCF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179</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22</cp:revision>
  <dcterms:created xsi:type="dcterms:W3CDTF">2015-01-08T18:17:00Z</dcterms:created>
  <dcterms:modified xsi:type="dcterms:W3CDTF">2015-04-06T15:04:00Z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