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4E973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 w:rsidR="00484C2B">
        <w:rPr>
          <w:rFonts w:ascii="Times New Roman" w:hAnsi="Times New Roman"/>
          <w:sz w:val="20"/>
        </w:rPr>
        <w:t>, Subpart v</w:t>
      </w:r>
    </w:p>
    <w:p w14:paraId="22DCA590" w14:textId="58EEE1AA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8B2047">
        <w:rPr>
          <w:b/>
          <w:bCs/>
          <w:sz w:val="20"/>
        </w:rPr>
        <w:t xml:space="preserve">                          August 21, 2014</w:t>
      </w:r>
      <w:r>
        <w:rPr>
          <w:b/>
          <w:bCs/>
          <w:sz w:val="20"/>
        </w:rPr>
        <w:tab/>
      </w:r>
    </w:p>
    <w:p w14:paraId="05C8556B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18194A7" w14:textId="77777777" w:rsidR="00504F80" w:rsidRDefault="00504F80" w:rsidP="00504F80">
      <w:pPr>
        <w:rPr>
          <w:b/>
          <w:bCs/>
          <w:sz w:val="20"/>
        </w:rPr>
      </w:pPr>
    </w:p>
    <w:p w14:paraId="1330C002" w14:textId="77777777" w:rsidR="00504F80" w:rsidRDefault="00504F80" w:rsidP="00504F80">
      <w:pPr>
        <w:pStyle w:val="Heading4"/>
      </w:pPr>
      <w:r>
        <w:t xml:space="preserve">Transmittal Sheet </w:t>
      </w:r>
    </w:p>
    <w:p w14:paraId="5042D16F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2E96CE5E" w14:textId="77777777" w:rsidTr="00C24D50">
        <w:tc>
          <w:tcPr>
            <w:tcW w:w="1728" w:type="dxa"/>
          </w:tcPr>
          <w:p w14:paraId="2E697ED2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2032FC8F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484C2B">
              <w:t>v</w:t>
            </w:r>
            <w:r w:rsidR="00BD3A81">
              <w:t>, “</w:t>
            </w:r>
            <w:r w:rsidR="00BD3A81" w:rsidRPr="00BD3A81">
              <w:t>General Authorization Issues and Claimant Notifications</w:t>
            </w:r>
            <w:r w:rsidR="00AE7929">
              <w:t>.</w:t>
            </w:r>
            <w:r w:rsidR="00BD3A81">
              <w:t>”</w:t>
            </w:r>
          </w:p>
          <w:p w14:paraId="5F0FAB40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7729A404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138631A1" w14:textId="77777777" w:rsidR="00504F80" w:rsidRDefault="00504F80" w:rsidP="008B2047">
            <w:pPr>
              <w:pStyle w:val="BulletText1"/>
              <w:numPr>
                <w:ilvl w:val="0"/>
                <w:numId w:val="0"/>
              </w:numPr>
              <w:ind w:left="173" w:hanging="173"/>
            </w:pPr>
            <w:r>
              <w:t xml:space="preserve">Minor editorial changes have been made to </w:t>
            </w:r>
          </w:p>
          <w:p w14:paraId="1E2AB0DA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3BBBFAA1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358AC369" w14:textId="77777777" w:rsidR="00A557BB" w:rsidRDefault="003E2CA2" w:rsidP="00933C25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27777394" w14:textId="77777777" w:rsidR="00C0404B" w:rsidRDefault="00C0404B" w:rsidP="00C0404B">
            <w:pPr>
              <w:pStyle w:val="BulletText2"/>
              <w:tabs>
                <w:tab w:val="num" w:pos="547"/>
              </w:tabs>
            </w:pPr>
            <w:r>
              <w:t>repaginate a section or chapter</w:t>
            </w:r>
          </w:p>
          <w:p w14:paraId="2C99C5D7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2247911D" w14:textId="77777777" w:rsidR="00504F80" w:rsidRPr="00EA3A57" w:rsidRDefault="00504F80" w:rsidP="00237C22">
            <w:pPr>
              <w:pStyle w:val="BulletText2"/>
            </w:pPr>
            <w:r>
              <w:t>bring the documents into conformance with M21-1MR standards.</w:t>
            </w:r>
          </w:p>
        </w:tc>
      </w:tr>
    </w:tbl>
    <w:p w14:paraId="6A77B4E7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1711"/>
        <w:gridCol w:w="988"/>
      </w:tblGrid>
      <w:tr w:rsidR="00C24D50" w14:paraId="4BA5ED1E" w14:textId="77777777" w:rsidTr="00EB32E5">
        <w:trPr>
          <w:trHeight w:val="180"/>
        </w:trPr>
        <w:tc>
          <w:tcPr>
            <w:tcW w:w="3580" w:type="pct"/>
            <w:shd w:val="clear" w:color="auto" w:fill="auto"/>
          </w:tcPr>
          <w:p w14:paraId="0D63EA12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900" w:type="pct"/>
            <w:shd w:val="clear" w:color="auto" w:fill="auto"/>
          </w:tcPr>
          <w:p w14:paraId="4D177A72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20" w:type="pct"/>
            <w:shd w:val="clear" w:color="auto" w:fill="auto"/>
          </w:tcPr>
          <w:p w14:paraId="18C15350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37A416A2" w14:textId="77777777" w:rsidTr="00EB32E5">
        <w:trPr>
          <w:trHeight w:val="180"/>
        </w:trPr>
        <w:tc>
          <w:tcPr>
            <w:tcW w:w="3580" w:type="pct"/>
            <w:shd w:val="clear" w:color="auto" w:fill="auto"/>
          </w:tcPr>
          <w:p w14:paraId="3786758F" w14:textId="74F40F47" w:rsidR="00C24D50" w:rsidRPr="00C24D50" w:rsidRDefault="00EB32E5" w:rsidP="00BD3A81">
            <w:pPr>
              <w:pStyle w:val="TableText"/>
            </w:pPr>
            <w:r>
              <w:t>To r</w:t>
            </w:r>
            <w:r w:rsidR="00933C25">
              <w:t xml:space="preserve">elocate the note under the table in </w:t>
            </w:r>
            <w:r w:rsidR="0075003B">
              <w:t xml:space="preserve">M21-1MR, Part III, Subpart v, Chapter 1, Section </w:t>
            </w:r>
            <w:r w:rsidR="00933C25">
              <w:t>B</w:t>
            </w:r>
            <w:r w:rsidR="00F947CC">
              <w:t xml:space="preserve">, Topic </w:t>
            </w:r>
            <w:r w:rsidR="00933C25">
              <w:t>6</w:t>
            </w:r>
            <w:r w:rsidR="00F947CC">
              <w:t>, Block</w:t>
            </w:r>
            <w:r w:rsidR="00933C25">
              <w:t xml:space="preserve">d </w:t>
            </w:r>
            <w:r>
              <w:t xml:space="preserve">(III.v..1.B.6.d) </w:t>
            </w:r>
            <w:r w:rsidR="00933C25">
              <w:t xml:space="preserve">to an exception in </w:t>
            </w:r>
            <w:r w:rsidR="0075003B">
              <w:t xml:space="preserve">III.v.I.B.5.b because it </w:t>
            </w:r>
            <w:r w:rsidR="00BD3A81">
              <w:t>is more appropriate there</w:t>
            </w:r>
            <w:r w:rsidR="0075003B">
              <w:t>.</w:t>
            </w:r>
          </w:p>
        </w:tc>
        <w:tc>
          <w:tcPr>
            <w:tcW w:w="900" w:type="pct"/>
            <w:shd w:val="clear" w:color="auto" w:fill="auto"/>
          </w:tcPr>
          <w:p w14:paraId="3C58CABD" w14:textId="77777777" w:rsidR="00C24D50" w:rsidRPr="00C24D50" w:rsidRDefault="0075003B" w:rsidP="002F7397">
            <w:pPr>
              <w:pStyle w:val="TableText"/>
            </w:pPr>
            <w:r>
              <w:t>III.v.1.B.5.b</w:t>
            </w:r>
          </w:p>
        </w:tc>
        <w:tc>
          <w:tcPr>
            <w:tcW w:w="520" w:type="pct"/>
            <w:shd w:val="clear" w:color="auto" w:fill="auto"/>
          </w:tcPr>
          <w:p w14:paraId="35667BB1" w14:textId="77777777" w:rsidR="00C24D50" w:rsidRDefault="0075003B" w:rsidP="002F7397">
            <w:pPr>
              <w:pStyle w:val="TableText"/>
            </w:pPr>
            <w:r>
              <w:t>1-B-4</w:t>
            </w:r>
          </w:p>
        </w:tc>
      </w:tr>
      <w:tr w:rsidR="005B3928" w14:paraId="74473B6F" w14:textId="77777777" w:rsidTr="00EB32E5">
        <w:trPr>
          <w:trHeight w:val="180"/>
        </w:trPr>
        <w:tc>
          <w:tcPr>
            <w:tcW w:w="3580" w:type="pct"/>
            <w:shd w:val="clear" w:color="auto" w:fill="auto"/>
          </w:tcPr>
          <w:p w14:paraId="5B3BE5CC" w14:textId="44AF68DD" w:rsidR="005B3928" w:rsidRDefault="005B3928" w:rsidP="00C2333B">
            <w:pPr>
              <w:pStyle w:val="TableText"/>
            </w:pPr>
            <w:r>
              <w:t xml:space="preserve">To clarify the sample Character of Discharge determination by breaking the </w:t>
            </w:r>
            <w:r w:rsidR="00C2333B">
              <w:t xml:space="preserve">original </w:t>
            </w:r>
            <w:r>
              <w:t>example</w:t>
            </w:r>
            <w:r w:rsidR="00C2333B">
              <w:t xml:space="preserve"> contained in one block</w:t>
            </w:r>
            <w:r>
              <w:t xml:space="preserve"> into four blocks </w:t>
            </w:r>
            <w:r w:rsidR="00C2333B">
              <w:t>with the addition of three new blocks</w:t>
            </w:r>
            <w:r>
              <w:t>.</w:t>
            </w:r>
          </w:p>
        </w:tc>
        <w:tc>
          <w:tcPr>
            <w:tcW w:w="900" w:type="pct"/>
            <w:shd w:val="clear" w:color="auto" w:fill="auto"/>
          </w:tcPr>
          <w:p w14:paraId="23EBA604" w14:textId="66B1E86D" w:rsidR="005B3928" w:rsidRDefault="005B3928" w:rsidP="002F7397">
            <w:pPr>
              <w:pStyle w:val="TableText"/>
            </w:pPr>
            <w:r>
              <w:t>III.v.1.B.5.k-n</w:t>
            </w:r>
          </w:p>
        </w:tc>
        <w:tc>
          <w:tcPr>
            <w:tcW w:w="520" w:type="pct"/>
            <w:shd w:val="clear" w:color="auto" w:fill="auto"/>
          </w:tcPr>
          <w:p w14:paraId="224CB84E" w14:textId="5CF6465B" w:rsidR="005B3928" w:rsidRDefault="005B3928" w:rsidP="002F7397">
            <w:pPr>
              <w:pStyle w:val="TableText"/>
            </w:pPr>
            <w:r>
              <w:t>1-B-9 through 1-B-12</w:t>
            </w:r>
          </w:p>
        </w:tc>
      </w:tr>
      <w:tr w:rsidR="00C2333B" w14:paraId="7F2899F2" w14:textId="77777777" w:rsidTr="00EB32E5">
        <w:trPr>
          <w:trHeight w:val="180"/>
        </w:trPr>
        <w:tc>
          <w:tcPr>
            <w:tcW w:w="3580" w:type="pct"/>
            <w:shd w:val="clear" w:color="auto" w:fill="auto"/>
          </w:tcPr>
          <w:p w14:paraId="2590B858" w14:textId="40DEBCED" w:rsidR="00C2333B" w:rsidRDefault="00C2333B" w:rsidP="00BD3A81">
            <w:pPr>
              <w:pStyle w:val="TableText"/>
            </w:pPr>
            <w:r>
              <w:t>To improve readability of the example scenarios for determining dates of service for a conditional discharge by breaking the original example contained in one block into three blocks with the addition of two new blocks.</w:t>
            </w:r>
          </w:p>
        </w:tc>
        <w:tc>
          <w:tcPr>
            <w:tcW w:w="900" w:type="pct"/>
            <w:shd w:val="clear" w:color="auto" w:fill="auto"/>
          </w:tcPr>
          <w:p w14:paraId="3BFCE16F" w14:textId="521B488C" w:rsidR="00C2333B" w:rsidRDefault="00C2333B" w:rsidP="002F7397">
            <w:pPr>
              <w:pStyle w:val="TableText"/>
            </w:pPr>
            <w:r>
              <w:t>III.v.1.B.9.f-h</w:t>
            </w:r>
          </w:p>
        </w:tc>
        <w:tc>
          <w:tcPr>
            <w:tcW w:w="520" w:type="pct"/>
            <w:shd w:val="clear" w:color="auto" w:fill="auto"/>
          </w:tcPr>
          <w:p w14:paraId="6F613484" w14:textId="5168BA95" w:rsidR="00C2333B" w:rsidRDefault="00C2333B" w:rsidP="002F7397">
            <w:pPr>
              <w:pStyle w:val="TableText"/>
            </w:pPr>
            <w:r>
              <w:t>1-B-24 through 1-B-26</w:t>
            </w:r>
          </w:p>
        </w:tc>
      </w:tr>
      <w:tr w:rsidR="00422836" w14:paraId="7CB047FC" w14:textId="77777777" w:rsidTr="00EB32E5">
        <w:trPr>
          <w:trHeight w:val="180"/>
        </w:trPr>
        <w:tc>
          <w:tcPr>
            <w:tcW w:w="3580" w:type="pct"/>
            <w:shd w:val="clear" w:color="auto" w:fill="auto"/>
          </w:tcPr>
          <w:p w14:paraId="2D051CD2" w14:textId="046B7442" w:rsidR="00422836" w:rsidRPr="00C24D50" w:rsidRDefault="00EB32E5" w:rsidP="00F947CC">
            <w:pPr>
              <w:pStyle w:val="TableText"/>
            </w:pPr>
            <w:r>
              <w:t>To r</w:t>
            </w:r>
            <w:r w:rsidR="0075003B">
              <w:t xml:space="preserve">emove the reference to a 1978 circular </w:t>
            </w:r>
            <w:r w:rsidR="00F947CC">
              <w:t xml:space="preserve">about the impact of the public law on loan guarantee procedures </w:t>
            </w:r>
            <w:r w:rsidR="0075003B">
              <w:t>because the circular appears to have been rescinded and loan guarantee procedures are not part of the Comp</w:t>
            </w:r>
            <w:r w:rsidR="00F947CC">
              <w:t>ensation</w:t>
            </w:r>
            <w:r w:rsidR="0075003B">
              <w:t xml:space="preserve"> Service manual.</w:t>
            </w:r>
          </w:p>
        </w:tc>
        <w:tc>
          <w:tcPr>
            <w:tcW w:w="900" w:type="pct"/>
            <w:shd w:val="clear" w:color="auto" w:fill="auto"/>
          </w:tcPr>
          <w:p w14:paraId="382F6135" w14:textId="77777777" w:rsidR="00422836" w:rsidRPr="00C24D50" w:rsidRDefault="0075003B" w:rsidP="002F7397">
            <w:pPr>
              <w:pStyle w:val="TableText"/>
            </w:pPr>
            <w:r>
              <w:t>III.v.1.B.10.g</w:t>
            </w:r>
          </w:p>
        </w:tc>
        <w:tc>
          <w:tcPr>
            <w:tcW w:w="520" w:type="pct"/>
            <w:shd w:val="clear" w:color="auto" w:fill="auto"/>
          </w:tcPr>
          <w:p w14:paraId="0CB0FB95" w14:textId="51AA4F30" w:rsidR="00422836" w:rsidRDefault="0075003B" w:rsidP="00B46335">
            <w:pPr>
              <w:pStyle w:val="TableText"/>
            </w:pPr>
            <w:r>
              <w:t>1-B-</w:t>
            </w:r>
            <w:r w:rsidR="00B46335">
              <w:t>34</w:t>
            </w:r>
          </w:p>
        </w:tc>
      </w:tr>
    </w:tbl>
    <w:p w14:paraId="11C68BFB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CCC6DD8" w14:textId="77777777" w:rsidTr="00237C22">
        <w:tc>
          <w:tcPr>
            <w:tcW w:w="1728" w:type="dxa"/>
          </w:tcPr>
          <w:p w14:paraId="08F4D23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33113AC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  <w:bookmarkStart w:id="0" w:name="_GoBack"/>
            <w:bookmarkEnd w:id="0"/>
          </w:p>
        </w:tc>
      </w:tr>
    </w:tbl>
    <w:p w14:paraId="499EF8CB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C032500" w14:textId="77777777" w:rsidTr="00237C22">
        <w:tc>
          <w:tcPr>
            <w:tcW w:w="1728" w:type="dxa"/>
          </w:tcPr>
          <w:p w14:paraId="72BB713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BF33348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7FAF54A7" w14:textId="5624FB1C" w:rsidR="00504F80" w:rsidRDefault="00504F80" w:rsidP="00504F80">
      <w:pPr>
        <w:pStyle w:val="ContinuedOnNextPa"/>
      </w:pPr>
      <w:r w:rsidRPr="00B4163A">
        <w:t xml:space="preserve"> </w:t>
      </w:r>
    </w:p>
    <w:p w14:paraId="63C23A8F" w14:textId="5639224A" w:rsidR="00E500CC" w:rsidRDefault="00E500CC" w:rsidP="00E500CC">
      <w:pPr>
        <w:pStyle w:val="MapTitleContinued"/>
        <w:rPr>
          <w:b w:val="0"/>
          <w:sz w:val="24"/>
        </w:rPr>
      </w:pPr>
      <w:r w:rsidRPr="00E500CC">
        <w:br w:type="page"/>
      </w:r>
      <w:r w:rsidR="008B2047">
        <w:lastRenderedPageBreak/>
        <w:fldChar w:fldCharType="begin"/>
      </w:r>
      <w:r w:rsidR="008B2047">
        <w:instrText xml:space="preserve"> STYLEREF "Map Title" </w:instrText>
      </w:r>
      <w:r w:rsidR="008B2047">
        <w:fldChar w:fldCharType="separate"/>
      </w:r>
      <w:r w:rsidRPr="00E500CC">
        <w:rPr>
          <w:noProof/>
        </w:rPr>
        <w:t>Transmittal Sheet</w:t>
      </w:r>
      <w:r w:rsidR="008B2047">
        <w:rPr>
          <w:noProof/>
        </w:rPr>
        <w:fldChar w:fldCharType="end"/>
      </w:r>
      <w:r w:rsidRPr="00E500CC">
        <w:t xml:space="preserve">, </w:t>
      </w:r>
      <w:r w:rsidRPr="00E500CC">
        <w:rPr>
          <w:b w:val="0"/>
          <w:sz w:val="24"/>
        </w:rPr>
        <w:t>Continued</w:t>
      </w:r>
    </w:p>
    <w:p w14:paraId="68E54207" w14:textId="77777777" w:rsidR="00E500CC" w:rsidRPr="00E500CC" w:rsidRDefault="00E500CC" w:rsidP="00E500CC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8B232D8" w14:textId="77777777" w:rsidTr="00237C22">
        <w:tc>
          <w:tcPr>
            <w:tcW w:w="1728" w:type="dxa"/>
          </w:tcPr>
          <w:p w14:paraId="044F7AD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8283A6E" w14:textId="77777777" w:rsidR="00504F80" w:rsidRPr="00B4163A" w:rsidRDefault="00504F80" w:rsidP="00237C22">
            <w:pPr>
              <w:pStyle w:val="BlockText"/>
            </w:pPr>
          </w:p>
          <w:p w14:paraId="3A56943C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26818875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25CAEFE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775569DF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67E1637E" w14:textId="77777777" w:rsidTr="00237C22">
        <w:tc>
          <w:tcPr>
            <w:tcW w:w="1728" w:type="dxa"/>
          </w:tcPr>
          <w:p w14:paraId="22CB955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772BD6EE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4CB2BC5A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7FF0B1E4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473F3" w14:textId="77777777" w:rsidR="003E052F" w:rsidRDefault="003E052F" w:rsidP="00C765C7">
      <w:r>
        <w:separator/>
      </w:r>
    </w:p>
  </w:endnote>
  <w:endnote w:type="continuationSeparator" w:id="0">
    <w:p w14:paraId="2D712C16" w14:textId="77777777" w:rsidR="003E052F" w:rsidRDefault="003E052F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D1B1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E589B6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CEDDC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047">
      <w:rPr>
        <w:rStyle w:val="PageNumber"/>
        <w:noProof/>
      </w:rPr>
      <w:t>i</w:t>
    </w:r>
    <w:r>
      <w:rPr>
        <w:rStyle w:val="PageNumber"/>
      </w:rPr>
      <w:fldChar w:fldCharType="end"/>
    </w:r>
  </w:p>
  <w:p w14:paraId="61CDEEA8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985CA" w14:textId="77777777" w:rsidR="003E052F" w:rsidRDefault="003E052F" w:rsidP="00C765C7">
      <w:r>
        <w:separator/>
      </w:r>
    </w:p>
  </w:footnote>
  <w:footnote w:type="continuationSeparator" w:id="0">
    <w:p w14:paraId="039E594C" w14:textId="77777777" w:rsidR="003E052F" w:rsidRDefault="003E052F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2pt;height:12pt" o:bullet="t">
        <v:imagedata r:id="rId1" o:title="fspro_2columns"/>
      </v:shape>
    </w:pict>
  </w:numPicBullet>
  <w:numPicBullet w:numPicBulletId="1">
    <w:pict>
      <v:shape id="_x0000_i1086" type="#_x0000_t75" style="width:12pt;height:12pt" o:bullet="t">
        <v:imagedata r:id="rId2" o:title="advanced"/>
      </v:shape>
    </w:pict>
  </w:numPicBullet>
  <w:numPicBullet w:numPicBulletId="2">
    <w:pict>
      <v:shape id="_x0000_i1087" type="#_x0000_t75" style="width:12pt;height:12pt" o:bullet="t">
        <v:imagedata r:id="rId3" o:title="continue"/>
      </v:shape>
    </w:pict>
  </w:numPicBullet>
  <w:numPicBullet w:numPicBulletId="3">
    <w:pict>
      <v:shape id="_x0000_i1088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37C22"/>
    <w:rsid w:val="00240624"/>
    <w:rsid w:val="002B7A7E"/>
    <w:rsid w:val="002F5B21"/>
    <w:rsid w:val="002F7397"/>
    <w:rsid w:val="00332B80"/>
    <w:rsid w:val="00337E8C"/>
    <w:rsid w:val="00341981"/>
    <w:rsid w:val="00366D36"/>
    <w:rsid w:val="00372CC3"/>
    <w:rsid w:val="00386999"/>
    <w:rsid w:val="003B2927"/>
    <w:rsid w:val="003D47AF"/>
    <w:rsid w:val="003E052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4C2B"/>
    <w:rsid w:val="0048559D"/>
    <w:rsid w:val="00494175"/>
    <w:rsid w:val="004F375E"/>
    <w:rsid w:val="00504F80"/>
    <w:rsid w:val="00506485"/>
    <w:rsid w:val="00513DA7"/>
    <w:rsid w:val="00516C82"/>
    <w:rsid w:val="00572FD1"/>
    <w:rsid w:val="00594258"/>
    <w:rsid w:val="005B3928"/>
    <w:rsid w:val="005E4363"/>
    <w:rsid w:val="00600DC7"/>
    <w:rsid w:val="0062068D"/>
    <w:rsid w:val="006317AA"/>
    <w:rsid w:val="00637E5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2707B"/>
    <w:rsid w:val="00732186"/>
    <w:rsid w:val="00737049"/>
    <w:rsid w:val="0075003B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2047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33C25"/>
    <w:rsid w:val="00945950"/>
    <w:rsid w:val="009769CD"/>
    <w:rsid w:val="009861E6"/>
    <w:rsid w:val="00997D98"/>
    <w:rsid w:val="009B49CB"/>
    <w:rsid w:val="009C22C8"/>
    <w:rsid w:val="009E6E1A"/>
    <w:rsid w:val="00A315CB"/>
    <w:rsid w:val="00A3579D"/>
    <w:rsid w:val="00A55356"/>
    <w:rsid w:val="00A557BB"/>
    <w:rsid w:val="00A8520D"/>
    <w:rsid w:val="00AB4924"/>
    <w:rsid w:val="00AC2993"/>
    <w:rsid w:val="00AE7929"/>
    <w:rsid w:val="00AF2CD6"/>
    <w:rsid w:val="00B30D2F"/>
    <w:rsid w:val="00B43CA5"/>
    <w:rsid w:val="00B46335"/>
    <w:rsid w:val="00B50AD7"/>
    <w:rsid w:val="00B64F2F"/>
    <w:rsid w:val="00B92211"/>
    <w:rsid w:val="00B93A3C"/>
    <w:rsid w:val="00B96287"/>
    <w:rsid w:val="00BB3345"/>
    <w:rsid w:val="00BD3A81"/>
    <w:rsid w:val="00BF7FE3"/>
    <w:rsid w:val="00C0404B"/>
    <w:rsid w:val="00C2333B"/>
    <w:rsid w:val="00C24D50"/>
    <w:rsid w:val="00C645D5"/>
    <w:rsid w:val="00C765C7"/>
    <w:rsid w:val="00CD2D08"/>
    <w:rsid w:val="00CF52DB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A3A7B"/>
    <w:rsid w:val="00DB074F"/>
    <w:rsid w:val="00DB2902"/>
    <w:rsid w:val="00DB743E"/>
    <w:rsid w:val="00DE0E35"/>
    <w:rsid w:val="00DF44AC"/>
    <w:rsid w:val="00E2529E"/>
    <w:rsid w:val="00E36906"/>
    <w:rsid w:val="00E500CC"/>
    <w:rsid w:val="00E52832"/>
    <w:rsid w:val="00E532DC"/>
    <w:rsid w:val="00E648E9"/>
    <w:rsid w:val="00E964FD"/>
    <w:rsid w:val="00EB32E5"/>
    <w:rsid w:val="00ED4D5E"/>
    <w:rsid w:val="00F006B2"/>
    <w:rsid w:val="00F43DFA"/>
    <w:rsid w:val="00F87670"/>
    <w:rsid w:val="00F90609"/>
    <w:rsid w:val="00F947CC"/>
    <w:rsid w:val="00FA4BC1"/>
    <w:rsid w:val="00FA7D65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C32CAB-1589-421C-BB39-8A9C980B3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F582BB-3233-489C-8D4E-36BFB42F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136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14</cp:revision>
  <dcterms:created xsi:type="dcterms:W3CDTF">2014-06-20T13:48:00Z</dcterms:created>
  <dcterms:modified xsi:type="dcterms:W3CDTF">2014-08-22T19:02:00Z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