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80" w:rsidRDefault="00407FEF" w:rsidP="00980481">
      <w:pPr>
        <w:pStyle w:val="Heading4"/>
        <w:tabs>
          <w:tab w:val="left" w:pos="648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sidR="00504F80">
        <w:rPr>
          <w:rFonts w:ascii="Times New Roman" w:hAnsi="Times New Roman"/>
          <w:sz w:val="20"/>
        </w:rPr>
        <w:t xml:space="preserve">M21-1MR, Part </w:t>
      </w:r>
      <w:r w:rsidR="00F17B5C">
        <w:rPr>
          <w:rFonts w:ascii="Times New Roman" w:hAnsi="Times New Roman"/>
          <w:sz w:val="20"/>
        </w:rPr>
        <w:t>III</w:t>
      </w:r>
      <w:r w:rsidR="00504F80">
        <w:rPr>
          <w:rFonts w:ascii="Times New Roman" w:hAnsi="Times New Roman"/>
          <w:sz w:val="20"/>
        </w:rPr>
        <w:t xml:space="preserve">, </w:t>
      </w:r>
      <w:r w:rsidR="00F17B5C">
        <w:rPr>
          <w:rFonts w:ascii="Times New Roman" w:hAnsi="Times New Roman"/>
          <w:sz w:val="20"/>
        </w:rPr>
        <w:t>Subpart v</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BC72BD">
        <w:rPr>
          <w:b/>
          <w:bCs/>
          <w:sz w:val="20"/>
        </w:rPr>
        <w:t xml:space="preserve"> </w:t>
      </w:r>
      <w:r>
        <w:rPr>
          <w:b/>
          <w:bCs/>
          <w:sz w:val="20"/>
        </w:rPr>
        <w:t xml:space="preserve">   </w:t>
      </w:r>
      <w:r w:rsidR="00BC72BD">
        <w:rPr>
          <w:b/>
          <w:bCs/>
          <w:sz w:val="20"/>
        </w:rPr>
        <w:t>May 28, 2015</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504F80" w:rsidP="00504F80">
      <w:pPr>
        <w:pStyle w:val="Heading4"/>
      </w:pPr>
      <w:r>
        <w:t xml:space="preserve">Transmittal Sheet </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 xml:space="preserve">The table below describes the changes included in this revision of Veterans Benefits Manual M21-1, </w:t>
            </w:r>
            <w:r w:rsidR="00407FEF">
              <w:t xml:space="preserve">Part </w:t>
            </w:r>
            <w:r w:rsidR="006500DD">
              <w:t>II</w:t>
            </w:r>
            <w:r w:rsidR="00407FEF">
              <w:t>I, “</w:t>
            </w:r>
            <w:r w:rsidR="00F17B5C">
              <w:t>General Claims Process</w:t>
            </w:r>
            <w:r w:rsidR="003E0D50">
              <w:t>,”</w:t>
            </w:r>
            <w:r w:rsidR="00407FEF">
              <w:t xml:space="preserve"> </w:t>
            </w:r>
            <w:r w:rsidR="00F17B5C">
              <w:t>Subpart v</w:t>
            </w:r>
            <w:r w:rsidR="00407FEF">
              <w:t>, “</w:t>
            </w:r>
            <w:r w:rsidR="00F17B5C" w:rsidRPr="00F17B5C">
              <w:t>General Authorization Issues and Claimant Notifications</w:t>
            </w:r>
            <w:r w:rsidR="00407FEF">
              <w:t xml:space="preserve">.”  </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39453D" w:rsidRDefault="0039453D" w:rsidP="0039453D">
            <w:pPr>
              <w:pStyle w:val="BulletText1"/>
            </w:pPr>
            <w:r>
              <w:t>Unless otherwise noted, the term “claims folder” refers to the official, numbered, Department of Veterans Affairs (VA) repository – whether paper or electronic – for all documentation relating to claims that a Veteran and/or his/her dependent(s) file with VA.</w:t>
            </w:r>
          </w:p>
          <w:p w:rsidR="00504F80" w:rsidRDefault="00504F80" w:rsidP="00C24D50">
            <w:pPr>
              <w:pStyle w:val="BulletText1"/>
            </w:pPr>
            <w:r>
              <w:t xml:space="preserve">Minor editorial changes have also been made to </w:t>
            </w:r>
          </w:p>
          <w:p w:rsidR="00504F80" w:rsidRDefault="00504F80" w:rsidP="00237C22">
            <w:pPr>
              <w:pStyle w:val="BulletText2"/>
              <w:tabs>
                <w:tab w:val="num" w:pos="547"/>
              </w:tabs>
            </w:pPr>
            <w:r>
              <w:t>update incorrect or obsolete hyperlink references</w:t>
            </w:r>
          </w:p>
          <w:p w:rsidR="00504F80" w:rsidRDefault="00504F80" w:rsidP="00237C22">
            <w:pPr>
              <w:pStyle w:val="BulletText2"/>
              <w:tabs>
                <w:tab w:val="num" w:pos="547"/>
              </w:tabs>
            </w:pPr>
            <w:r>
              <w:t>update obsolete terminology, where appropriate</w:t>
            </w:r>
          </w:p>
          <w:p w:rsidR="00271962" w:rsidRDefault="00F87F72" w:rsidP="00237C22">
            <w:pPr>
              <w:pStyle w:val="BulletText2"/>
              <w:tabs>
                <w:tab w:val="num" w:pos="547"/>
              </w:tabs>
            </w:pPr>
            <w:r>
              <w:t xml:space="preserve">renumber </w:t>
            </w:r>
            <w:r w:rsidR="00437647">
              <w:t xml:space="preserve">each </w:t>
            </w:r>
            <w:r w:rsidR="00526F0E">
              <w:t>topic</w:t>
            </w:r>
            <w:r w:rsidR="00437647">
              <w:t xml:space="preserve"> based on the standard that the first topic in each section is Topic 1</w:t>
            </w:r>
          </w:p>
          <w:p w:rsidR="003E2CA2" w:rsidRDefault="003E2CA2" w:rsidP="00237C22">
            <w:pPr>
              <w:pStyle w:val="BulletText2"/>
              <w:tabs>
                <w:tab w:val="num" w:pos="547"/>
              </w:tabs>
            </w:pPr>
            <w:r>
              <w:t>reassign alphabetical designations to individual blocks</w:t>
            </w:r>
          </w:p>
          <w:p w:rsidR="00504F80" w:rsidRDefault="00504F80" w:rsidP="00237C22">
            <w:pPr>
              <w:pStyle w:val="BulletText2"/>
            </w:pPr>
            <w:r>
              <w:t>bring the documents into conformance with M21-1 standards</w:t>
            </w:r>
          </w:p>
          <w:p w:rsidR="008367EE" w:rsidRPr="00EA3A57" w:rsidRDefault="00A3574F" w:rsidP="00947CDC">
            <w:pPr>
              <w:pStyle w:val="BulletText2"/>
            </w:pPr>
            <w:proofErr w:type="gramStart"/>
            <w:r>
              <w:t>update</w:t>
            </w:r>
            <w:proofErr w:type="gramEnd"/>
            <w:r>
              <w:t xml:space="preserve"> </w:t>
            </w:r>
            <w:r w:rsidR="00947CDC">
              <w:t xml:space="preserve">M21-1 </w:t>
            </w:r>
            <w:r w:rsidR="00F96C9C">
              <w:t xml:space="preserve">references to </w:t>
            </w:r>
            <w:r>
              <w:t xml:space="preserve">the </w:t>
            </w:r>
            <w:r w:rsidR="00F96C9C">
              <w:t>new format</w:t>
            </w:r>
            <w:r w:rsidR="00F17B5C">
              <w:t>.</w:t>
            </w:r>
            <w:r w:rsidR="000B725A">
              <w:t xml:space="preserve"> </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0"/>
        <w:gridCol w:w="2070"/>
      </w:tblGrid>
      <w:tr w:rsidR="002A1D3E" w:rsidTr="00D735F6">
        <w:trPr>
          <w:trHeight w:val="180"/>
        </w:trPr>
        <w:tc>
          <w:tcPr>
            <w:tcW w:w="3894" w:type="pct"/>
            <w:shd w:val="clear" w:color="auto" w:fill="auto"/>
          </w:tcPr>
          <w:p w:rsidR="002A1D3E" w:rsidRPr="00C24D50" w:rsidRDefault="002A1D3E" w:rsidP="002F7397">
            <w:pPr>
              <w:pStyle w:val="TableHeaderText"/>
            </w:pPr>
            <w:r w:rsidRPr="00C24D50">
              <w:t>Reason(s) for the Change</w:t>
            </w:r>
          </w:p>
        </w:tc>
        <w:tc>
          <w:tcPr>
            <w:tcW w:w="1106" w:type="pct"/>
            <w:shd w:val="clear" w:color="auto" w:fill="auto"/>
          </w:tcPr>
          <w:p w:rsidR="002A1D3E" w:rsidRPr="00C24D50" w:rsidRDefault="002A1D3E" w:rsidP="002F7397">
            <w:pPr>
              <w:pStyle w:val="TableHeaderText"/>
            </w:pPr>
            <w:r w:rsidRPr="00C24D50">
              <w:t>Citation</w:t>
            </w:r>
          </w:p>
        </w:tc>
      </w:tr>
      <w:tr w:rsidR="00D735F6" w:rsidRPr="00D735F6" w:rsidTr="00D735F6">
        <w:trPr>
          <w:trHeight w:val="180"/>
        </w:trPr>
        <w:tc>
          <w:tcPr>
            <w:tcW w:w="3894" w:type="pct"/>
            <w:shd w:val="clear" w:color="auto" w:fill="auto"/>
          </w:tcPr>
          <w:p w:rsidR="00D735F6" w:rsidRPr="00D735F6" w:rsidRDefault="00D735F6" w:rsidP="00645682">
            <w:pPr>
              <w:pStyle w:val="TableHeaderText"/>
              <w:jc w:val="left"/>
              <w:rPr>
                <w:b w:val="0"/>
              </w:rPr>
            </w:pPr>
            <w:bookmarkStart w:id="0" w:name="_GoBack"/>
            <w:r>
              <w:rPr>
                <w:b w:val="0"/>
              </w:rPr>
              <w:t xml:space="preserve">To </w:t>
            </w:r>
            <w:r w:rsidR="00645682">
              <w:rPr>
                <w:b w:val="0"/>
              </w:rPr>
              <w:t>clarify when</w:t>
            </w:r>
            <w:r>
              <w:rPr>
                <w:b w:val="0"/>
              </w:rPr>
              <w:t xml:space="preserve"> a separation reason would not require a character of discharge (COD) determination as long as the character of service is honorable, under honorable conditions, or general</w:t>
            </w:r>
            <w:r w:rsidR="00645682">
              <w:rPr>
                <w:b w:val="0"/>
              </w:rPr>
              <w:t xml:space="preserve"> unless the separation reason is one listed in 38 USC 5303(a)</w:t>
            </w:r>
            <w:r>
              <w:rPr>
                <w:b w:val="0"/>
              </w:rPr>
              <w:t>.</w:t>
            </w:r>
            <w:bookmarkEnd w:id="0"/>
          </w:p>
        </w:tc>
        <w:tc>
          <w:tcPr>
            <w:tcW w:w="1106" w:type="pct"/>
            <w:shd w:val="clear" w:color="auto" w:fill="auto"/>
          </w:tcPr>
          <w:p w:rsidR="00D735F6" w:rsidRPr="00D735F6" w:rsidRDefault="00BC72BD" w:rsidP="00D735F6">
            <w:pPr>
              <w:pStyle w:val="TableHeaderText"/>
              <w:jc w:val="left"/>
              <w:rPr>
                <w:b w:val="0"/>
              </w:rPr>
            </w:pPr>
            <w:r>
              <w:rPr>
                <w:b w:val="0"/>
              </w:rPr>
              <w:t xml:space="preserve">M21-1, </w:t>
            </w:r>
            <w:r w:rsidR="00D735F6">
              <w:rPr>
                <w:b w:val="0"/>
              </w:rPr>
              <w:t>Part III, Subpart v, Chapter 1, Section B, Topic 1, Block b (III.v.1.B.1.b)</w:t>
            </w:r>
          </w:p>
        </w:tc>
      </w:tr>
      <w:tr w:rsidR="00AD77A5" w:rsidTr="00D735F6">
        <w:trPr>
          <w:trHeight w:val="180"/>
        </w:trPr>
        <w:tc>
          <w:tcPr>
            <w:tcW w:w="3894" w:type="pct"/>
            <w:shd w:val="clear" w:color="auto" w:fill="auto"/>
          </w:tcPr>
          <w:p w:rsidR="00AD77A5" w:rsidRDefault="00AD77A5" w:rsidP="00E2261F">
            <w:pPr>
              <w:pStyle w:val="TableText"/>
            </w:pPr>
            <w:r>
              <w:t xml:space="preserve">To add guidance from </w:t>
            </w:r>
            <w:proofErr w:type="spellStart"/>
            <w:r>
              <w:t>Precendent</w:t>
            </w:r>
            <w:proofErr w:type="spellEnd"/>
            <w:r>
              <w:t xml:space="preserve"> Opinion 11-93, “Discharge as a Conscientious Objector; Meaning of Active  Continuous Service” to request the facts and circumstances and proceedings pertaining to the discharge </w:t>
            </w:r>
            <w:r w:rsidR="00AE51B3">
              <w:t>if the</w:t>
            </w:r>
            <w:r w:rsidR="00AE51B3" w:rsidRPr="00AE51B3">
              <w:t xml:space="preserve"> </w:t>
            </w:r>
            <w:r w:rsidR="00AE51B3">
              <w:t xml:space="preserve">character of </w:t>
            </w:r>
            <w:r w:rsidR="00AE51B3" w:rsidRPr="00AE51B3">
              <w:t>discharge was upgraded</w:t>
            </w:r>
            <w:r w:rsidR="004346CF">
              <w:t xml:space="preserve"> in order to</w:t>
            </w:r>
            <w:r w:rsidR="00AE51B3">
              <w:t xml:space="preserve"> determine whether</w:t>
            </w:r>
            <w:r>
              <w:t xml:space="preserve"> the separation reason is a bar to benefits under 38 </w:t>
            </w:r>
            <w:r w:rsidR="0043523B">
              <w:t>CFR</w:t>
            </w:r>
            <w:r>
              <w:t xml:space="preserve"> 3.12</w:t>
            </w:r>
            <w:r w:rsidR="00024CDE">
              <w:t>(</w:t>
            </w:r>
            <w:r>
              <w:t>c</w:t>
            </w:r>
            <w:r w:rsidR="00024CDE">
              <w:t>)</w:t>
            </w:r>
            <w:r w:rsidR="00AE51B3">
              <w:t>.</w:t>
            </w:r>
          </w:p>
        </w:tc>
        <w:tc>
          <w:tcPr>
            <w:tcW w:w="1106" w:type="pct"/>
            <w:shd w:val="clear" w:color="auto" w:fill="auto"/>
          </w:tcPr>
          <w:p w:rsidR="00AE51B3" w:rsidRDefault="004346CF" w:rsidP="002F7397">
            <w:pPr>
              <w:pStyle w:val="TableText"/>
            </w:pPr>
            <w:r>
              <w:t>III.v.1.B.1.g</w:t>
            </w:r>
          </w:p>
        </w:tc>
      </w:tr>
      <w:tr w:rsidR="007A2A86" w:rsidTr="00D735F6">
        <w:trPr>
          <w:trHeight w:val="180"/>
        </w:trPr>
        <w:tc>
          <w:tcPr>
            <w:tcW w:w="3894" w:type="pct"/>
            <w:shd w:val="clear" w:color="auto" w:fill="auto"/>
          </w:tcPr>
          <w:p w:rsidR="007A2A86" w:rsidRDefault="007A2A86" w:rsidP="00E2261F">
            <w:pPr>
              <w:pStyle w:val="TableText"/>
            </w:pPr>
            <w:r>
              <w:t xml:space="preserve">To replace the COD determination template images, which were divided into 4 blocks, with a single block of typed text for ease of use for end </w:t>
            </w:r>
            <w:proofErr w:type="gramStart"/>
            <w:r>
              <w:t>user.</w:t>
            </w:r>
            <w:proofErr w:type="gramEnd"/>
          </w:p>
        </w:tc>
        <w:tc>
          <w:tcPr>
            <w:tcW w:w="1106" w:type="pct"/>
            <w:shd w:val="clear" w:color="auto" w:fill="auto"/>
          </w:tcPr>
          <w:p w:rsidR="007A2A86" w:rsidRDefault="007A2A86" w:rsidP="002F7397">
            <w:pPr>
              <w:pStyle w:val="TableText"/>
            </w:pPr>
            <w:r>
              <w:t>III.v.1.B.1.k</w:t>
            </w:r>
          </w:p>
        </w:tc>
      </w:tr>
      <w:tr w:rsidR="0043523B" w:rsidTr="00D735F6">
        <w:trPr>
          <w:trHeight w:val="180"/>
        </w:trPr>
        <w:tc>
          <w:tcPr>
            <w:tcW w:w="3894" w:type="pct"/>
            <w:shd w:val="clear" w:color="auto" w:fill="auto"/>
          </w:tcPr>
          <w:p w:rsidR="0043523B" w:rsidRDefault="0043523B" w:rsidP="004346CF">
            <w:pPr>
              <w:pStyle w:val="TableText"/>
            </w:pPr>
            <w:r>
              <w:t>To add clarification of when a conscientious objector status is considered a bar to benefits under 38 CFR 3.12</w:t>
            </w:r>
            <w:r w:rsidR="00024CDE">
              <w:t>(</w:t>
            </w:r>
            <w:r>
              <w:t>c</w:t>
            </w:r>
            <w:r w:rsidR="00024CDE">
              <w:t>)</w:t>
            </w:r>
            <w:r>
              <w:t>.</w:t>
            </w:r>
          </w:p>
        </w:tc>
        <w:tc>
          <w:tcPr>
            <w:tcW w:w="1106" w:type="pct"/>
            <w:shd w:val="clear" w:color="auto" w:fill="auto"/>
          </w:tcPr>
          <w:p w:rsidR="0043523B" w:rsidRDefault="00A665A8" w:rsidP="002F7397">
            <w:pPr>
              <w:pStyle w:val="TableText"/>
            </w:pPr>
            <w:r>
              <w:t>III.v.1.B.2.a</w:t>
            </w:r>
          </w:p>
        </w:tc>
      </w:tr>
      <w:tr w:rsidR="00D105BC" w:rsidTr="00D735F6">
        <w:trPr>
          <w:trHeight w:val="180"/>
        </w:trPr>
        <w:tc>
          <w:tcPr>
            <w:tcW w:w="3894" w:type="pct"/>
            <w:shd w:val="clear" w:color="auto" w:fill="auto"/>
          </w:tcPr>
          <w:p w:rsidR="00D105BC" w:rsidRDefault="00D105BC" w:rsidP="004346CF">
            <w:pPr>
              <w:pStyle w:val="TableText"/>
            </w:pPr>
            <w:r>
              <w:t>To remove “homosexual acts involving aggravating circumstances” from the list of discharge reasons considered a bar to benefits un 38 CFR 3.12</w:t>
            </w:r>
            <w:r w:rsidR="00024CDE">
              <w:t>(</w:t>
            </w:r>
            <w:r>
              <w:t>d</w:t>
            </w:r>
            <w:r w:rsidR="00024CDE">
              <w:t>)</w:t>
            </w:r>
            <w:r>
              <w:t xml:space="preserve"> due to a pending regulation change that will change the terminology from “homosexual acts…” to simple, “sexual acts….”</w:t>
            </w:r>
          </w:p>
        </w:tc>
        <w:tc>
          <w:tcPr>
            <w:tcW w:w="1106" w:type="pct"/>
            <w:shd w:val="clear" w:color="auto" w:fill="auto"/>
          </w:tcPr>
          <w:p w:rsidR="00D105BC" w:rsidRDefault="00D105BC" w:rsidP="002F7397">
            <w:pPr>
              <w:pStyle w:val="TableText"/>
            </w:pPr>
            <w:r>
              <w:t>III.v.1.B.3.a</w:t>
            </w:r>
          </w:p>
        </w:tc>
      </w:tr>
      <w:tr w:rsidR="00140E07" w:rsidTr="00D735F6">
        <w:trPr>
          <w:trHeight w:val="180"/>
        </w:trPr>
        <w:tc>
          <w:tcPr>
            <w:tcW w:w="3894" w:type="pct"/>
            <w:shd w:val="clear" w:color="auto" w:fill="auto"/>
          </w:tcPr>
          <w:p w:rsidR="00140E07" w:rsidRDefault="00140E07" w:rsidP="004346CF">
            <w:pPr>
              <w:pStyle w:val="TableText"/>
            </w:pPr>
            <w:r>
              <w:t>To add a reference for more information on identifying upgraded discharges.</w:t>
            </w:r>
          </w:p>
        </w:tc>
        <w:tc>
          <w:tcPr>
            <w:tcW w:w="1106" w:type="pct"/>
            <w:shd w:val="clear" w:color="auto" w:fill="auto"/>
          </w:tcPr>
          <w:p w:rsidR="00140E07" w:rsidRDefault="00140E07" w:rsidP="002F7397">
            <w:pPr>
              <w:pStyle w:val="TableText"/>
            </w:pPr>
            <w:r>
              <w:t>III.v.1.B.3.b</w:t>
            </w:r>
          </w:p>
        </w:tc>
      </w:tr>
      <w:tr w:rsidR="0047188D" w:rsidTr="00D735F6">
        <w:trPr>
          <w:trHeight w:val="180"/>
        </w:trPr>
        <w:tc>
          <w:tcPr>
            <w:tcW w:w="3894" w:type="pct"/>
            <w:shd w:val="clear" w:color="auto" w:fill="auto"/>
          </w:tcPr>
          <w:p w:rsidR="0047188D" w:rsidRDefault="0047188D" w:rsidP="004346CF">
            <w:pPr>
              <w:pStyle w:val="TableText"/>
            </w:pPr>
            <w:r>
              <w:lastRenderedPageBreak/>
              <w:t xml:space="preserve">To add a reference to the Veterans Benefits Management System (VBMS) User Guide for instructions </w:t>
            </w:r>
            <w:proofErr w:type="gramStart"/>
            <w:r>
              <w:t>on  annotating</w:t>
            </w:r>
            <w:proofErr w:type="gramEnd"/>
            <w:r>
              <w:t xml:space="preserve"> digital documents.</w:t>
            </w:r>
          </w:p>
        </w:tc>
        <w:tc>
          <w:tcPr>
            <w:tcW w:w="1106" w:type="pct"/>
            <w:shd w:val="clear" w:color="auto" w:fill="auto"/>
          </w:tcPr>
          <w:p w:rsidR="0047188D" w:rsidRDefault="0047188D" w:rsidP="002F7397">
            <w:pPr>
              <w:pStyle w:val="TableText"/>
            </w:pPr>
            <w:r>
              <w:t>III.v.1.B.4.b</w:t>
            </w:r>
          </w:p>
        </w:tc>
      </w:tr>
      <w:tr w:rsidR="002A1D3E" w:rsidTr="00D735F6">
        <w:trPr>
          <w:trHeight w:val="180"/>
        </w:trPr>
        <w:tc>
          <w:tcPr>
            <w:tcW w:w="3894" w:type="pct"/>
            <w:shd w:val="clear" w:color="auto" w:fill="auto"/>
          </w:tcPr>
          <w:p w:rsidR="002A1D3E" w:rsidRPr="00C24D50" w:rsidRDefault="00610208" w:rsidP="00AC4093">
            <w:pPr>
              <w:pStyle w:val="TableText"/>
            </w:pPr>
            <w:r>
              <w:t>To a</w:t>
            </w:r>
            <w:r w:rsidR="00A8570C">
              <w:t xml:space="preserve">dd information from </w:t>
            </w:r>
            <w:r w:rsidR="00FC678B">
              <w:t>the Frequently Asked Question (</w:t>
            </w:r>
            <w:r w:rsidR="00A8570C">
              <w:t>FAQ</w:t>
            </w:r>
            <w:r w:rsidR="00FC678B">
              <w:t>)</w:t>
            </w:r>
            <w:r w:rsidR="00A8570C">
              <w:t xml:space="preserve"> titled, </w:t>
            </w:r>
            <w:r w:rsidR="00F95CDC">
              <w:t>“</w:t>
            </w:r>
            <w:r w:rsidR="00A8570C" w:rsidRPr="00A8570C">
              <w:t>Effective Dates and Bad Periods of Service</w:t>
            </w:r>
            <w:r w:rsidR="00F95CDC">
              <w:t>”</w:t>
            </w:r>
            <w:r w:rsidR="00A8570C">
              <w:t>, dated 05/23/2008, provid</w:t>
            </w:r>
            <w:r w:rsidR="00AC4093">
              <w:t>ing</w:t>
            </w:r>
            <w:r w:rsidR="00A8570C">
              <w:t xml:space="preserve"> guidance on effective dates for situations in which the claimant has one period of service considered honorable and another considered not honorable for VA purposes.</w:t>
            </w:r>
          </w:p>
        </w:tc>
        <w:tc>
          <w:tcPr>
            <w:tcW w:w="1106" w:type="pct"/>
            <w:shd w:val="clear" w:color="auto" w:fill="auto"/>
          </w:tcPr>
          <w:p w:rsidR="00F17B5C" w:rsidRPr="00C24D50" w:rsidRDefault="00F17B5C" w:rsidP="002F7397">
            <w:pPr>
              <w:pStyle w:val="TableText"/>
            </w:pPr>
            <w:r>
              <w:t>III.v.1.B</w:t>
            </w:r>
            <w:r w:rsidR="00D735A9">
              <w:t>.5</w:t>
            </w:r>
            <w:r w:rsidR="00253465">
              <w:t>.j</w:t>
            </w:r>
          </w:p>
        </w:tc>
      </w:tr>
      <w:tr w:rsidR="006500DD" w:rsidTr="00D735F6">
        <w:trPr>
          <w:trHeight w:val="180"/>
        </w:trPr>
        <w:tc>
          <w:tcPr>
            <w:tcW w:w="3894" w:type="pct"/>
            <w:shd w:val="clear" w:color="auto" w:fill="auto"/>
          </w:tcPr>
          <w:p w:rsidR="006500DD" w:rsidRDefault="00C00682" w:rsidP="000E3ECA">
            <w:pPr>
              <w:pStyle w:val="TableText"/>
            </w:pPr>
            <w:r>
              <w:t xml:space="preserve">To </w:t>
            </w:r>
            <w:r w:rsidR="000E3ECA">
              <w:t>clarify</w:t>
            </w:r>
            <w:r>
              <w:t xml:space="preserve"> that the VA </w:t>
            </w:r>
            <w:proofErr w:type="gramStart"/>
            <w:r>
              <w:t xml:space="preserve">copy of the </w:t>
            </w:r>
            <w:r w:rsidRPr="007216AB">
              <w:rPr>
                <w:i/>
              </w:rPr>
              <w:t>DD</w:t>
            </w:r>
            <w:r w:rsidR="007216AB">
              <w:rPr>
                <w:i/>
              </w:rPr>
              <w:t xml:space="preserve"> Form </w:t>
            </w:r>
            <w:r w:rsidRPr="007216AB">
              <w:rPr>
                <w:i/>
              </w:rPr>
              <w:t>214</w:t>
            </w:r>
            <w:r>
              <w:t xml:space="preserve"> for clemency discharge</w:t>
            </w:r>
            <w:proofErr w:type="gramEnd"/>
            <w:r>
              <w:t xml:space="preserve"> is available electronically in BIRLS</w:t>
            </w:r>
            <w:r w:rsidR="00292DA4">
              <w:t>.</w:t>
            </w:r>
          </w:p>
        </w:tc>
        <w:tc>
          <w:tcPr>
            <w:tcW w:w="1106" w:type="pct"/>
            <w:shd w:val="clear" w:color="auto" w:fill="auto"/>
          </w:tcPr>
          <w:p w:rsidR="00C00682" w:rsidRDefault="00C00682" w:rsidP="00253465">
            <w:pPr>
              <w:pStyle w:val="TableText"/>
            </w:pPr>
            <w:r>
              <w:t>III.v.1.B.6.a</w:t>
            </w:r>
          </w:p>
        </w:tc>
      </w:tr>
      <w:tr w:rsidR="00610208" w:rsidTr="00D735F6">
        <w:trPr>
          <w:trHeight w:val="180"/>
        </w:trPr>
        <w:tc>
          <w:tcPr>
            <w:tcW w:w="3894" w:type="pct"/>
            <w:shd w:val="clear" w:color="auto" w:fill="auto"/>
          </w:tcPr>
          <w:p w:rsidR="004A0E78" w:rsidRDefault="004A0E78" w:rsidP="00E2261F">
            <w:pPr>
              <w:pStyle w:val="TableText"/>
            </w:pPr>
            <w:r>
              <w:t xml:space="preserve">To add </w:t>
            </w:r>
            <w:r w:rsidR="00E2261F">
              <w:t xml:space="preserve">a block and incorporate </w:t>
            </w:r>
            <w:r>
              <w:t xml:space="preserve">guidance from Precedent Opinion 10-96, </w:t>
            </w:r>
            <w:r w:rsidR="00F95CDC">
              <w:t>“</w:t>
            </w:r>
            <w:r w:rsidRPr="004A0E78">
              <w:t>Statutory Bars to Benefits: Effect of Substituted Discharge Under 10 U.S.C. 874(b)</w:t>
            </w:r>
            <w:r w:rsidR="00E2261F">
              <w:t>,</w:t>
            </w:r>
            <w:r w:rsidR="00F95CDC">
              <w:t>”</w:t>
            </w:r>
            <w:r w:rsidR="00E2261F">
              <w:t xml:space="preserve"> </w:t>
            </w:r>
            <w:r w:rsidRPr="004A0E78">
              <w:t xml:space="preserve">which shows that </w:t>
            </w:r>
            <w:r>
              <w:t>a</w:t>
            </w:r>
            <w:r w:rsidRPr="004A0E78">
              <w:t>n upgraded discharge issued pursuant to 10 U.S.C. 874(b) does not remove the statutory bar to benefits under 38 U.S.C. 5303(a) for individuals discharged or dismissed by reason of the sentence of a general court-martial.</w:t>
            </w:r>
          </w:p>
        </w:tc>
        <w:tc>
          <w:tcPr>
            <w:tcW w:w="1106" w:type="pct"/>
            <w:shd w:val="clear" w:color="auto" w:fill="auto"/>
          </w:tcPr>
          <w:p w:rsidR="004A0E78" w:rsidRDefault="004A0E78" w:rsidP="00253465">
            <w:pPr>
              <w:pStyle w:val="TableText"/>
            </w:pPr>
            <w:r>
              <w:t>III.v.1.B.6.f</w:t>
            </w:r>
          </w:p>
        </w:tc>
      </w:tr>
      <w:tr w:rsidR="007C374A" w:rsidTr="00D735F6">
        <w:trPr>
          <w:trHeight w:val="180"/>
        </w:trPr>
        <w:tc>
          <w:tcPr>
            <w:tcW w:w="3894" w:type="pct"/>
            <w:shd w:val="clear" w:color="auto" w:fill="auto"/>
          </w:tcPr>
          <w:p w:rsidR="007C374A" w:rsidRDefault="007C374A" w:rsidP="00E2261F">
            <w:pPr>
              <w:pStyle w:val="TableText"/>
            </w:pPr>
            <w:r>
              <w:t xml:space="preserve">To add a reference to the Veterans Benefits Management System (VBMS) User Guide for instructions </w:t>
            </w:r>
            <w:proofErr w:type="gramStart"/>
            <w:r>
              <w:t>on  annotating</w:t>
            </w:r>
            <w:proofErr w:type="gramEnd"/>
            <w:r>
              <w:t xml:space="preserve"> digital documents.</w:t>
            </w:r>
          </w:p>
        </w:tc>
        <w:tc>
          <w:tcPr>
            <w:tcW w:w="1106" w:type="pct"/>
            <w:shd w:val="clear" w:color="auto" w:fill="auto"/>
          </w:tcPr>
          <w:p w:rsidR="007C374A" w:rsidRDefault="007C374A" w:rsidP="007C374A">
            <w:pPr>
              <w:pStyle w:val="TableText"/>
            </w:pPr>
            <w:r>
              <w:t>III.v.1.B.6.g</w:t>
            </w:r>
          </w:p>
        </w:tc>
      </w:tr>
      <w:tr w:rsidR="004A043A" w:rsidTr="00D735F6">
        <w:trPr>
          <w:trHeight w:val="180"/>
        </w:trPr>
        <w:tc>
          <w:tcPr>
            <w:tcW w:w="3894" w:type="pct"/>
            <w:shd w:val="clear" w:color="auto" w:fill="auto"/>
          </w:tcPr>
          <w:p w:rsidR="004A043A" w:rsidRDefault="004A043A" w:rsidP="00E2261F">
            <w:pPr>
              <w:pStyle w:val="TableText"/>
            </w:pPr>
            <w:r>
              <w:t>To add the location of the special programs under which discharges were upgraded as 38 CFR 3.12</w:t>
            </w:r>
            <w:r w:rsidR="00024CDE">
              <w:t>(</w:t>
            </w:r>
            <w:r>
              <w:t>h</w:t>
            </w:r>
            <w:r w:rsidR="00024CDE">
              <w:t>)</w:t>
            </w:r>
            <w:r>
              <w:t>.</w:t>
            </w:r>
          </w:p>
        </w:tc>
        <w:tc>
          <w:tcPr>
            <w:tcW w:w="1106" w:type="pct"/>
            <w:shd w:val="clear" w:color="auto" w:fill="auto"/>
          </w:tcPr>
          <w:p w:rsidR="004A043A" w:rsidRDefault="004A043A" w:rsidP="007C374A">
            <w:pPr>
              <w:pStyle w:val="TableText"/>
            </w:pPr>
            <w:r>
              <w:t>III.v.1.B.7.a</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04F80" w:rsidRPr="00B4163A" w:rsidRDefault="00504F80" w:rsidP="00237C22">
            <w:pPr>
              <w:rPr>
                <w:szCs w:val="20"/>
              </w:rPr>
            </w:pPr>
            <w:r w:rsidRPr="00B4163A">
              <w:t>Thomas J. Murphy, Director</w:t>
            </w:r>
          </w:p>
          <w:p w:rsidR="00504F80" w:rsidRPr="00B4163A" w:rsidRDefault="00504F80" w:rsidP="00237C22">
            <w:pPr>
              <w:pStyle w:val="BlockText"/>
            </w:pPr>
            <w:r w:rsidRPr="00B4163A">
              <w:t>Compensation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AD" w:rsidRDefault="00C273AD" w:rsidP="00C765C7">
      <w:r>
        <w:separator/>
      </w:r>
    </w:p>
  </w:endnote>
  <w:endnote w:type="continuationSeparator" w:id="0">
    <w:p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682">
      <w:rPr>
        <w:rStyle w:val="PageNumber"/>
        <w:noProof/>
      </w:rPr>
      <w:t>ii</w:t>
    </w:r>
    <w:r>
      <w:rPr>
        <w:rStyle w:val="PageNumber"/>
      </w:rPr>
      <w:fldChar w:fldCharType="end"/>
    </w:r>
  </w:p>
  <w:p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AD" w:rsidRDefault="00C273AD" w:rsidP="00C765C7">
      <w:r>
        <w:separator/>
      </w:r>
    </w:p>
  </w:footnote>
  <w:footnote w:type="continuationSeparator" w:id="0">
    <w:p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3pt;height:12.3pt" o:bullet="t">
        <v:imagedata r:id="rId1" o:title="fspro_2columns"/>
      </v:shape>
    </w:pict>
  </w:numPicBullet>
  <w:numPicBullet w:numPicBulletId="1">
    <w:pict>
      <v:shape id="_x0000_i1154" type="#_x0000_t75" style="width:12.3pt;height:12.3pt" o:bullet="t">
        <v:imagedata r:id="rId2" o:title="advanced"/>
      </v:shape>
    </w:pict>
  </w:numPicBullet>
  <w:numPicBullet w:numPicBulletId="2">
    <w:pict>
      <v:shape id="_x0000_i1155" type="#_x0000_t75" style="width:12.3pt;height:12.3pt" o:bullet="t">
        <v:imagedata r:id="rId3" o:title="continue"/>
      </v:shape>
    </w:pict>
  </w:numPicBullet>
  <w:numPicBullet w:numPicBulletId="3">
    <w:pict>
      <v:shape id="_x0000_i1156" type="#_x0000_t75" style="width:12.3pt;height:12.3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4CDE"/>
    <w:rsid w:val="000252C6"/>
    <w:rsid w:val="000256FB"/>
    <w:rsid w:val="00093228"/>
    <w:rsid w:val="000A7776"/>
    <w:rsid w:val="000B725A"/>
    <w:rsid w:val="000E3ECA"/>
    <w:rsid w:val="00100433"/>
    <w:rsid w:val="0010215F"/>
    <w:rsid w:val="00106EEF"/>
    <w:rsid w:val="00123973"/>
    <w:rsid w:val="001253ED"/>
    <w:rsid w:val="00140E07"/>
    <w:rsid w:val="00152636"/>
    <w:rsid w:val="00160AA8"/>
    <w:rsid w:val="00185CAC"/>
    <w:rsid w:val="00186D46"/>
    <w:rsid w:val="001C3AE3"/>
    <w:rsid w:val="001C3EB5"/>
    <w:rsid w:val="001F06D8"/>
    <w:rsid w:val="002041BE"/>
    <w:rsid w:val="002220F1"/>
    <w:rsid w:val="00237C22"/>
    <w:rsid w:val="00240624"/>
    <w:rsid w:val="00253465"/>
    <w:rsid w:val="002667D2"/>
    <w:rsid w:val="00271962"/>
    <w:rsid w:val="00292DA4"/>
    <w:rsid w:val="002A1D3E"/>
    <w:rsid w:val="002B7A7E"/>
    <w:rsid w:val="002F5B21"/>
    <w:rsid w:val="002F7397"/>
    <w:rsid w:val="00332B80"/>
    <w:rsid w:val="00341981"/>
    <w:rsid w:val="00366D36"/>
    <w:rsid w:val="00386999"/>
    <w:rsid w:val="0039453D"/>
    <w:rsid w:val="003B2927"/>
    <w:rsid w:val="003D47AF"/>
    <w:rsid w:val="003E0D50"/>
    <w:rsid w:val="003E2CA2"/>
    <w:rsid w:val="003F3021"/>
    <w:rsid w:val="003F6048"/>
    <w:rsid w:val="003F672A"/>
    <w:rsid w:val="003F68C5"/>
    <w:rsid w:val="00401EAD"/>
    <w:rsid w:val="0040351B"/>
    <w:rsid w:val="00407FEF"/>
    <w:rsid w:val="0041026E"/>
    <w:rsid w:val="00421403"/>
    <w:rsid w:val="00422836"/>
    <w:rsid w:val="004346CF"/>
    <w:rsid w:val="0043523B"/>
    <w:rsid w:val="00435BA5"/>
    <w:rsid w:val="00437647"/>
    <w:rsid w:val="00450FD6"/>
    <w:rsid w:val="00455EF7"/>
    <w:rsid w:val="004562CC"/>
    <w:rsid w:val="0047188D"/>
    <w:rsid w:val="00471ECA"/>
    <w:rsid w:val="00482FA3"/>
    <w:rsid w:val="0048559D"/>
    <w:rsid w:val="00494175"/>
    <w:rsid w:val="004A043A"/>
    <w:rsid w:val="004A0E78"/>
    <w:rsid w:val="004E22E5"/>
    <w:rsid w:val="004F375E"/>
    <w:rsid w:val="00504F80"/>
    <w:rsid w:val="0050561D"/>
    <w:rsid w:val="00506485"/>
    <w:rsid w:val="00513DA7"/>
    <w:rsid w:val="00516C82"/>
    <w:rsid w:val="00526F0E"/>
    <w:rsid w:val="00556073"/>
    <w:rsid w:val="005940DF"/>
    <w:rsid w:val="00594258"/>
    <w:rsid w:val="005E4363"/>
    <w:rsid w:val="00600DC7"/>
    <w:rsid w:val="00610208"/>
    <w:rsid w:val="0062068D"/>
    <w:rsid w:val="006317AA"/>
    <w:rsid w:val="00645682"/>
    <w:rsid w:val="006473C3"/>
    <w:rsid w:val="006500DD"/>
    <w:rsid w:val="006708D7"/>
    <w:rsid w:val="006837E0"/>
    <w:rsid w:val="006A0BC2"/>
    <w:rsid w:val="006B7262"/>
    <w:rsid w:val="006C3E5F"/>
    <w:rsid w:val="006C48FF"/>
    <w:rsid w:val="006D10E5"/>
    <w:rsid w:val="006D52FE"/>
    <w:rsid w:val="006F6D37"/>
    <w:rsid w:val="007216AB"/>
    <w:rsid w:val="00723E26"/>
    <w:rsid w:val="00724248"/>
    <w:rsid w:val="00732186"/>
    <w:rsid w:val="00737049"/>
    <w:rsid w:val="007A0C5F"/>
    <w:rsid w:val="007A2A86"/>
    <w:rsid w:val="007C374A"/>
    <w:rsid w:val="007D5B97"/>
    <w:rsid w:val="007E5515"/>
    <w:rsid w:val="008039A6"/>
    <w:rsid w:val="0080590C"/>
    <w:rsid w:val="008144E7"/>
    <w:rsid w:val="00822A16"/>
    <w:rsid w:val="00824D7E"/>
    <w:rsid w:val="008367EE"/>
    <w:rsid w:val="0086475B"/>
    <w:rsid w:val="00875AFA"/>
    <w:rsid w:val="0088609E"/>
    <w:rsid w:val="008B4CB5"/>
    <w:rsid w:val="008C4268"/>
    <w:rsid w:val="008C723F"/>
    <w:rsid w:val="008D12C3"/>
    <w:rsid w:val="008D458B"/>
    <w:rsid w:val="008E22CF"/>
    <w:rsid w:val="008E5824"/>
    <w:rsid w:val="008E589A"/>
    <w:rsid w:val="008E6AFB"/>
    <w:rsid w:val="008F14EA"/>
    <w:rsid w:val="008F1D5B"/>
    <w:rsid w:val="00916AE6"/>
    <w:rsid w:val="00933BDB"/>
    <w:rsid w:val="00945950"/>
    <w:rsid w:val="00947CDC"/>
    <w:rsid w:val="009769CD"/>
    <w:rsid w:val="00980481"/>
    <w:rsid w:val="00997D98"/>
    <w:rsid w:val="009C22C8"/>
    <w:rsid w:val="009E31B4"/>
    <w:rsid w:val="009E6E1A"/>
    <w:rsid w:val="00A315CB"/>
    <w:rsid w:val="00A3574F"/>
    <w:rsid w:val="00A3579D"/>
    <w:rsid w:val="00A55356"/>
    <w:rsid w:val="00A557BB"/>
    <w:rsid w:val="00A665A8"/>
    <w:rsid w:val="00A8520D"/>
    <w:rsid w:val="00A8570C"/>
    <w:rsid w:val="00AC2993"/>
    <w:rsid w:val="00AC4093"/>
    <w:rsid w:val="00AD0EDC"/>
    <w:rsid w:val="00AD77A5"/>
    <w:rsid w:val="00AE51B3"/>
    <w:rsid w:val="00AF2CD6"/>
    <w:rsid w:val="00B0070C"/>
    <w:rsid w:val="00B0548B"/>
    <w:rsid w:val="00B06041"/>
    <w:rsid w:val="00B30D2F"/>
    <w:rsid w:val="00B50AD7"/>
    <w:rsid w:val="00B64F2F"/>
    <w:rsid w:val="00B93A3C"/>
    <w:rsid w:val="00B96287"/>
    <w:rsid w:val="00BB3345"/>
    <w:rsid w:val="00BC72BD"/>
    <w:rsid w:val="00BF7FE3"/>
    <w:rsid w:val="00C00682"/>
    <w:rsid w:val="00C0404B"/>
    <w:rsid w:val="00C24D50"/>
    <w:rsid w:val="00C273AD"/>
    <w:rsid w:val="00C7009C"/>
    <w:rsid w:val="00C765C7"/>
    <w:rsid w:val="00CA711A"/>
    <w:rsid w:val="00CD2D08"/>
    <w:rsid w:val="00D105BC"/>
    <w:rsid w:val="00D15BD4"/>
    <w:rsid w:val="00D33A6E"/>
    <w:rsid w:val="00D36508"/>
    <w:rsid w:val="00D57B91"/>
    <w:rsid w:val="00D61497"/>
    <w:rsid w:val="00D735A9"/>
    <w:rsid w:val="00D735F6"/>
    <w:rsid w:val="00D77146"/>
    <w:rsid w:val="00D823AF"/>
    <w:rsid w:val="00D87741"/>
    <w:rsid w:val="00D9207B"/>
    <w:rsid w:val="00DA11C2"/>
    <w:rsid w:val="00DB074F"/>
    <w:rsid w:val="00DB2902"/>
    <w:rsid w:val="00DB743E"/>
    <w:rsid w:val="00DC11BE"/>
    <w:rsid w:val="00DE0E35"/>
    <w:rsid w:val="00DF44AC"/>
    <w:rsid w:val="00E2261F"/>
    <w:rsid w:val="00E2529E"/>
    <w:rsid w:val="00E36906"/>
    <w:rsid w:val="00E648E9"/>
    <w:rsid w:val="00E964FD"/>
    <w:rsid w:val="00ED4D5E"/>
    <w:rsid w:val="00ED71C8"/>
    <w:rsid w:val="00EE4DDE"/>
    <w:rsid w:val="00F006B2"/>
    <w:rsid w:val="00F17B5C"/>
    <w:rsid w:val="00F43DFA"/>
    <w:rsid w:val="00F87670"/>
    <w:rsid w:val="00F87F72"/>
    <w:rsid w:val="00F90609"/>
    <w:rsid w:val="00F95CDC"/>
    <w:rsid w:val="00F96C9C"/>
    <w:rsid w:val="00FB6AD1"/>
    <w:rsid w:val="00FC678B"/>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infopath/2007/PartnerControls"/>
    <ds:schemaRef ds:uri="b438dcf7-3998-4283-b7fc-0ec6fa8e430f"/>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901897B4-0E44-415F-9EAD-64C90B22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118</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Chelgreen, Amy M.</cp:lastModifiedBy>
  <cp:revision>32</cp:revision>
  <dcterms:created xsi:type="dcterms:W3CDTF">2015-03-20T02:12:00Z</dcterms:created>
  <dcterms:modified xsi:type="dcterms:W3CDTF">2015-06-08T14:50:00Z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