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7556AF3A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777EB5">
        <w:rPr>
          <w:rFonts w:ascii="Times New Roman" w:hAnsi="Times New Roman"/>
          <w:sz w:val="20"/>
        </w:rPr>
        <w:t>v</w:t>
      </w:r>
    </w:p>
    <w:p w14:paraId="57C64ADF" w14:textId="6FE369C5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</w:t>
      </w:r>
      <w:r w:rsidR="007D4B1A">
        <w:rPr>
          <w:b/>
          <w:bCs/>
          <w:sz w:val="20"/>
        </w:rPr>
        <w:t>June 4,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5F81593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777EB5">
              <w:t>v</w:t>
            </w:r>
            <w:r>
              <w:t>, “</w:t>
            </w:r>
            <w:r w:rsidR="00777EB5" w:rsidRPr="00BC272D">
              <w:t>General Authorization Issues and Claimant Notifications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A" w14:textId="33483F86" w:rsidR="00504F80" w:rsidRDefault="00504F80" w:rsidP="003C6C33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57C64AEC" w14:textId="74C6220B" w:rsidR="00504F80" w:rsidRDefault="00504F80" w:rsidP="003C6C33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update incorrect or obsolete references</w:t>
            </w:r>
          </w:p>
          <w:p w14:paraId="57C64AF0" w14:textId="77777777" w:rsidR="00504F80" w:rsidRDefault="00504F80" w:rsidP="003C6C33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update obsolete terminology, where appropriate</w:t>
            </w:r>
          </w:p>
          <w:p w14:paraId="3BF6CB46" w14:textId="2DDA13E1" w:rsidR="00E67135" w:rsidRDefault="00E67135" w:rsidP="003C6C33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 w:rsidRPr="00E67135">
              <w:t>remove references to specific claims-processing systems, where doing so does not affect the clarity of the instructions or information provided</w:t>
            </w:r>
          </w:p>
          <w:p w14:paraId="26D69614" w14:textId="267ADFB5" w:rsidR="00271962" w:rsidRDefault="00F87F72" w:rsidP="003C6C33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57C64AF1" w14:textId="2E1F9B91" w:rsidR="003E2CA2" w:rsidRDefault="003E2CA2" w:rsidP="003C6C33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reassign alphabetical designations to individual blocks, where necessary, to account for new and/or deleted blocks within a topic</w:t>
            </w:r>
          </w:p>
          <w:p w14:paraId="57C64AF2" w14:textId="77777777" w:rsidR="00A557BB" w:rsidRDefault="00A557BB" w:rsidP="003C6C33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update section and topic titles to more accurately reflect their content</w:t>
            </w:r>
          </w:p>
          <w:p w14:paraId="57C64AF3" w14:textId="77777777" w:rsidR="00504F80" w:rsidRDefault="00504F80" w:rsidP="003C6C33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02E1E7F9" w:rsidR="00504F80" w:rsidRPr="00EA3A57" w:rsidRDefault="00504F80" w:rsidP="003C6C33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bring the document into conformance with M21-1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57C64AFA" w14:textId="77777777" w:rsidTr="004B010E">
        <w:trPr>
          <w:trHeight w:val="180"/>
        </w:trPr>
        <w:tc>
          <w:tcPr>
            <w:tcW w:w="3750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777EB5" w14:paraId="7CB99255" w14:textId="77777777" w:rsidTr="004B010E">
        <w:trPr>
          <w:trHeight w:val="180"/>
        </w:trPr>
        <w:tc>
          <w:tcPr>
            <w:tcW w:w="3750" w:type="pct"/>
            <w:shd w:val="clear" w:color="auto" w:fill="auto"/>
          </w:tcPr>
          <w:p w14:paraId="37CA8363" w14:textId="5CCC7880" w:rsidR="00777EB5" w:rsidRDefault="00777EB5" w:rsidP="00490033">
            <w:r>
              <w:t>To remove the bullet about sending a Personnel Information Exchange System (PIES) request using code O99 because t</w:t>
            </w:r>
            <w:r w:rsidR="00604189">
              <w:t>he reference to III.iii.2.E.10.</w:t>
            </w:r>
            <w:proofErr w:type="spellStart"/>
            <w:r w:rsidR="00604189">
              <w:t>a</w:t>
            </w:r>
            <w:proofErr w:type="spellEnd"/>
            <w:r>
              <w:t xml:space="preserve"> includes full details and exceptions for verifying whether the Veteran had the requisite service for pension benefits.</w:t>
            </w:r>
          </w:p>
          <w:p w14:paraId="78FD5BE7" w14:textId="740020E9" w:rsidR="00777EB5" w:rsidRPr="00C24D50" w:rsidRDefault="00777EB5" w:rsidP="002F7397">
            <w:pPr>
              <w:pStyle w:val="TableHeaderText"/>
            </w:pPr>
          </w:p>
        </w:tc>
        <w:tc>
          <w:tcPr>
            <w:tcW w:w="1250" w:type="pct"/>
            <w:shd w:val="clear" w:color="auto" w:fill="auto"/>
          </w:tcPr>
          <w:p w14:paraId="2ABBABC6" w14:textId="3832D985" w:rsidR="00777EB5" w:rsidRPr="00777EB5" w:rsidRDefault="00777EB5" w:rsidP="00777EB5">
            <w:pPr>
              <w:pStyle w:val="TableHeaderText"/>
              <w:jc w:val="left"/>
              <w:rPr>
                <w:b w:val="0"/>
              </w:rPr>
            </w:pPr>
            <w:r w:rsidRPr="00777EB5">
              <w:rPr>
                <w:b w:val="0"/>
              </w:rPr>
              <w:t xml:space="preserve">Part III, Subpart v, Chapter 1, Section </w:t>
            </w:r>
            <w:r>
              <w:rPr>
                <w:b w:val="0"/>
              </w:rPr>
              <w:t>D, Topic 2, Block b (III.v.1.D.1.d</w:t>
            </w:r>
            <w:r w:rsidRPr="00777EB5">
              <w:rPr>
                <w:b w:val="0"/>
              </w:rPr>
              <w:t>)</w:t>
            </w:r>
          </w:p>
        </w:tc>
      </w:tr>
      <w:tr w:rsidR="00777EB5" w14:paraId="57C64AFE" w14:textId="77777777" w:rsidTr="004B010E">
        <w:trPr>
          <w:trHeight w:val="180"/>
        </w:trPr>
        <w:tc>
          <w:tcPr>
            <w:tcW w:w="3750" w:type="pct"/>
            <w:shd w:val="clear" w:color="auto" w:fill="auto"/>
          </w:tcPr>
          <w:p w14:paraId="10648F39" w14:textId="77777777" w:rsidR="00777EB5" w:rsidRDefault="00777EB5" w:rsidP="00777EB5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add a note stating that alcohol rehabilitation failure by itself does not constitute willful misconduct, per </w:t>
            </w:r>
            <w:r w:rsidRPr="00777EB5">
              <w:rPr>
                <w:i/>
              </w:rPr>
              <w:t>Martin v. McDonald</w:t>
            </w:r>
            <w:r>
              <w:t>.</w:t>
            </w:r>
          </w:p>
          <w:p w14:paraId="57C64AFB" w14:textId="0F0473B0" w:rsidR="00777EB5" w:rsidRPr="00C24D50" w:rsidRDefault="009D17BE" w:rsidP="00777EB5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To add a reference for</w:t>
            </w:r>
            <w:r w:rsidR="00777EB5">
              <w:t xml:space="preserve"> additional information about </w:t>
            </w:r>
            <w:r>
              <w:t xml:space="preserve">requesting and reviewing </w:t>
            </w:r>
            <w:r w:rsidR="00777EB5">
              <w:t>facts and circumstances.</w:t>
            </w:r>
          </w:p>
        </w:tc>
        <w:tc>
          <w:tcPr>
            <w:tcW w:w="1250" w:type="pct"/>
            <w:shd w:val="clear" w:color="auto" w:fill="auto"/>
          </w:tcPr>
          <w:p w14:paraId="57C64AFC" w14:textId="04A473D5" w:rsidR="00777EB5" w:rsidRPr="00C24D50" w:rsidRDefault="00777EB5" w:rsidP="00777EB5">
            <w:pPr>
              <w:pStyle w:val="TableText"/>
            </w:pPr>
            <w:r>
              <w:t>III.v.1.D.2.b</w:t>
            </w:r>
          </w:p>
        </w:tc>
      </w:tr>
      <w:tr w:rsidR="00777EB5" w14:paraId="57C64B06" w14:textId="77777777" w:rsidTr="004B010E">
        <w:trPr>
          <w:trHeight w:val="180"/>
        </w:trPr>
        <w:tc>
          <w:tcPr>
            <w:tcW w:w="3750" w:type="pct"/>
            <w:shd w:val="clear" w:color="auto" w:fill="auto"/>
          </w:tcPr>
          <w:p w14:paraId="57C64B03" w14:textId="78769089" w:rsidR="00777EB5" w:rsidRPr="00C24D50" w:rsidRDefault="00777EB5" w:rsidP="00D80F72">
            <w:pPr>
              <w:pStyle w:val="TableText"/>
            </w:pPr>
            <w:r>
              <w:t>To m</w:t>
            </w:r>
            <w:r w:rsidRPr="00503FE0">
              <w:t xml:space="preserve">ove </w:t>
            </w:r>
            <w:r>
              <w:t xml:space="preserve">old </w:t>
            </w:r>
            <w:r w:rsidR="00D80F72">
              <w:t>T</w:t>
            </w:r>
            <w:r>
              <w:t xml:space="preserve">opic </w:t>
            </w:r>
            <w:r w:rsidRPr="00503FE0">
              <w:t>III.iii.1.B.</w:t>
            </w:r>
            <w:r w:rsidR="00A64B9C">
              <w:t>9</w:t>
            </w:r>
            <w:r>
              <w:t xml:space="preserve">, </w:t>
            </w:r>
            <w:r w:rsidRPr="00777EB5">
              <w:rPr>
                <w:i/>
              </w:rPr>
              <w:t>Development of Claims Involving Accidental Injuries</w:t>
            </w:r>
            <w:r>
              <w:rPr>
                <w:i/>
              </w:rPr>
              <w:t>,</w:t>
            </w:r>
            <w:r w:rsidRPr="00503FE0">
              <w:t xml:space="preserve"> to </w:t>
            </w:r>
            <w:r w:rsidR="00D80F72">
              <w:t>new T</w:t>
            </w:r>
            <w:r>
              <w:t xml:space="preserve">opic </w:t>
            </w:r>
            <w:r w:rsidRPr="00503FE0">
              <w:t>III.v.1.D.</w:t>
            </w:r>
            <w:r>
              <w:t>5</w:t>
            </w:r>
            <w:r w:rsidR="00D80F72">
              <w:t>.</w:t>
            </w:r>
          </w:p>
        </w:tc>
        <w:tc>
          <w:tcPr>
            <w:tcW w:w="1250" w:type="pct"/>
            <w:shd w:val="clear" w:color="auto" w:fill="auto"/>
          </w:tcPr>
          <w:p w14:paraId="57C64B04" w14:textId="33FC6A34" w:rsidR="00777EB5" w:rsidRPr="00C24D50" w:rsidRDefault="00777EB5" w:rsidP="002F7397">
            <w:pPr>
              <w:pStyle w:val="TableText"/>
            </w:pPr>
            <w:r>
              <w:t>III.v.1.D.5</w:t>
            </w:r>
          </w:p>
        </w:tc>
      </w:tr>
      <w:tr w:rsidR="00777EB5" w14:paraId="57C64B0A" w14:textId="77777777" w:rsidTr="004B010E">
        <w:trPr>
          <w:trHeight w:val="180"/>
        </w:trPr>
        <w:tc>
          <w:tcPr>
            <w:tcW w:w="3750" w:type="pct"/>
            <w:shd w:val="clear" w:color="auto" w:fill="auto"/>
          </w:tcPr>
          <w:p w14:paraId="57C64B07" w14:textId="3962379C" w:rsidR="00777EB5" w:rsidRPr="00C24D50" w:rsidRDefault="00777EB5" w:rsidP="00777EB5">
            <w:pPr>
              <w:pStyle w:val="TableText"/>
            </w:pPr>
            <w:r>
              <w:t>To add additional information regarding where development letters for police report are requested.</w:t>
            </w:r>
          </w:p>
        </w:tc>
        <w:tc>
          <w:tcPr>
            <w:tcW w:w="1250" w:type="pct"/>
            <w:shd w:val="clear" w:color="auto" w:fill="auto"/>
          </w:tcPr>
          <w:p w14:paraId="57C64B08" w14:textId="741AEBE3" w:rsidR="00777EB5" w:rsidRPr="00C24D50" w:rsidRDefault="00777EB5" w:rsidP="002F7397">
            <w:pPr>
              <w:pStyle w:val="TableText"/>
            </w:pPr>
            <w:r>
              <w:t>III.v.1.D.5.b</w:t>
            </w:r>
          </w:p>
        </w:tc>
      </w:tr>
      <w:tr w:rsidR="00777EB5" w14:paraId="57C64B0E" w14:textId="77777777" w:rsidTr="004B010E">
        <w:trPr>
          <w:trHeight w:val="180"/>
        </w:trPr>
        <w:tc>
          <w:tcPr>
            <w:tcW w:w="3750" w:type="pct"/>
            <w:shd w:val="clear" w:color="auto" w:fill="auto"/>
          </w:tcPr>
          <w:p w14:paraId="57C64B0B" w14:textId="254549C1" w:rsidR="00777EB5" w:rsidRPr="00C24D50" w:rsidRDefault="00777EB5" w:rsidP="00933BDB">
            <w:pPr>
              <w:pStyle w:val="TableText"/>
            </w:pPr>
            <w:r>
              <w:t xml:space="preserve">To include guidance stating that a line-of-duty determination is not required </w:t>
            </w:r>
            <w:r w:rsidR="00857282">
              <w:t>for claimants of verified full-</w:t>
            </w:r>
            <w:r w:rsidRPr="005053E4">
              <w:t xml:space="preserve">time National Guard service under 32 U.S.C. 502 as part of the Active Guard Reserve </w:t>
            </w:r>
            <w:r>
              <w:t>when</w:t>
            </w:r>
            <w:r w:rsidRPr="005053E4">
              <w:t xml:space="preserve"> the evidence shows that the claimed disability is a result of an illness or injury incurred or aggravated while in that status, as long as the duty status is verified and there is no indication of willful misconduct</w:t>
            </w:r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57C64B0C" w14:textId="37AC55B5" w:rsidR="00777EB5" w:rsidRPr="00C24D50" w:rsidRDefault="00777EB5" w:rsidP="00933BDB">
            <w:pPr>
              <w:pStyle w:val="TableText"/>
            </w:pPr>
            <w:r>
              <w:t>III.v.1.D.6.c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684AD" w14:textId="77777777" w:rsidR="00F22B43" w:rsidRDefault="00F22B43" w:rsidP="00C765C7">
      <w:r>
        <w:separator/>
      </w:r>
    </w:p>
  </w:endnote>
  <w:endnote w:type="continuationSeparator" w:id="0">
    <w:p w14:paraId="1684DC63" w14:textId="77777777" w:rsidR="00F22B43" w:rsidRDefault="00F22B43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B1A">
      <w:rPr>
        <w:rStyle w:val="PageNumber"/>
        <w:noProof/>
      </w:rPr>
      <w:t>ii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DC992" w14:textId="77777777" w:rsidR="00F22B43" w:rsidRDefault="00F22B43" w:rsidP="00C765C7">
      <w:r>
        <w:separator/>
      </w:r>
    </w:p>
  </w:footnote>
  <w:footnote w:type="continuationSeparator" w:id="0">
    <w:p w14:paraId="06B02CBB" w14:textId="77777777" w:rsidR="00F22B43" w:rsidRDefault="00F22B43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35B02"/>
    <w:multiLevelType w:val="hybridMultilevel"/>
    <w:tmpl w:val="45B6A686"/>
    <w:lvl w:ilvl="0" w:tplc="EB70E36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B66B8"/>
    <w:multiLevelType w:val="hybridMultilevel"/>
    <w:tmpl w:val="BC98AFD0"/>
    <w:lvl w:ilvl="0" w:tplc="E046904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41F02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C6C33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2560"/>
    <w:rsid w:val="00435BA5"/>
    <w:rsid w:val="00437647"/>
    <w:rsid w:val="00450FD6"/>
    <w:rsid w:val="00455EF7"/>
    <w:rsid w:val="004562CC"/>
    <w:rsid w:val="00471ECA"/>
    <w:rsid w:val="00482FA3"/>
    <w:rsid w:val="0048559D"/>
    <w:rsid w:val="00490033"/>
    <w:rsid w:val="00494175"/>
    <w:rsid w:val="004A0832"/>
    <w:rsid w:val="004B010E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04189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77EB5"/>
    <w:rsid w:val="007A0C5F"/>
    <w:rsid w:val="007D4B1A"/>
    <w:rsid w:val="007D5B97"/>
    <w:rsid w:val="007E5515"/>
    <w:rsid w:val="0080590C"/>
    <w:rsid w:val="008144E7"/>
    <w:rsid w:val="00822A16"/>
    <w:rsid w:val="00857282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D17BE"/>
    <w:rsid w:val="009E6E1A"/>
    <w:rsid w:val="00A2703B"/>
    <w:rsid w:val="00A315CB"/>
    <w:rsid w:val="00A3579D"/>
    <w:rsid w:val="00A55356"/>
    <w:rsid w:val="00A557BB"/>
    <w:rsid w:val="00A567B2"/>
    <w:rsid w:val="00A64B9C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0F72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4427"/>
    <w:rsid w:val="00E77596"/>
    <w:rsid w:val="00E964FD"/>
    <w:rsid w:val="00ED4D5E"/>
    <w:rsid w:val="00ED71C8"/>
    <w:rsid w:val="00F006B2"/>
    <w:rsid w:val="00F22B43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777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77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openxmlformats.org/package/2006/metadata/core-properties"/>
    <ds:schemaRef ds:uri="b438dcf7-3998-4283-b7fc-0ec6fa8e430f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2995DCB-44DC-4CCB-9E74-7412EC096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B6758B-A575-4418-A84B-FFFCE905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34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7</cp:revision>
  <dcterms:created xsi:type="dcterms:W3CDTF">2015-05-22T18:13:00Z</dcterms:created>
  <dcterms:modified xsi:type="dcterms:W3CDTF">2015-06-04T20:24:00Z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