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FB17" w14:textId="77777777" w:rsidR="00A643FD" w:rsidRPr="00AE5B55" w:rsidRDefault="00A643FD" w:rsidP="00A643FD">
      <w:pPr>
        <w:pStyle w:val="Heading2"/>
      </w:pPr>
      <w:r w:rsidRPr="00AE5B55">
        <w:t>Section E.  Other Due Process Concerns</w:t>
      </w:r>
    </w:p>
    <w:p w14:paraId="115E58F5" w14:textId="77777777" w:rsidR="00A643FD" w:rsidRPr="00AE5B55" w:rsidRDefault="00A643FD" w:rsidP="00A643FD">
      <w:pPr>
        <w:pStyle w:val="Heading4"/>
      </w:pPr>
      <w:r w:rsidRPr="00AE5B55">
        <w:fldChar w:fldCharType="begin"/>
      </w:r>
      <w:r w:rsidRPr="00AE5B55">
        <w:instrText xml:space="preserve"> PRIVATE INFOTYPE="OTHER" </w:instrText>
      </w:r>
      <w:r w:rsidRPr="00AE5B55">
        <w:fldChar w:fldCharType="end"/>
      </w:r>
      <w:r w:rsidRPr="00AE5B55">
        <w:t>Overview</w:t>
      </w:r>
    </w:p>
    <w:p w14:paraId="6B8759EF" w14:textId="77777777" w:rsidR="00A643FD" w:rsidRPr="00AE5B55" w:rsidRDefault="00A73B1E" w:rsidP="00A643FD">
      <w:pPr>
        <w:pStyle w:val="BlockLine"/>
      </w:pPr>
      <w:r w:rsidRPr="00AE5B55">
        <w:fldChar w:fldCharType="begin"/>
      </w:r>
      <w:r w:rsidRPr="00AE5B55">
        <w:instrText xml:space="preserve"> PRIVATE INFOTYPE="OTHER"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2C2788E3" w14:textId="77777777" w:rsidTr="00522D5E">
        <w:trPr>
          <w:cantSplit/>
        </w:trPr>
        <w:tc>
          <w:tcPr>
            <w:tcW w:w="1728" w:type="dxa"/>
          </w:tcPr>
          <w:p w14:paraId="42922919" w14:textId="77777777" w:rsidR="00A643FD" w:rsidRPr="00AE5B55" w:rsidRDefault="00A643FD" w:rsidP="00522D5E">
            <w:pPr>
              <w:pStyle w:val="Heading5"/>
            </w:pPr>
            <w:r w:rsidRPr="00AE5B55">
              <w:t>In this Section</w:t>
            </w:r>
          </w:p>
        </w:tc>
        <w:tc>
          <w:tcPr>
            <w:tcW w:w="7740" w:type="dxa"/>
          </w:tcPr>
          <w:p w14:paraId="7C3F86E9" w14:textId="77777777" w:rsidR="00A643FD" w:rsidRPr="00AE5B55" w:rsidRDefault="00A643FD" w:rsidP="00522D5E">
            <w:pPr>
              <w:pStyle w:val="BlockText"/>
            </w:pPr>
            <w:r w:rsidRPr="00AE5B55">
              <w:t>This section contains the following topics:</w:t>
            </w:r>
          </w:p>
        </w:tc>
      </w:tr>
    </w:tbl>
    <w:p w14:paraId="03BB4A34" w14:textId="77777777" w:rsidR="00A643FD" w:rsidRPr="00AE5B55" w:rsidRDefault="00A643FD" w:rsidP="00A643FD"/>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96"/>
      </w:tblGrid>
      <w:tr w:rsidR="00A643FD" w:rsidRPr="00AE5B55" w14:paraId="1EEDD591" w14:textId="77777777" w:rsidTr="00522D5E">
        <w:trPr>
          <w:cantSplit/>
        </w:trPr>
        <w:tc>
          <w:tcPr>
            <w:tcW w:w="1296" w:type="dxa"/>
            <w:tcBorders>
              <w:top w:val="single" w:sz="6" w:space="0" w:color="auto"/>
              <w:left w:val="single" w:sz="6" w:space="0" w:color="auto"/>
              <w:bottom w:val="single" w:sz="6" w:space="0" w:color="auto"/>
              <w:right w:val="single" w:sz="6" w:space="0" w:color="auto"/>
            </w:tcBorders>
          </w:tcPr>
          <w:p w14:paraId="431A6948" w14:textId="77777777" w:rsidR="00A643FD" w:rsidRPr="00AE5B55" w:rsidRDefault="00A643FD" w:rsidP="00522D5E">
            <w:pPr>
              <w:pStyle w:val="TableHeaderText"/>
            </w:pPr>
            <w:r w:rsidRPr="00AE5B55">
              <w:t>Topic</w:t>
            </w:r>
          </w:p>
        </w:tc>
        <w:tc>
          <w:tcPr>
            <w:tcW w:w="4968" w:type="dxa"/>
            <w:tcBorders>
              <w:top w:val="single" w:sz="6" w:space="0" w:color="auto"/>
              <w:left w:val="single" w:sz="6" w:space="0" w:color="auto"/>
              <w:bottom w:val="single" w:sz="6" w:space="0" w:color="auto"/>
              <w:right w:val="single" w:sz="6" w:space="0" w:color="auto"/>
            </w:tcBorders>
          </w:tcPr>
          <w:p w14:paraId="6745D86E" w14:textId="77777777" w:rsidR="00A643FD" w:rsidRPr="00AE5B55" w:rsidRDefault="00A643FD" w:rsidP="00522D5E">
            <w:pPr>
              <w:pStyle w:val="TableHeaderText"/>
            </w:pPr>
            <w:r w:rsidRPr="00AE5B55">
              <w:t>Topic Name</w:t>
            </w:r>
          </w:p>
        </w:tc>
        <w:tc>
          <w:tcPr>
            <w:tcW w:w="1296" w:type="dxa"/>
            <w:tcBorders>
              <w:top w:val="single" w:sz="6" w:space="0" w:color="auto"/>
              <w:left w:val="single" w:sz="6" w:space="0" w:color="auto"/>
              <w:bottom w:val="single" w:sz="6" w:space="0" w:color="auto"/>
              <w:right w:val="single" w:sz="6" w:space="0" w:color="auto"/>
            </w:tcBorders>
          </w:tcPr>
          <w:p w14:paraId="7D8CD5AA" w14:textId="77777777" w:rsidR="00A643FD" w:rsidRPr="00AE5B55" w:rsidRDefault="00A643FD" w:rsidP="00522D5E">
            <w:pPr>
              <w:pStyle w:val="TableHeaderText"/>
            </w:pPr>
            <w:r w:rsidRPr="00AE5B55">
              <w:t>See Page</w:t>
            </w:r>
          </w:p>
        </w:tc>
      </w:tr>
      <w:tr w:rsidR="00A643FD" w:rsidRPr="00AE5B55" w14:paraId="236CC92C" w14:textId="77777777" w:rsidTr="00522D5E">
        <w:trPr>
          <w:cantSplit/>
        </w:trPr>
        <w:tc>
          <w:tcPr>
            <w:tcW w:w="1296" w:type="dxa"/>
            <w:tcBorders>
              <w:top w:val="single" w:sz="6" w:space="0" w:color="auto"/>
              <w:left w:val="single" w:sz="6" w:space="0" w:color="auto"/>
              <w:bottom w:val="single" w:sz="6" w:space="0" w:color="auto"/>
              <w:right w:val="single" w:sz="6" w:space="0" w:color="auto"/>
            </w:tcBorders>
          </w:tcPr>
          <w:p w14:paraId="2526EA6D" w14:textId="487C1AC1" w:rsidR="00A643FD" w:rsidRPr="00AE5B55" w:rsidRDefault="00AE5B55" w:rsidP="00522D5E">
            <w:pPr>
              <w:pStyle w:val="TableText"/>
              <w:jc w:val="center"/>
            </w:pPr>
            <w:hyperlink w:anchor="Topic16" w:history="1">
              <w:r w:rsidR="00A643FD" w:rsidRPr="00AE5B55">
                <w:rPr>
                  <w:rStyle w:val="Hyperlink"/>
                </w:rPr>
                <w:t>16</w:t>
              </w:r>
            </w:hyperlink>
          </w:p>
        </w:tc>
        <w:tc>
          <w:tcPr>
            <w:tcW w:w="4968" w:type="dxa"/>
            <w:tcBorders>
              <w:top w:val="single" w:sz="6" w:space="0" w:color="auto"/>
              <w:left w:val="single" w:sz="6" w:space="0" w:color="auto"/>
              <w:bottom w:val="single" w:sz="6" w:space="0" w:color="auto"/>
              <w:right w:val="single" w:sz="6" w:space="0" w:color="auto"/>
            </w:tcBorders>
          </w:tcPr>
          <w:p w14:paraId="60FC2DC3" w14:textId="77777777" w:rsidR="00A643FD" w:rsidRPr="00AE5B55" w:rsidRDefault="00A643FD" w:rsidP="00522D5E">
            <w:pPr>
              <w:pStyle w:val="TableText"/>
            </w:pPr>
            <w:r w:rsidRPr="00AE5B55">
              <w:t>Failure to Report f</w:t>
            </w:r>
            <w:r w:rsidR="00531CEB" w:rsidRPr="00AE5B55">
              <w:t>or Examination Under 38 CFR</w:t>
            </w:r>
            <w:r w:rsidRPr="00AE5B55">
              <w:t xml:space="preserve"> 3.655</w:t>
            </w:r>
          </w:p>
        </w:tc>
        <w:tc>
          <w:tcPr>
            <w:tcW w:w="1296" w:type="dxa"/>
            <w:tcBorders>
              <w:top w:val="single" w:sz="6" w:space="0" w:color="auto"/>
              <w:left w:val="single" w:sz="6" w:space="0" w:color="auto"/>
              <w:bottom w:val="single" w:sz="6" w:space="0" w:color="auto"/>
              <w:right w:val="single" w:sz="6" w:space="0" w:color="auto"/>
            </w:tcBorders>
          </w:tcPr>
          <w:p w14:paraId="45748DB2" w14:textId="77777777" w:rsidR="00A643FD" w:rsidRPr="00AE5B55" w:rsidRDefault="00A643FD" w:rsidP="00522D5E">
            <w:pPr>
              <w:pStyle w:val="TableText"/>
              <w:jc w:val="center"/>
            </w:pPr>
            <w:r w:rsidRPr="00AE5B55">
              <w:t>8-E-2</w:t>
            </w:r>
          </w:p>
        </w:tc>
      </w:tr>
      <w:tr w:rsidR="00A643FD" w:rsidRPr="00AE5B55" w14:paraId="6CD6149D" w14:textId="77777777" w:rsidTr="00522D5E">
        <w:trPr>
          <w:cantSplit/>
        </w:trPr>
        <w:tc>
          <w:tcPr>
            <w:tcW w:w="1296" w:type="dxa"/>
            <w:tcBorders>
              <w:top w:val="single" w:sz="6" w:space="0" w:color="auto"/>
              <w:left w:val="single" w:sz="6" w:space="0" w:color="auto"/>
              <w:bottom w:val="single" w:sz="6" w:space="0" w:color="auto"/>
              <w:right w:val="single" w:sz="6" w:space="0" w:color="auto"/>
            </w:tcBorders>
          </w:tcPr>
          <w:p w14:paraId="1F6E58DB" w14:textId="0FE2277A" w:rsidR="00A643FD" w:rsidRPr="00AE5B55" w:rsidRDefault="00AE5B55" w:rsidP="00522D5E">
            <w:pPr>
              <w:pStyle w:val="TableText"/>
              <w:jc w:val="center"/>
            </w:pPr>
            <w:hyperlink w:anchor="Topic17" w:history="1">
              <w:r w:rsidR="00A643FD" w:rsidRPr="00AE5B55">
                <w:rPr>
                  <w:rStyle w:val="Hyperlink"/>
                </w:rPr>
                <w:t>17</w:t>
              </w:r>
            </w:hyperlink>
          </w:p>
        </w:tc>
        <w:tc>
          <w:tcPr>
            <w:tcW w:w="4968" w:type="dxa"/>
            <w:tcBorders>
              <w:top w:val="single" w:sz="6" w:space="0" w:color="auto"/>
              <w:left w:val="single" w:sz="6" w:space="0" w:color="auto"/>
              <w:bottom w:val="single" w:sz="6" w:space="0" w:color="auto"/>
              <w:right w:val="single" w:sz="6" w:space="0" w:color="auto"/>
            </w:tcBorders>
          </w:tcPr>
          <w:p w14:paraId="6753820D" w14:textId="77777777" w:rsidR="00A643FD" w:rsidRPr="00AE5B55" w:rsidRDefault="00A643FD" w:rsidP="00522D5E">
            <w:pPr>
              <w:pStyle w:val="TableText"/>
            </w:pPr>
            <w:r w:rsidRPr="00AE5B55">
              <w:t>Severance of Service Connection</w:t>
            </w:r>
          </w:p>
        </w:tc>
        <w:tc>
          <w:tcPr>
            <w:tcW w:w="1296" w:type="dxa"/>
            <w:tcBorders>
              <w:top w:val="single" w:sz="6" w:space="0" w:color="auto"/>
              <w:left w:val="single" w:sz="6" w:space="0" w:color="auto"/>
              <w:bottom w:val="single" w:sz="6" w:space="0" w:color="auto"/>
              <w:right w:val="single" w:sz="6" w:space="0" w:color="auto"/>
            </w:tcBorders>
          </w:tcPr>
          <w:p w14:paraId="09B12B48" w14:textId="77777777" w:rsidR="00A643FD" w:rsidRPr="00AE5B55" w:rsidRDefault="00A643FD" w:rsidP="00522D5E">
            <w:pPr>
              <w:pStyle w:val="TableText"/>
              <w:jc w:val="center"/>
            </w:pPr>
            <w:r w:rsidRPr="00AE5B55">
              <w:t>8-E-5</w:t>
            </w:r>
          </w:p>
        </w:tc>
      </w:tr>
      <w:tr w:rsidR="00A643FD" w:rsidRPr="00AE5B55" w14:paraId="5EF6223C" w14:textId="77777777" w:rsidTr="00522D5E">
        <w:trPr>
          <w:cantSplit/>
        </w:trPr>
        <w:tc>
          <w:tcPr>
            <w:tcW w:w="1296" w:type="dxa"/>
            <w:tcBorders>
              <w:top w:val="single" w:sz="6" w:space="0" w:color="auto"/>
              <w:left w:val="single" w:sz="6" w:space="0" w:color="auto"/>
              <w:bottom w:val="single" w:sz="6" w:space="0" w:color="auto"/>
              <w:right w:val="single" w:sz="6" w:space="0" w:color="auto"/>
            </w:tcBorders>
          </w:tcPr>
          <w:p w14:paraId="6BE1B25C" w14:textId="1D34B9F8" w:rsidR="00A643FD" w:rsidRPr="00AE5B55" w:rsidRDefault="00AE5B55" w:rsidP="00522D5E">
            <w:pPr>
              <w:pStyle w:val="TableText"/>
              <w:jc w:val="center"/>
            </w:pPr>
            <w:hyperlink w:anchor="Topic18" w:history="1">
              <w:r w:rsidR="00A643FD" w:rsidRPr="00AE5B55">
                <w:rPr>
                  <w:rStyle w:val="Hyperlink"/>
                </w:rPr>
                <w:t>18</w:t>
              </w:r>
            </w:hyperlink>
          </w:p>
        </w:tc>
        <w:tc>
          <w:tcPr>
            <w:tcW w:w="4968" w:type="dxa"/>
            <w:tcBorders>
              <w:top w:val="single" w:sz="6" w:space="0" w:color="auto"/>
              <w:left w:val="single" w:sz="6" w:space="0" w:color="auto"/>
              <w:bottom w:val="single" w:sz="6" w:space="0" w:color="auto"/>
              <w:right w:val="single" w:sz="6" w:space="0" w:color="auto"/>
            </w:tcBorders>
          </w:tcPr>
          <w:p w14:paraId="4C845FD8" w14:textId="77777777" w:rsidR="00A643FD" w:rsidRPr="00AE5B55" w:rsidRDefault="00A643FD" w:rsidP="00522D5E">
            <w:pPr>
              <w:pStyle w:val="TableText"/>
            </w:pPr>
            <w:r w:rsidRPr="00AE5B55">
              <w:t>Reversal of Prior Determinations Related to Character of Discharge, Line of Duty, or Willful Misconduct.</w:t>
            </w:r>
          </w:p>
        </w:tc>
        <w:tc>
          <w:tcPr>
            <w:tcW w:w="1296" w:type="dxa"/>
            <w:tcBorders>
              <w:top w:val="single" w:sz="6" w:space="0" w:color="auto"/>
              <w:left w:val="single" w:sz="6" w:space="0" w:color="auto"/>
              <w:bottom w:val="single" w:sz="6" w:space="0" w:color="auto"/>
              <w:right w:val="single" w:sz="6" w:space="0" w:color="auto"/>
            </w:tcBorders>
          </w:tcPr>
          <w:p w14:paraId="0D5DB504" w14:textId="77777777" w:rsidR="00A643FD" w:rsidRPr="00AE5B55" w:rsidRDefault="00A643FD" w:rsidP="00522D5E">
            <w:pPr>
              <w:pStyle w:val="TableText"/>
              <w:jc w:val="center"/>
            </w:pPr>
            <w:r w:rsidRPr="00AE5B55">
              <w:t>8-E-9</w:t>
            </w:r>
          </w:p>
        </w:tc>
      </w:tr>
    </w:tbl>
    <w:p w14:paraId="238C3216" w14:textId="77777777" w:rsidR="00A643FD" w:rsidRPr="00AE5B55" w:rsidRDefault="00A643FD" w:rsidP="00A643FD">
      <w:pPr>
        <w:pStyle w:val="BlockLine"/>
      </w:pPr>
    </w:p>
    <w:p w14:paraId="546A4B1C" w14:textId="77777777" w:rsidR="00A643FD" w:rsidRPr="00AE5B55" w:rsidRDefault="00A643FD" w:rsidP="00A643FD">
      <w:pPr>
        <w:pStyle w:val="Heading4"/>
      </w:pPr>
      <w:r w:rsidRPr="00AE5B55">
        <w:br w:type="page"/>
      </w:r>
      <w:r w:rsidRPr="00AE5B55">
        <w:lastRenderedPageBreak/>
        <w:t xml:space="preserve">16.  </w:t>
      </w:r>
      <w:bookmarkStart w:id="0" w:name="Topic16"/>
      <w:bookmarkEnd w:id="0"/>
      <w:r w:rsidRPr="00AE5B55">
        <w:t>Failure to Report f</w:t>
      </w:r>
      <w:r w:rsidR="00531CEB" w:rsidRPr="00AE5B55">
        <w:t>or Examination Under 38 CFR</w:t>
      </w:r>
      <w:r w:rsidRPr="00AE5B55">
        <w:t xml:space="preserve"> 3.655</w:t>
      </w:r>
    </w:p>
    <w:p w14:paraId="0CD05834" w14:textId="77777777" w:rsidR="00A643FD" w:rsidRPr="00AE5B55" w:rsidRDefault="00A643FD" w:rsidP="00A643FD">
      <w:pPr>
        <w:pStyle w:val="BlockLine"/>
      </w:pPr>
      <w:r w:rsidRPr="00AE5B55">
        <w:fldChar w:fldCharType="begin"/>
      </w:r>
      <w:r w:rsidRPr="00AE5B55">
        <w:instrText xml:space="preserve"> PRIVATE INFOTYPE="OTHER"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69DA50D0" w14:textId="77777777" w:rsidTr="00522D5E">
        <w:trPr>
          <w:cantSplit/>
        </w:trPr>
        <w:tc>
          <w:tcPr>
            <w:tcW w:w="1728" w:type="dxa"/>
          </w:tcPr>
          <w:p w14:paraId="2FD46D00" w14:textId="77777777" w:rsidR="00A643FD" w:rsidRPr="00AE5B55" w:rsidRDefault="00A643FD" w:rsidP="00522D5E">
            <w:pPr>
              <w:pStyle w:val="Heading5"/>
            </w:pPr>
            <w:r w:rsidRPr="00AE5B55">
              <w:t>Introduction</w:t>
            </w:r>
          </w:p>
        </w:tc>
        <w:tc>
          <w:tcPr>
            <w:tcW w:w="7740" w:type="dxa"/>
          </w:tcPr>
          <w:p w14:paraId="036675FD" w14:textId="77777777" w:rsidR="00A643FD" w:rsidRPr="00AE5B55" w:rsidRDefault="00A643FD" w:rsidP="00522D5E">
            <w:pPr>
              <w:pStyle w:val="BlockText"/>
            </w:pPr>
            <w:r w:rsidRPr="00AE5B55">
              <w:t xml:space="preserve">This topic contains information about </w:t>
            </w:r>
          </w:p>
          <w:p w14:paraId="0CC92E59" w14:textId="77777777" w:rsidR="00A643FD" w:rsidRPr="00AE5B55" w:rsidRDefault="00A643FD" w:rsidP="00522D5E">
            <w:pPr>
              <w:pStyle w:val="BlockText"/>
            </w:pPr>
          </w:p>
          <w:p w14:paraId="1D03D218" w14:textId="6B40301C" w:rsidR="00A643FD" w:rsidRPr="00AE5B55" w:rsidRDefault="00AE5B55" w:rsidP="00522D5E">
            <w:pPr>
              <w:pStyle w:val="BulletText1"/>
            </w:pPr>
            <w:hyperlink w:anchor="a16" w:history="1">
              <w:r w:rsidR="00A643FD" w:rsidRPr="00AE5B55">
                <w:rPr>
                  <w:rStyle w:val="Hyperlink"/>
                </w:rPr>
                <w:t>handling failure to report for an examination with good cause</w:t>
              </w:r>
            </w:hyperlink>
          </w:p>
          <w:p w14:paraId="369F9A51" w14:textId="3635145B" w:rsidR="00A643FD" w:rsidRPr="00AE5B55" w:rsidRDefault="00AE5B55" w:rsidP="00522D5E">
            <w:pPr>
              <w:pStyle w:val="BulletText1"/>
            </w:pPr>
            <w:hyperlink w:anchor="b16" w:history="1">
              <w:r w:rsidR="00A643FD" w:rsidRPr="00AE5B55">
                <w:rPr>
                  <w:rStyle w:val="Hyperlink"/>
                </w:rPr>
                <w:t>considering static disabilities when a Veteran fails to report without good cause</w:t>
              </w:r>
            </w:hyperlink>
          </w:p>
          <w:p w14:paraId="23EFE6BA" w14:textId="67CD7589" w:rsidR="00A643FD" w:rsidRPr="00AE5B55" w:rsidRDefault="00AE5B55" w:rsidP="00522D5E">
            <w:pPr>
              <w:pStyle w:val="BulletText1"/>
            </w:pPr>
            <w:hyperlink w:anchor="c16" w:history="1">
              <w:r w:rsidR="00A643FD" w:rsidRPr="00AE5B55">
                <w:rPr>
                  <w:rStyle w:val="Hyperlink"/>
                </w:rPr>
                <w:t>addressing the issue of good cause when a Veteran fails to repor</w:t>
              </w:r>
            </w:hyperlink>
            <w:r w:rsidR="00A643FD" w:rsidRPr="00AE5B55">
              <w:t>t</w:t>
            </w:r>
          </w:p>
          <w:p w14:paraId="4573241E" w14:textId="3F565DFC" w:rsidR="00A643FD" w:rsidRPr="00AE5B55" w:rsidRDefault="00AE5B55" w:rsidP="00522D5E">
            <w:pPr>
              <w:pStyle w:val="BulletText1"/>
            </w:pPr>
            <w:hyperlink w:anchor="d16" w:history="1">
              <w:r w:rsidR="00A643FD" w:rsidRPr="00AE5B55">
                <w:rPr>
                  <w:rStyle w:val="Hyperlink"/>
                </w:rPr>
                <w:t>handling failure to report for examination by a Veteran receiving pension</w:t>
              </w:r>
            </w:hyperlink>
            <w:r w:rsidR="00A643FD" w:rsidRPr="00AE5B55">
              <w:t>, and</w:t>
            </w:r>
          </w:p>
          <w:p w14:paraId="6D3D75BA" w14:textId="41F1D4B1" w:rsidR="00A643FD" w:rsidRPr="00AE5B55" w:rsidRDefault="00AE5B55" w:rsidP="00522D5E">
            <w:pPr>
              <w:pStyle w:val="BulletText1"/>
            </w:pPr>
            <w:hyperlink w:anchor="e16" w:history="1">
              <w:r w:rsidR="00A643FD" w:rsidRPr="00AE5B55">
                <w:rPr>
                  <w:rStyle w:val="Hyperlink"/>
                </w:rPr>
                <w:t>handling failure to respond to a notice of proposed adverse action</w:t>
              </w:r>
            </w:hyperlink>
            <w:r w:rsidR="00A643FD" w:rsidRPr="00AE5B55">
              <w:t>.</w:t>
            </w:r>
          </w:p>
        </w:tc>
      </w:tr>
    </w:tbl>
    <w:p w14:paraId="775B194B" w14:textId="77777777" w:rsidR="00A643FD" w:rsidRPr="00AE5B55" w:rsidRDefault="00A643FD" w:rsidP="00A643FD">
      <w:pPr>
        <w:pStyle w:val="BlockLine"/>
      </w:pPr>
    </w:p>
    <w:tbl>
      <w:tblPr>
        <w:tblW w:w="0" w:type="auto"/>
        <w:tblLayout w:type="fixed"/>
        <w:tblLook w:val="0000" w:firstRow="0" w:lastRow="0" w:firstColumn="0" w:lastColumn="0" w:noHBand="0" w:noVBand="0"/>
      </w:tblPr>
      <w:tblGrid>
        <w:gridCol w:w="1728"/>
        <w:gridCol w:w="7740"/>
      </w:tblGrid>
      <w:tr w:rsidR="00A643FD" w:rsidRPr="00AE5B55" w14:paraId="771828F8" w14:textId="77777777" w:rsidTr="00522D5E">
        <w:trPr>
          <w:cantSplit/>
        </w:trPr>
        <w:tc>
          <w:tcPr>
            <w:tcW w:w="1728" w:type="dxa"/>
          </w:tcPr>
          <w:p w14:paraId="7CE65B5D" w14:textId="77777777" w:rsidR="00A643FD" w:rsidRPr="00AE5B55" w:rsidRDefault="00A643FD" w:rsidP="00522D5E">
            <w:pPr>
              <w:pStyle w:val="Heading5"/>
            </w:pPr>
            <w:r w:rsidRPr="00AE5B55">
              <w:t>Change Date</w:t>
            </w:r>
          </w:p>
        </w:tc>
        <w:tc>
          <w:tcPr>
            <w:tcW w:w="7740" w:type="dxa"/>
          </w:tcPr>
          <w:p w14:paraId="2C4BE836" w14:textId="379BBA69" w:rsidR="00A643FD" w:rsidRPr="00AE5B55" w:rsidRDefault="00AE5B55" w:rsidP="00522D5E">
            <w:pPr>
              <w:pStyle w:val="BlockText"/>
            </w:pPr>
            <w:r w:rsidRPr="00AE5B55">
              <w:t>September 16, 2014</w:t>
            </w:r>
          </w:p>
        </w:tc>
      </w:tr>
    </w:tbl>
    <w:p w14:paraId="74E8ABA0" w14:textId="77777777" w:rsidR="00A643FD" w:rsidRPr="00AE5B55" w:rsidRDefault="007E6F0C" w:rsidP="00A643FD">
      <w:pPr>
        <w:pStyle w:val="BlockLine"/>
      </w:pPr>
      <w:r w:rsidRPr="00AE5B55">
        <w:fldChar w:fldCharType="begin"/>
      </w:r>
      <w:r w:rsidRPr="00AE5B55">
        <w:instrText xml:space="preserve"> PRIVATE INFOTYPE="PRINCIPLE"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45076C00" w14:textId="77777777" w:rsidTr="00522D5E">
        <w:trPr>
          <w:cantSplit/>
        </w:trPr>
        <w:tc>
          <w:tcPr>
            <w:tcW w:w="1728" w:type="dxa"/>
          </w:tcPr>
          <w:p w14:paraId="1D0D0AF2" w14:textId="77777777" w:rsidR="00A643FD" w:rsidRPr="00AE5B55" w:rsidRDefault="00A643FD" w:rsidP="00522D5E">
            <w:pPr>
              <w:pStyle w:val="Heading5"/>
            </w:pPr>
            <w:r w:rsidRPr="00AE5B55">
              <w:t xml:space="preserve">a.  </w:t>
            </w:r>
            <w:bookmarkStart w:id="1" w:name="a16"/>
            <w:bookmarkEnd w:id="1"/>
            <w:r w:rsidRPr="00AE5B55">
              <w:t>Handling Failure to Report for Examination With Good Cause</w:t>
            </w:r>
          </w:p>
        </w:tc>
        <w:tc>
          <w:tcPr>
            <w:tcW w:w="7740" w:type="dxa"/>
          </w:tcPr>
          <w:p w14:paraId="18699618" w14:textId="0DC35CBF" w:rsidR="00A643FD" w:rsidRPr="00AE5B55" w:rsidRDefault="00A643FD" w:rsidP="00522D5E">
            <w:pPr>
              <w:pStyle w:val="BlockText"/>
            </w:pPr>
            <w:r w:rsidRPr="00AE5B55">
              <w:t>A Veteran may fail to report for a VA examination, or a scheduled hospitalization for observation and examination, in connection with a running compensation or pension award.  If he/she furnishes a good reason for missing the examination, defer adverse action and reschedule the examination.</w:t>
            </w:r>
          </w:p>
          <w:p w14:paraId="25AFE8B1" w14:textId="77777777" w:rsidR="00A643FD" w:rsidRPr="00AE5B55" w:rsidRDefault="00A643FD" w:rsidP="00522D5E">
            <w:pPr>
              <w:pStyle w:val="BlockText"/>
            </w:pPr>
          </w:p>
          <w:p w14:paraId="687E9D33" w14:textId="77777777" w:rsidR="00A643FD" w:rsidRPr="00AE5B55" w:rsidRDefault="00A643FD" w:rsidP="00522D5E">
            <w:pPr>
              <w:pStyle w:val="BlockText"/>
            </w:pPr>
            <w:r w:rsidRPr="00AE5B55">
              <w:t>Good cause for not reporting to an examination includes, but is not limited to</w:t>
            </w:r>
          </w:p>
          <w:p w14:paraId="5C6191A1" w14:textId="77777777" w:rsidR="00C5583F" w:rsidRPr="00AE5B55" w:rsidRDefault="00C5583F" w:rsidP="00522D5E">
            <w:pPr>
              <w:pStyle w:val="BlockText"/>
            </w:pPr>
          </w:p>
          <w:p w14:paraId="261CC11B" w14:textId="77777777" w:rsidR="00A643FD" w:rsidRPr="00AE5B55" w:rsidRDefault="00A643FD" w:rsidP="00522D5E">
            <w:pPr>
              <w:pStyle w:val="BulletText1"/>
            </w:pPr>
            <w:r w:rsidRPr="00AE5B55">
              <w:t xml:space="preserve">illness or hospitalization of the claimant, </w:t>
            </w:r>
          </w:p>
          <w:p w14:paraId="3828E6B3" w14:textId="77777777" w:rsidR="00A643FD" w:rsidRPr="00AE5B55" w:rsidRDefault="00367395" w:rsidP="00522D5E">
            <w:pPr>
              <w:pStyle w:val="BulletText1"/>
            </w:pPr>
            <w:r w:rsidRPr="00AE5B55">
              <w:t xml:space="preserve">serious illness or </w:t>
            </w:r>
            <w:r w:rsidR="00A643FD" w:rsidRPr="00AE5B55">
              <w:t>death of an immediate family member</w:t>
            </w:r>
          </w:p>
          <w:p w14:paraId="14273C38" w14:textId="77777777" w:rsidR="00367395" w:rsidRPr="00AE5B55" w:rsidRDefault="00367395" w:rsidP="00522D5E">
            <w:pPr>
              <w:pStyle w:val="BulletText1"/>
            </w:pPr>
            <w:r w:rsidRPr="00AE5B55">
              <w:t>weather related impediments, or</w:t>
            </w:r>
          </w:p>
          <w:p w14:paraId="6B2B3627" w14:textId="2D2F8D42" w:rsidR="001D1107" w:rsidRPr="00AE5B55" w:rsidRDefault="00367395" w:rsidP="00522D5E">
            <w:pPr>
              <w:pStyle w:val="BulletText1"/>
            </w:pPr>
            <w:r w:rsidRPr="00AE5B55">
              <w:t>a previously scheduled/paid for commitment such as a vacation</w:t>
            </w:r>
            <w:r w:rsidR="00DE1D61" w:rsidRPr="00AE5B55">
              <w:t>.</w:t>
            </w:r>
          </w:p>
          <w:p w14:paraId="21AD1D36" w14:textId="77777777" w:rsidR="00C5583F" w:rsidRPr="00AE5B55" w:rsidRDefault="00C5583F" w:rsidP="00C5583F">
            <w:pPr>
              <w:pStyle w:val="BlockText"/>
            </w:pPr>
          </w:p>
          <w:p w14:paraId="09467597" w14:textId="77777777" w:rsidR="00C5583F" w:rsidRPr="00AE5B55" w:rsidRDefault="00C5583F" w:rsidP="00C5583F">
            <w:pPr>
              <w:pStyle w:val="BlockText"/>
            </w:pPr>
            <w:r w:rsidRPr="00AE5B55">
              <w:rPr>
                <w:b/>
                <w:i/>
              </w:rPr>
              <w:t>Examples</w:t>
            </w:r>
            <w:r w:rsidRPr="00AE5B55">
              <w:rPr>
                <w:b/>
              </w:rPr>
              <w:t>:</w:t>
            </w:r>
            <w:r w:rsidRPr="00AE5B55">
              <w:t xml:space="preserve">  The situations below may be considered examples of good cause</w:t>
            </w:r>
          </w:p>
          <w:p w14:paraId="6F19D494" w14:textId="77777777" w:rsidR="00C5583F" w:rsidRPr="00AE5B55" w:rsidRDefault="00C5583F" w:rsidP="00C5583F">
            <w:pPr>
              <w:pStyle w:val="BulletText1"/>
            </w:pPr>
            <w:r w:rsidRPr="00AE5B55">
              <w:t>The Veteran</w:t>
            </w:r>
            <w:r w:rsidR="009121A1" w:rsidRPr="00AE5B55">
              <w:t xml:space="preserve"> indicates he</w:t>
            </w:r>
            <w:r w:rsidRPr="00AE5B55">
              <w:t xml:space="preserve"> is unable to report</w:t>
            </w:r>
            <w:r w:rsidR="009121A1" w:rsidRPr="00AE5B55">
              <w:t xml:space="preserve"> to his</w:t>
            </w:r>
            <w:r w:rsidR="002E632B" w:rsidRPr="00AE5B55">
              <w:t xml:space="preserve"> examination </w:t>
            </w:r>
            <w:r w:rsidR="009121A1" w:rsidRPr="00AE5B55">
              <w:t>because he currently has the flu</w:t>
            </w:r>
            <w:r w:rsidRPr="00AE5B55">
              <w:t>.</w:t>
            </w:r>
          </w:p>
          <w:p w14:paraId="4CFD30D8" w14:textId="77777777" w:rsidR="00367395" w:rsidRPr="00AE5B55" w:rsidRDefault="00C5583F" w:rsidP="00C5583F">
            <w:pPr>
              <w:pStyle w:val="BulletText1"/>
            </w:pPr>
            <w:r w:rsidRPr="00AE5B55">
              <w:rPr>
                <w:szCs w:val="24"/>
              </w:rPr>
              <w:t xml:space="preserve">The </w:t>
            </w:r>
            <w:r w:rsidR="009121A1" w:rsidRPr="00AE5B55">
              <w:rPr>
                <w:szCs w:val="24"/>
              </w:rPr>
              <w:t>Veteran was out of town on</w:t>
            </w:r>
            <w:r w:rsidR="00367395" w:rsidRPr="00AE5B55">
              <w:rPr>
                <w:szCs w:val="24"/>
              </w:rPr>
              <w:t xml:space="preserve"> a three-week vacation when the exam</w:t>
            </w:r>
            <w:r w:rsidRPr="00AE5B55">
              <w:rPr>
                <w:szCs w:val="24"/>
              </w:rPr>
              <w:t>ination</w:t>
            </w:r>
            <w:r w:rsidR="00367395" w:rsidRPr="00AE5B55">
              <w:rPr>
                <w:szCs w:val="24"/>
              </w:rPr>
              <w:t xml:space="preserve"> wa</w:t>
            </w:r>
            <w:r w:rsidR="009121A1" w:rsidRPr="00AE5B55">
              <w:rPr>
                <w:szCs w:val="24"/>
              </w:rPr>
              <w:t>s scheduled and notification</w:t>
            </w:r>
            <w:r w:rsidR="00367395" w:rsidRPr="00AE5B55">
              <w:rPr>
                <w:szCs w:val="24"/>
              </w:rPr>
              <w:t xml:space="preserve"> sent. </w:t>
            </w:r>
          </w:p>
          <w:p w14:paraId="2847AAB5" w14:textId="77777777" w:rsidR="00367395" w:rsidRPr="00AE5B55" w:rsidRDefault="00367395" w:rsidP="00522D5E">
            <w:pPr>
              <w:pStyle w:val="BlockText"/>
            </w:pPr>
          </w:p>
          <w:p w14:paraId="606CAC3B" w14:textId="77777777" w:rsidR="00A643FD" w:rsidRPr="00AE5B55" w:rsidRDefault="00A643FD" w:rsidP="00522D5E">
            <w:pPr>
              <w:pStyle w:val="BlockText"/>
            </w:pPr>
            <w:r w:rsidRPr="00AE5B55">
              <w:t xml:space="preserve">Authorization notifies the Veteran that failure to report for the </w:t>
            </w:r>
            <w:r w:rsidRPr="00AE5B55">
              <w:rPr>
                <w:i/>
                <w:iCs/>
              </w:rPr>
              <w:t>re</w:t>
            </w:r>
            <w:r w:rsidRPr="00AE5B55">
              <w:t xml:space="preserve">scheduled examination is cause for </w:t>
            </w:r>
            <w:r w:rsidRPr="00AE5B55">
              <w:rPr>
                <w:i/>
                <w:iCs/>
              </w:rPr>
              <w:t>immediate</w:t>
            </w:r>
            <w:r w:rsidRPr="00AE5B55">
              <w:t xml:space="preserve"> termination or reduction of payment.</w:t>
            </w:r>
          </w:p>
          <w:p w14:paraId="4C52D637" w14:textId="6456B5B6" w:rsidR="00067498" w:rsidRPr="00AE5B55" w:rsidRDefault="00067498" w:rsidP="00522D5E">
            <w:pPr>
              <w:pStyle w:val="BlockText"/>
            </w:pPr>
          </w:p>
          <w:p w14:paraId="47B9D9F9" w14:textId="182B4149" w:rsidR="00DE1D61" w:rsidRPr="00AE5B55" w:rsidRDefault="006760C6" w:rsidP="006760C6">
            <w:pPr>
              <w:pStyle w:val="BlockText"/>
            </w:pPr>
            <w:r w:rsidRPr="00AE5B55">
              <w:rPr>
                <w:b/>
                <w:i/>
              </w:rPr>
              <w:t>Reference</w:t>
            </w:r>
            <w:r w:rsidR="00DE1D61" w:rsidRPr="00AE5B55">
              <w:rPr>
                <w:b/>
                <w:i/>
              </w:rPr>
              <w:t>s</w:t>
            </w:r>
            <w:r w:rsidRPr="00AE5B55">
              <w:t xml:space="preserve">:  For information on </w:t>
            </w:r>
          </w:p>
          <w:p w14:paraId="43540577" w14:textId="7DCF7A6C" w:rsidR="00DE1D61" w:rsidRPr="00AE5B55" w:rsidRDefault="006760C6" w:rsidP="00640D1D">
            <w:pPr>
              <w:pStyle w:val="BulletText1"/>
            </w:pPr>
            <w:r w:rsidRPr="00AE5B55">
              <w:t xml:space="preserve">VA’s duty to assist with providing exams, see </w:t>
            </w:r>
            <w:hyperlink r:id="rId13" w:history="1">
              <w:r w:rsidRPr="00AE5B55">
                <w:rPr>
                  <w:rStyle w:val="Hyperlink"/>
                </w:rPr>
                <w:t>M21-1MR, Part I, 1. C.7</w:t>
              </w:r>
            </w:hyperlink>
            <w:r w:rsidR="00DE1D61" w:rsidRPr="00AE5B55">
              <w:rPr>
                <w:rStyle w:val="Hyperlink"/>
              </w:rPr>
              <w:t xml:space="preserve">, </w:t>
            </w:r>
            <w:r w:rsidR="00DE1D61" w:rsidRPr="00AE5B55">
              <w:rPr>
                <w:rStyle w:val="Hyperlink"/>
                <w:color w:val="auto"/>
                <w:u w:val="none"/>
              </w:rPr>
              <w:t>and</w:t>
            </w:r>
          </w:p>
          <w:p w14:paraId="71B843A1" w14:textId="096271FD" w:rsidR="00367395" w:rsidRPr="00AE5B55" w:rsidRDefault="00367395" w:rsidP="00640D1D">
            <w:pPr>
              <w:pStyle w:val="BulletText1"/>
            </w:pPr>
            <w:r w:rsidRPr="00AE5B55">
              <w:t xml:space="preserve">whether the submission of other evidence by a claimant alleged to be adequate for rating purposes must be accepted as good cause for failure to report for an examination see </w:t>
            </w:r>
            <w:hyperlink r:id="rId14" w:anchor="bmk" w:history="1">
              <w:r w:rsidR="00A643FD" w:rsidRPr="00AE5B55">
                <w:rPr>
                  <w:rStyle w:val="Hyperlink"/>
                  <w:i/>
                  <w:iCs/>
                </w:rPr>
                <w:t>Kowalski v. Nicholson</w:t>
              </w:r>
            </w:hyperlink>
            <w:r w:rsidR="00A643FD" w:rsidRPr="00AE5B55">
              <w:rPr>
                <w:i/>
                <w:iCs/>
              </w:rPr>
              <w:t>,</w:t>
            </w:r>
            <w:r w:rsidR="00A643FD" w:rsidRPr="00AE5B55">
              <w:t xml:space="preserve"> 19 Vet.App. 171, 179 (2005).</w:t>
            </w:r>
          </w:p>
        </w:tc>
      </w:tr>
    </w:tbl>
    <w:p w14:paraId="48C72739" w14:textId="77777777" w:rsidR="00A643FD" w:rsidRPr="00AE5B55" w:rsidRDefault="00A643FD" w:rsidP="00A643FD">
      <w:pPr>
        <w:pStyle w:val="ContinuedOnNextPa"/>
      </w:pPr>
      <w:r w:rsidRPr="00AE5B55">
        <w:t>Continued on next page</w:t>
      </w:r>
    </w:p>
    <w:p w14:paraId="1B388CC7" w14:textId="77777777" w:rsidR="00A643FD" w:rsidRPr="00AE5B55" w:rsidRDefault="00A643FD" w:rsidP="00A643FD">
      <w:pPr>
        <w:pStyle w:val="MapTitleContinued"/>
        <w:rPr>
          <w:b w:val="0"/>
          <w:sz w:val="24"/>
        </w:rPr>
      </w:pPr>
      <w:r w:rsidRPr="00AE5B55">
        <w:br w:type="page"/>
      </w:r>
      <w:r w:rsidRPr="00AE5B55">
        <w:lastRenderedPageBreak/>
        <w:fldChar w:fldCharType="begin"/>
      </w:r>
      <w:r w:rsidRPr="00AE5B55">
        <w:instrText>styleref "Map Title"</w:instrText>
      </w:r>
      <w:r w:rsidRPr="00AE5B55">
        <w:fldChar w:fldCharType="separate"/>
      </w:r>
      <w:r w:rsidR="004F6499" w:rsidRPr="00AE5B55">
        <w:rPr>
          <w:noProof/>
        </w:rPr>
        <w:t>16.  Failure to Report for Examination Under 38 CFR 3.655</w:t>
      </w:r>
      <w:r w:rsidRPr="00AE5B55">
        <w:fldChar w:fldCharType="end"/>
      </w:r>
      <w:r w:rsidRPr="00AE5B55">
        <w:t xml:space="preserve">, </w:t>
      </w:r>
      <w:r w:rsidRPr="00AE5B55">
        <w:rPr>
          <w:b w:val="0"/>
          <w:sz w:val="24"/>
        </w:rPr>
        <w:t>Continued</w:t>
      </w:r>
    </w:p>
    <w:p w14:paraId="637D6450" w14:textId="77777777" w:rsidR="00A643FD" w:rsidRPr="00AE5B55" w:rsidRDefault="007E6F0C" w:rsidP="00A643FD">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28FA0375" w14:textId="77777777" w:rsidTr="00522D5E">
        <w:trPr>
          <w:cantSplit/>
        </w:trPr>
        <w:tc>
          <w:tcPr>
            <w:tcW w:w="1728" w:type="dxa"/>
          </w:tcPr>
          <w:p w14:paraId="5C7E4FD7" w14:textId="77777777" w:rsidR="00A643FD" w:rsidRPr="00AE5B55" w:rsidRDefault="00A643FD" w:rsidP="00522D5E">
            <w:pPr>
              <w:pStyle w:val="Heading5"/>
            </w:pPr>
            <w:r w:rsidRPr="00AE5B55">
              <w:t xml:space="preserve">b.  </w:t>
            </w:r>
            <w:bookmarkStart w:id="2" w:name="b16"/>
            <w:bookmarkEnd w:id="2"/>
            <w:r w:rsidRPr="00AE5B55">
              <w:t>Considering Static Disabilities  When a Veteran Fails to Report Without Good Cause</w:t>
            </w:r>
          </w:p>
        </w:tc>
        <w:tc>
          <w:tcPr>
            <w:tcW w:w="7740" w:type="dxa"/>
          </w:tcPr>
          <w:p w14:paraId="74C9D1D4" w14:textId="77777777" w:rsidR="00A643FD" w:rsidRPr="00AE5B55" w:rsidRDefault="00A643FD" w:rsidP="00522D5E">
            <w:pPr>
              <w:pStyle w:val="BlockText"/>
            </w:pPr>
            <w:r w:rsidRPr="00AE5B55">
              <w:t xml:space="preserve">When a Veteran fails to report for an examination without good cause, the rating activity must review the claims folder for static disabilities. </w:t>
            </w:r>
          </w:p>
          <w:p w14:paraId="7D83B357" w14:textId="77777777" w:rsidR="00A643FD" w:rsidRPr="00AE5B55" w:rsidRDefault="00A643FD" w:rsidP="00522D5E">
            <w:pPr>
              <w:pStyle w:val="BlockText"/>
            </w:pPr>
          </w:p>
          <w:p w14:paraId="4083FE3A" w14:textId="77777777" w:rsidR="00A643FD" w:rsidRPr="00AE5B55" w:rsidRDefault="00A643FD" w:rsidP="00522D5E">
            <w:pPr>
              <w:pStyle w:val="BlockText"/>
              <w:rPr>
                <w:i/>
                <w:iCs/>
              </w:rPr>
            </w:pPr>
            <w:r w:rsidRPr="00AE5B55">
              <w:t xml:space="preserve">On the rating decision </w:t>
            </w:r>
          </w:p>
          <w:p w14:paraId="22BCC705" w14:textId="77777777" w:rsidR="00A643FD" w:rsidRPr="00AE5B55" w:rsidRDefault="00A643FD" w:rsidP="00522D5E">
            <w:pPr>
              <w:pStyle w:val="BlockText"/>
            </w:pPr>
          </w:p>
          <w:p w14:paraId="3F2BDD63" w14:textId="77777777" w:rsidR="00A643FD" w:rsidRPr="00AE5B55" w:rsidRDefault="00A643FD" w:rsidP="00522D5E">
            <w:pPr>
              <w:pStyle w:val="BulletText1"/>
            </w:pPr>
            <w:r w:rsidRPr="00AE5B55">
              <w:t>if there are</w:t>
            </w:r>
          </w:p>
          <w:p w14:paraId="10D8FF40" w14:textId="77777777" w:rsidR="00A643FD" w:rsidRPr="00AE5B55" w:rsidRDefault="00A643FD" w:rsidP="00522D5E">
            <w:pPr>
              <w:pStyle w:val="BulletText2"/>
            </w:pPr>
            <w:r w:rsidRPr="00AE5B55">
              <w:t xml:space="preserve">no static disabilities, state in the </w:t>
            </w:r>
            <w:r w:rsidRPr="00AE5B55">
              <w:rPr>
                <w:i/>
                <w:iCs/>
              </w:rPr>
              <w:t>Reasons for Decision</w:t>
            </w:r>
            <w:r w:rsidRPr="00AE5B55">
              <w:t xml:space="preserve"> “the Veteran failed to report for a review examination, and there are no static disabilities,” or</w:t>
            </w:r>
          </w:p>
          <w:p w14:paraId="6FC4FD62" w14:textId="77777777" w:rsidR="00A643FD" w:rsidRPr="00AE5B55" w:rsidRDefault="00A643FD" w:rsidP="00522D5E">
            <w:pPr>
              <w:pStyle w:val="BulletText2"/>
            </w:pPr>
            <w:r w:rsidRPr="00AE5B55">
              <w:t>static disabilities, provide the proposed new or continuing evaluations for all disabilities considered and the proposed combined evaluation, and</w:t>
            </w:r>
          </w:p>
          <w:p w14:paraId="73398F36" w14:textId="77777777" w:rsidR="00A643FD" w:rsidRPr="00AE5B55" w:rsidRDefault="00A643FD" w:rsidP="00522D5E">
            <w:pPr>
              <w:pStyle w:val="BulletText1"/>
            </w:pPr>
            <w:r w:rsidRPr="00AE5B55">
              <w:t xml:space="preserve">do </w:t>
            </w:r>
            <w:r w:rsidRPr="00AE5B55">
              <w:rPr>
                <w:i/>
              </w:rPr>
              <w:t>not</w:t>
            </w:r>
            <w:r w:rsidRPr="00AE5B55">
              <w:t xml:space="preserve"> enter the effective date of the proposed reduction or termination.</w:t>
            </w:r>
          </w:p>
          <w:p w14:paraId="0237F924" w14:textId="77777777" w:rsidR="00A643FD" w:rsidRPr="00AE5B55" w:rsidRDefault="00A643FD" w:rsidP="00522D5E">
            <w:pPr>
              <w:pStyle w:val="BlockText"/>
            </w:pPr>
          </w:p>
          <w:p w14:paraId="385D8A8F" w14:textId="77777777" w:rsidR="00A643FD" w:rsidRPr="00AE5B55" w:rsidRDefault="00A643FD" w:rsidP="00522D5E">
            <w:pPr>
              <w:pStyle w:val="BlockText"/>
            </w:pPr>
            <w:r w:rsidRPr="00AE5B55">
              <w:rPr>
                <w:b/>
                <w:i/>
              </w:rPr>
              <w:t>Note</w:t>
            </w:r>
            <w:r w:rsidRPr="00AE5B55">
              <w:t>:  Static disabilities include disabilities</w:t>
            </w:r>
          </w:p>
          <w:p w14:paraId="7799576E" w14:textId="3DC7A9EF" w:rsidR="00A643FD" w:rsidRPr="00AE5B55" w:rsidRDefault="00A643FD" w:rsidP="00522D5E">
            <w:pPr>
              <w:pStyle w:val="BulletText1"/>
            </w:pPr>
            <w:r w:rsidRPr="00AE5B55">
              <w:t xml:space="preserve">protected under </w:t>
            </w:r>
            <w:hyperlink r:id="rId15" w:history="1">
              <w:r w:rsidR="00531CEB" w:rsidRPr="00AE5B55">
                <w:rPr>
                  <w:rStyle w:val="Hyperlink"/>
                </w:rPr>
                <w:t>38 CFR</w:t>
              </w:r>
              <w:r w:rsidRPr="00AE5B55">
                <w:rPr>
                  <w:rStyle w:val="Hyperlink"/>
                </w:rPr>
                <w:t xml:space="preserve"> 3.951(b)</w:t>
              </w:r>
            </w:hyperlink>
            <w:r w:rsidRPr="00AE5B55">
              <w:t xml:space="preserve"> and </w:t>
            </w:r>
            <w:hyperlink r:id="rId16" w:history="1">
              <w:r w:rsidR="00531CEB" w:rsidRPr="00AE5B55">
                <w:rPr>
                  <w:rStyle w:val="Hyperlink"/>
                </w:rPr>
                <w:t>38 CFR</w:t>
              </w:r>
              <w:r w:rsidRPr="00AE5B55">
                <w:rPr>
                  <w:rStyle w:val="Hyperlink"/>
                </w:rPr>
                <w:t xml:space="preserve"> 3.952</w:t>
              </w:r>
            </w:hyperlink>
            <w:r w:rsidRPr="00AE5B55">
              <w:t xml:space="preserve">, and </w:t>
            </w:r>
          </w:p>
          <w:p w14:paraId="50BC12BE" w14:textId="77777777" w:rsidR="00A643FD" w:rsidRPr="00AE5B55" w:rsidRDefault="00A643FD" w:rsidP="00522D5E">
            <w:pPr>
              <w:pStyle w:val="BulletText1"/>
            </w:pPr>
            <w:r w:rsidRPr="00AE5B55">
              <w:t>for which no examination was scheduled or will be scheduled.</w:t>
            </w:r>
          </w:p>
          <w:p w14:paraId="5A27DF8F" w14:textId="77777777" w:rsidR="00A643FD" w:rsidRPr="00AE5B55" w:rsidRDefault="00A643FD" w:rsidP="00522D5E">
            <w:pPr>
              <w:pStyle w:val="BlockText"/>
            </w:pPr>
          </w:p>
          <w:p w14:paraId="46B8574D" w14:textId="77777777" w:rsidR="00A643FD" w:rsidRPr="00AE5B55" w:rsidRDefault="00A643FD" w:rsidP="00522D5E">
            <w:pPr>
              <w:pStyle w:val="BlockText"/>
            </w:pPr>
            <w:r w:rsidRPr="00AE5B55">
              <w:rPr>
                <w:bCs/>
                <w:iCs/>
              </w:rPr>
              <w:t>Reference</w:t>
            </w:r>
            <w:r w:rsidRPr="00AE5B55">
              <w:t xml:space="preserve">:  For more information on a Veteran’s failure to report for an examination, see </w:t>
            </w:r>
            <w:hyperlink r:id="rId17" w:history="1">
              <w:r w:rsidRPr="00AE5B55">
                <w:rPr>
                  <w:rStyle w:val="Hyperlink"/>
                </w:rPr>
                <w:t>M21-1MR, Part III, Subpart iv, 3.B.15.e</w:t>
              </w:r>
            </w:hyperlink>
            <w:r w:rsidRPr="00AE5B55">
              <w:t>.</w:t>
            </w:r>
          </w:p>
        </w:tc>
      </w:tr>
    </w:tbl>
    <w:p w14:paraId="1A637B38" w14:textId="77777777" w:rsidR="00A643FD" w:rsidRPr="00AE5B55" w:rsidRDefault="007E6F0C" w:rsidP="00A643FD">
      <w:pPr>
        <w:pStyle w:val="BlockLine"/>
      </w:pPr>
      <w:r w:rsidRPr="00AE5B55">
        <w:fldChar w:fldCharType="begin"/>
      </w:r>
      <w:r w:rsidRPr="00AE5B55">
        <w:instrText xml:space="preserve"> PRIVATE INFOTYPE="PRINCIPLE" </w:instrText>
      </w:r>
      <w:r w:rsidRPr="00AE5B55">
        <w:fldChar w:fldCharType="end"/>
      </w:r>
      <w:r w:rsidR="00A643FD" w:rsidRPr="00AE5B55">
        <w:t xml:space="preserve"> </w:t>
      </w:r>
    </w:p>
    <w:tbl>
      <w:tblPr>
        <w:tblW w:w="0" w:type="auto"/>
        <w:tblLayout w:type="fixed"/>
        <w:tblLook w:val="0000" w:firstRow="0" w:lastRow="0" w:firstColumn="0" w:lastColumn="0" w:noHBand="0" w:noVBand="0"/>
      </w:tblPr>
      <w:tblGrid>
        <w:gridCol w:w="1728"/>
        <w:gridCol w:w="7740"/>
      </w:tblGrid>
      <w:tr w:rsidR="00A643FD" w:rsidRPr="00AE5B55" w14:paraId="18E947EB" w14:textId="77777777" w:rsidTr="00522D5E">
        <w:trPr>
          <w:cantSplit/>
        </w:trPr>
        <w:tc>
          <w:tcPr>
            <w:tcW w:w="1728" w:type="dxa"/>
          </w:tcPr>
          <w:p w14:paraId="757AD368" w14:textId="77777777" w:rsidR="00A643FD" w:rsidRPr="00AE5B55" w:rsidRDefault="00A643FD" w:rsidP="00522D5E">
            <w:pPr>
              <w:pStyle w:val="Heading5"/>
            </w:pPr>
            <w:r w:rsidRPr="00AE5B55">
              <w:t xml:space="preserve">c.  </w:t>
            </w:r>
            <w:bookmarkStart w:id="3" w:name="c16"/>
            <w:bookmarkEnd w:id="3"/>
            <w:r w:rsidRPr="00AE5B55">
              <w:t xml:space="preserve">Addressing the Issue of Good Cause When a Veteran Fails to Report </w:t>
            </w:r>
          </w:p>
        </w:tc>
        <w:tc>
          <w:tcPr>
            <w:tcW w:w="7740" w:type="dxa"/>
          </w:tcPr>
          <w:p w14:paraId="040D223D" w14:textId="77777777" w:rsidR="00A643FD" w:rsidRPr="00AE5B55" w:rsidRDefault="00A643FD" w:rsidP="00522D5E">
            <w:pPr>
              <w:pStyle w:val="BlockText"/>
            </w:pPr>
            <w:r w:rsidRPr="00AE5B55">
              <w:t xml:space="preserve">In every case where a Veteran fails to report for an examination, the rating decision must document VA’s attempts to examine the Veteran and address the issue of good cause.  </w:t>
            </w:r>
          </w:p>
          <w:p w14:paraId="06E72F8B" w14:textId="77777777" w:rsidR="00A643FD" w:rsidRPr="00AE5B55" w:rsidRDefault="00A643FD" w:rsidP="00522D5E">
            <w:pPr>
              <w:pStyle w:val="BlockText"/>
            </w:pPr>
          </w:p>
          <w:p w14:paraId="6E178F81" w14:textId="77777777" w:rsidR="00A643FD" w:rsidRPr="00AE5B55" w:rsidRDefault="00A643FD" w:rsidP="00522D5E">
            <w:pPr>
              <w:pStyle w:val="BlockText"/>
            </w:pPr>
            <w:r w:rsidRPr="00AE5B55">
              <w:t xml:space="preserve">Use the table below to determine how to address the issue of a Veteran’s failure to report for an examination without good cause.  </w:t>
            </w:r>
          </w:p>
        </w:tc>
      </w:tr>
    </w:tbl>
    <w:p w14:paraId="4878C62E" w14:textId="77777777" w:rsidR="00A643FD" w:rsidRPr="00AE5B55" w:rsidRDefault="00A643FD" w:rsidP="00A643FD"/>
    <w:tbl>
      <w:tblPr>
        <w:tblW w:w="0" w:type="auto"/>
        <w:tblInd w:w="1829" w:type="dxa"/>
        <w:tblLayout w:type="fixed"/>
        <w:tblLook w:val="0000" w:firstRow="0" w:lastRow="0" w:firstColumn="0" w:lastColumn="0" w:noHBand="0" w:noVBand="0"/>
      </w:tblPr>
      <w:tblGrid>
        <w:gridCol w:w="3774"/>
        <w:gridCol w:w="3774"/>
      </w:tblGrid>
      <w:tr w:rsidR="00A643FD" w:rsidRPr="00AE5B55" w14:paraId="6B719D0A" w14:textId="77777777" w:rsidTr="00522D5E">
        <w:trPr>
          <w:cantSplit/>
          <w:trHeight w:val="271"/>
        </w:trPr>
        <w:tc>
          <w:tcPr>
            <w:tcW w:w="3774" w:type="dxa"/>
            <w:tcBorders>
              <w:top w:val="single" w:sz="6" w:space="0" w:color="auto"/>
              <w:left w:val="single" w:sz="6" w:space="0" w:color="auto"/>
              <w:bottom w:val="single" w:sz="6" w:space="0" w:color="auto"/>
              <w:right w:val="single" w:sz="6" w:space="0" w:color="auto"/>
            </w:tcBorders>
          </w:tcPr>
          <w:p w14:paraId="5C57BB4F" w14:textId="77777777" w:rsidR="00A643FD" w:rsidRPr="00AE5B55" w:rsidRDefault="00A643FD" w:rsidP="00522D5E">
            <w:pPr>
              <w:pStyle w:val="TableHeaderText"/>
              <w:jc w:val="left"/>
            </w:pPr>
            <w:r w:rsidRPr="00AE5B55">
              <w:t>If the Veteran offered …</w:t>
            </w:r>
          </w:p>
        </w:tc>
        <w:tc>
          <w:tcPr>
            <w:tcW w:w="3774" w:type="dxa"/>
            <w:tcBorders>
              <w:top w:val="single" w:sz="6" w:space="0" w:color="auto"/>
              <w:bottom w:val="single" w:sz="6" w:space="0" w:color="auto"/>
              <w:right w:val="single" w:sz="6" w:space="0" w:color="auto"/>
            </w:tcBorders>
          </w:tcPr>
          <w:p w14:paraId="2CB9B56B" w14:textId="77777777" w:rsidR="00A643FD" w:rsidRPr="00AE5B55" w:rsidRDefault="00A643FD" w:rsidP="00522D5E">
            <w:pPr>
              <w:pStyle w:val="TableHeaderText"/>
              <w:jc w:val="left"/>
            </w:pPr>
            <w:r w:rsidRPr="00AE5B55">
              <w:t>Then state in the Reasons for Decision …</w:t>
            </w:r>
          </w:p>
        </w:tc>
      </w:tr>
      <w:tr w:rsidR="00A643FD" w:rsidRPr="00AE5B55" w14:paraId="08C89BFC" w14:textId="77777777" w:rsidTr="00522D5E">
        <w:trPr>
          <w:cantSplit/>
          <w:trHeight w:val="272"/>
        </w:trPr>
        <w:tc>
          <w:tcPr>
            <w:tcW w:w="3774" w:type="dxa"/>
            <w:tcBorders>
              <w:top w:val="single" w:sz="6" w:space="0" w:color="auto"/>
              <w:left w:val="single" w:sz="6" w:space="0" w:color="auto"/>
              <w:bottom w:val="single" w:sz="6" w:space="0" w:color="auto"/>
              <w:right w:val="single" w:sz="6" w:space="0" w:color="auto"/>
            </w:tcBorders>
          </w:tcPr>
          <w:p w14:paraId="00A27A4E" w14:textId="77777777" w:rsidR="00A643FD" w:rsidRPr="00AE5B55" w:rsidRDefault="00A643FD" w:rsidP="00522D5E">
            <w:pPr>
              <w:pStyle w:val="TableText"/>
            </w:pPr>
            <w:r w:rsidRPr="00AE5B55">
              <w:t>some excuse or justification for failure to report</w:t>
            </w:r>
          </w:p>
        </w:tc>
        <w:tc>
          <w:tcPr>
            <w:tcW w:w="3774" w:type="dxa"/>
            <w:tcBorders>
              <w:top w:val="single" w:sz="6" w:space="0" w:color="auto"/>
              <w:bottom w:val="single" w:sz="6" w:space="0" w:color="auto"/>
              <w:right w:val="single" w:sz="6" w:space="0" w:color="auto"/>
            </w:tcBorders>
          </w:tcPr>
          <w:p w14:paraId="743AA493" w14:textId="77777777" w:rsidR="00A643FD" w:rsidRPr="00AE5B55" w:rsidRDefault="00A643FD" w:rsidP="00522D5E">
            <w:pPr>
              <w:pStyle w:val="TableText"/>
            </w:pPr>
            <w:r w:rsidRPr="00AE5B55">
              <w:t xml:space="preserve">specifically why this does not constitute “good cause” under </w:t>
            </w:r>
            <w:hyperlink r:id="rId18" w:history="1">
              <w:r w:rsidR="00531CEB" w:rsidRPr="00AE5B55">
                <w:rPr>
                  <w:rStyle w:val="Hyperlink"/>
                </w:rPr>
                <w:t>38 CFR</w:t>
              </w:r>
              <w:r w:rsidRPr="00AE5B55">
                <w:rPr>
                  <w:rStyle w:val="Hyperlink"/>
                </w:rPr>
                <w:t xml:space="preserve"> 3.655(a)</w:t>
              </w:r>
            </w:hyperlink>
            <w:r w:rsidRPr="00AE5B55">
              <w:t>.</w:t>
            </w:r>
          </w:p>
        </w:tc>
      </w:tr>
      <w:tr w:rsidR="00A643FD" w:rsidRPr="00AE5B55" w14:paraId="2743A1CE" w14:textId="77777777" w:rsidTr="00522D5E">
        <w:trPr>
          <w:cantSplit/>
          <w:trHeight w:val="272"/>
        </w:trPr>
        <w:tc>
          <w:tcPr>
            <w:tcW w:w="3774" w:type="dxa"/>
            <w:tcBorders>
              <w:top w:val="single" w:sz="6" w:space="0" w:color="auto"/>
              <w:left w:val="single" w:sz="6" w:space="0" w:color="auto"/>
              <w:bottom w:val="single" w:sz="6" w:space="0" w:color="auto"/>
              <w:right w:val="single" w:sz="6" w:space="0" w:color="auto"/>
            </w:tcBorders>
          </w:tcPr>
          <w:p w14:paraId="1314C5E0" w14:textId="77777777" w:rsidR="00A643FD" w:rsidRPr="00AE5B55" w:rsidRDefault="00A643FD" w:rsidP="00522D5E">
            <w:pPr>
              <w:pStyle w:val="TableText"/>
            </w:pPr>
            <w:r w:rsidRPr="00AE5B55">
              <w:t>no excuse or justification for failure to report</w:t>
            </w:r>
          </w:p>
        </w:tc>
        <w:tc>
          <w:tcPr>
            <w:tcW w:w="3774" w:type="dxa"/>
            <w:tcBorders>
              <w:top w:val="single" w:sz="6" w:space="0" w:color="auto"/>
              <w:bottom w:val="single" w:sz="6" w:space="0" w:color="auto"/>
              <w:right w:val="single" w:sz="6" w:space="0" w:color="auto"/>
            </w:tcBorders>
          </w:tcPr>
          <w:p w14:paraId="1EF7E61D" w14:textId="77777777" w:rsidR="00A643FD" w:rsidRPr="00AE5B55" w:rsidRDefault="00A643FD" w:rsidP="00522D5E">
            <w:pPr>
              <w:pStyle w:val="TableText"/>
            </w:pPr>
            <w:r w:rsidRPr="00AE5B55">
              <w:t>that the evidence of record showed no good cause for the failure to report.</w:t>
            </w:r>
          </w:p>
        </w:tc>
      </w:tr>
    </w:tbl>
    <w:p w14:paraId="68A3294F" w14:textId="77777777" w:rsidR="00A643FD" w:rsidRPr="00AE5B55" w:rsidRDefault="00A643FD" w:rsidP="00A643FD">
      <w:pPr>
        <w:pStyle w:val="ContinuedOnNextPa"/>
      </w:pPr>
      <w:r w:rsidRPr="00AE5B55">
        <w:t>Continued on next page</w:t>
      </w:r>
    </w:p>
    <w:p w14:paraId="5674B4DB" w14:textId="77777777" w:rsidR="00A643FD" w:rsidRPr="00AE5B55" w:rsidRDefault="00A643FD" w:rsidP="00A643FD">
      <w:pPr>
        <w:pStyle w:val="MapTitleContinued"/>
        <w:rPr>
          <w:b w:val="0"/>
          <w:sz w:val="24"/>
        </w:rPr>
      </w:pPr>
      <w:r w:rsidRPr="00AE5B55">
        <w:br w:type="page"/>
      </w:r>
      <w:fldSimple w:instr=" STYLEREF &quot;Map Title&quot; ">
        <w:r w:rsidR="004F6499" w:rsidRPr="00AE5B55">
          <w:rPr>
            <w:noProof/>
          </w:rPr>
          <w:t>16.  Failure to Report for Examination Under 38 CFR 3.655</w:t>
        </w:r>
      </w:fldSimple>
      <w:r w:rsidRPr="00AE5B55">
        <w:t xml:space="preserve">, </w:t>
      </w:r>
      <w:r w:rsidRPr="00AE5B55">
        <w:rPr>
          <w:b w:val="0"/>
          <w:sz w:val="24"/>
        </w:rPr>
        <w:t>Continued</w:t>
      </w:r>
    </w:p>
    <w:p w14:paraId="564B2ABF" w14:textId="77777777" w:rsidR="00A643FD" w:rsidRPr="00AE5B55" w:rsidRDefault="007E6F0C" w:rsidP="00A643FD">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568C929A" w14:textId="77777777" w:rsidTr="00522D5E">
        <w:trPr>
          <w:cantSplit/>
        </w:trPr>
        <w:tc>
          <w:tcPr>
            <w:tcW w:w="1728" w:type="dxa"/>
          </w:tcPr>
          <w:p w14:paraId="1CB3BE86" w14:textId="77777777" w:rsidR="00A643FD" w:rsidRPr="00AE5B55" w:rsidRDefault="00A643FD" w:rsidP="00522D5E">
            <w:pPr>
              <w:pStyle w:val="Heading5"/>
            </w:pPr>
            <w:r w:rsidRPr="00AE5B55">
              <w:t xml:space="preserve">d.  </w:t>
            </w:r>
            <w:bookmarkStart w:id="4" w:name="d16"/>
            <w:bookmarkEnd w:id="4"/>
            <w:r w:rsidRPr="00AE5B55">
              <w:t>Handling Failure to Report for Examination by a Veteran Receiving Pension</w:t>
            </w:r>
          </w:p>
        </w:tc>
        <w:tc>
          <w:tcPr>
            <w:tcW w:w="7740" w:type="dxa"/>
          </w:tcPr>
          <w:p w14:paraId="36A0EC0D" w14:textId="77777777" w:rsidR="00A643FD" w:rsidRPr="00AE5B55" w:rsidRDefault="00A643FD" w:rsidP="00522D5E">
            <w:pPr>
              <w:pStyle w:val="BlockText"/>
            </w:pPr>
            <w:r w:rsidRPr="00AE5B55">
              <w:t>Use the table below if a Veteran is rated permanently and totally disabled for pension purposes and fails to report for a scheduled review examination.</w:t>
            </w:r>
          </w:p>
        </w:tc>
      </w:tr>
    </w:tbl>
    <w:p w14:paraId="69E0FCA7" w14:textId="77777777" w:rsidR="00A643FD" w:rsidRPr="00AE5B55" w:rsidRDefault="00A643FD" w:rsidP="00A643FD">
      <w:r w:rsidRPr="00AE5B55">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A643FD" w:rsidRPr="00AE5B55" w14:paraId="263277DC" w14:textId="77777777" w:rsidTr="00522D5E">
        <w:trPr>
          <w:cantSplit/>
        </w:trPr>
        <w:tc>
          <w:tcPr>
            <w:tcW w:w="3773" w:type="dxa"/>
            <w:tcBorders>
              <w:top w:val="single" w:sz="6" w:space="0" w:color="auto"/>
              <w:left w:val="single" w:sz="6" w:space="0" w:color="auto"/>
              <w:bottom w:val="single" w:sz="6" w:space="0" w:color="auto"/>
              <w:right w:val="single" w:sz="6" w:space="0" w:color="auto"/>
            </w:tcBorders>
          </w:tcPr>
          <w:p w14:paraId="77498348" w14:textId="77777777" w:rsidR="00A643FD" w:rsidRPr="00AE5B55" w:rsidRDefault="00A643FD" w:rsidP="00522D5E">
            <w:pPr>
              <w:pStyle w:val="TableHeaderText"/>
              <w:jc w:val="left"/>
            </w:pPr>
            <w:r w:rsidRPr="00AE5B55">
              <w:t>If …</w:t>
            </w:r>
          </w:p>
        </w:tc>
        <w:tc>
          <w:tcPr>
            <w:tcW w:w="3787" w:type="dxa"/>
            <w:tcBorders>
              <w:top w:val="single" w:sz="6" w:space="0" w:color="auto"/>
              <w:left w:val="single" w:sz="6" w:space="0" w:color="auto"/>
              <w:bottom w:val="single" w:sz="6" w:space="0" w:color="auto"/>
              <w:right w:val="single" w:sz="6" w:space="0" w:color="auto"/>
            </w:tcBorders>
          </w:tcPr>
          <w:p w14:paraId="5A3E6195" w14:textId="77777777" w:rsidR="00A643FD" w:rsidRPr="00AE5B55" w:rsidRDefault="00A643FD" w:rsidP="00522D5E">
            <w:pPr>
              <w:pStyle w:val="TableHeaderText"/>
              <w:jc w:val="left"/>
            </w:pPr>
            <w:r w:rsidRPr="00AE5B55">
              <w:t>Then prepare a …</w:t>
            </w:r>
          </w:p>
        </w:tc>
      </w:tr>
      <w:tr w:rsidR="00A643FD" w:rsidRPr="00AE5B55" w14:paraId="7A68F564" w14:textId="77777777" w:rsidTr="00522D5E">
        <w:trPr>
          <w:cantSplit/>
        </w:trPr>
        <w:tc>
          <w:tcPr>
            <w:tcW w:w="3773" w:type="dxa"/>
            <w:tcBorders>
              <w:top w:val="single" w:sz="6" w:space="0" w:color="auto"/>
              <w:left w:val="single" w:sz="6" w:space="0" w:color="auto"/>
              <w:bottom w:val="single" w:sz="6" w:space="0" w:color="auto"/>
              <w:right w:val="single" w:sz="6" w:space="0" w:color="auto"/>
            </w:tcBorders>
          </w:tcPr>
          <w:p w14:paraId="792CE785" w14:textId="77777777" w:rsidR="00A643FD" w:rsidRPr="00AE5B55" w:rsidRDefault="00A643FD" w:rsidP="00522D5E">
            <w:pPr>
              <w:pStyle w:val="TableText"/>
            </w:pPr>
            <w:r w:rsidRPr="00AE5B55">
              <w:t>the Veteran does not continue to be permanently and totally disabled</w:t>
            </w:r>
          </w:p>
        </w:tc>
        <w:tc>
          <w:tcPr>
            <w:tcW w:w="3787" w:type="dxa"/>
            <w:tcBorders>
              <w:top w:val="single" w:sz="6" w:space="0" w:color="auto"/>
              <w:left w:val="single" w:sz="6" w:space="0" w:color="auto"/>
              <w:bottom w:val="single" w:sz="6" w:space="0" w:color="auto"/>
              <w:right w:val="single" w:sz="6" w:space="0" w:color="auto"/>
            </w:tcBorders>
          </w:tcPr>
          <w:p w14:paraId="4ABAC6C9" w14:textId="77777777" w:rsidR="00A643FD" w:rsidRPr="00AE5B55" w:rsidRDefault="00A643FD" w:rsidP="00522D5E">
            <w:pPr>
              <w:pStyle w:val="TableText"/>
            </w:pPr>
            <w:r w:rsidRPr="00AE5B55">
              <w:t>“</w:t>
            </w:r>
            <w:r w:rsidRPr="00AE5B55">
              <w:rPr>
                <w:i/>
              </w:rPr>
              <w:t>failure to report</w:t>
            </w:r>
            <w:r w:rsidRPr="00AE5B55">
              <w:t>”</w:t>
            </w:r>
            <w:r w:rsidRPr="00AE5B55">
              <w:rPr>
                <w:i/>
              </w:rPr>
              <w:t xml:space="preserve"> </w:t>
            </w:r>
            <w:r w:rsidRPr="00AE5B55">
              <w:t>rating and</w:t>
            </w:r>
            <w:r w:rsidRPr="00AE5B55">
              <w:rPr>
                <w:i/>
              </w:rPr>
              <w:t xml:space="preserve"> </w:t>
            </w:r>
            <w:r w:rsidRPr="00AE5B55">
              <w:t xml:space="preserve">notice of proposed adverse action as required by </w:t>
            </w:r>
            <w:hyperlink r:id="rId19" w:history="1">
              <w:r w:rsidRPr="00AE5B55">
                <w:rPr>
                  <w:rStyle w:val="Hyperlink"/>
                </w:rPr>
                <w:t>M21-1MR, Part III, Subpart iv, 8.E.16.b</w:t>
              </w:r>
            </w:hyperlink>
            <w:r w:rsidRPr="00AE5B55">
              <w:t>.</w:t>
            </w:r>
          </w:p>
        </w:tc>
      </w:tr>
      <w:tr w:rsidR="00A643FD" w:rsidRPr="00AE5B55" w14:paraId="45BE653C" w14:textId="77777777" w:rsidTr="00522D5E">
        <w:trPr>
          <w:cantSplit/>
        </w:trPr>
        <w:tc>
          <w:tcPr>
            <w:tcW w:w="3773" w:type="dxa"/>
            <w:tcBorders>
              <w:top w:val="single" w:sz="6" w:space="0" w:color="auto"/>
              <w:left w:val="single" w:sz="6" w:space="0" w:color="auto"/>
              <w:bottom w:val="single" w:sz="6" w:space="0" w:color="auto"/>
              <w:right w:val="single" w:sz="6" w:space="0" w:color="auto"/>
            </w:tcBorders>
          </w:tcPr>
          <w:p w14:paraId="279AFE82" w14:textId="77777777" w:rsidR="00A643FD" w:rsidRPr="00AE5B55" w:rsidRDefault="00A643FD" w:rsidP="00522D5E">
            <w:pPr>
              <w:pStyle w:val="TableText"/>
            </w:pPr>
            <w:r w:rsidRPr="00AE5B55">
              <w:t>the Veteran remains permanently and totally disabled</w:t>
            </w:r>
          </w:p>
        </w:tc>
        <w:tc>
          <w:tcPr>
            <w:tcW w:w="3787" w:type="dxa"/>
            <w:tcBorders>
              <w:top w:val="single" w:sz="6" w:space="0" w:color="auto"/>
              <w:left w:val="single" w:sz="6" w:space="0" w:color="auto"/>
              <w:bottom w:val="single" w:sz="6" w:space="0" w:color="auto"/>
              <w:right w:val="single" w:sz="6" w:space="0" w:color="auto"/>
            </w:tcBorders>
          </w:tcPr>
          <w:p w14:paraId="00227A67" w14:textId="77777777" w:rsidR="00A643FD" w:rsidRPr="00AE5B55" w:rsidRDefault="00A643FD" w:rsidP="00522D5E">
            <w:pPr>
              <w:pStyle w:val="TableText"/>
            </w:pPr>
            <w:r w:rsidRPr="00AE5B55">
              <w:t>rating showing the disabilities at the static level.</w:t>
            </w:r>
          </w:p>
        </w:tc>
      </w:tr>
    </w:tbl>
    <w:p w14:paraId="343E81E5" w14:textId="77777777" w:rsidR="00A643FD" w:rsidRPr="00AE5B55" w:rsidRDefault="00A643FD" w:rsidP="00A643FD"/>
    <w:tbl>
      <w:tblPr>
        <w:tblW w:w="0" w:type="auto"/>
        <w:tblInd w:w="1728" w:type="dxa"/>
        <w:tblLayout w:type="fixed"/>
        <w:tblLook w:val="0000" w:firstRow="0" w:lastRow="0" w:firstColumn="0" w:lastColumn="0" w:noHBand="0" w:noVBand="0"/>
      </w:tblPr>
      <w:tblGrid>
        <w:gridCol w:w="7740"/>
      </w:tblGrid>
      <w:tr w:rsidR="00A643FD" w:rsidRPr="00AE5B55" w14:paraId="63D1D8DD" w14:textId="77777777" w:rsidTr="00522D5E">
        <w:trPr>
          <w:cantSplit/>
        </w:trPr>
        <w:tc>
          <w:tcPr>
            <w:tcW w:w="7740" w:type="dxa"/>
          </w:tcPr>
          <w:p w14:paraId="5D0A00E9" w14:textId="77777777" w:rsidR="00A643FD" w:rsidRPr="00AE5B55" w:rsidRDefault="00A643FD" w:rsidP="00522D5E">
            <w:pPr>
              <w:pStyle w:val="NoteText"/>
            </w:pPr>
            <w:r w:rsidRPr="00AE5B55">
              <w:rPr>
                <w:b/>
                <w:i/>
              </w:rPr>
              <w:t>Note</w:t>
            </w:r>
            <w:r w:rsidRPr="00AE5B55">
              <w:t>:  If there is no response within 60 days, the case is sent to authorization for appropriate action.</w:t>
            </w:r>
          </w:p>
        </w:tc>
      </w:tr>
    </w:tbl>
    <w:p w14:paraId="0479778C" w14:textId="77777777" w:rsidR="00A643FD" w:rsidRPr="00AE5B55" w:rsidRDefault="007E6F0C" w:rsidP="00A643FD">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06672611" w14:textId="77777777" w:rsidTr="00522D5E">
        <w:trPr>
          <w:cantSplit/>
        </w:trPr>
        <w:tc>
          <w:tcPr>
            <w:tcW w:w="1728" w:type="dxa"/>
          </w:tcPr>
          <w:p w14:paraId="42EBE07E" w14:textId="77777777" w:rsidR="00A643FD" w:rsidRPr="00AE5B55" w:rsidRDefault="00A643FD" w:rsidP="00522D5E">
            <w:pPr>
              <w:pStyle w:val="Heading5"/>
            </w:pPr>
            <w:r w:rsidRPr="00AE5B55">
              <w:t xml:space="preserve">e.  </w:t>
            </w:r>
            <w:bookmarkStart w:id="5" w:name="e16"/>
            <w:bookmarkEnd w:id="5"/>
            <w:r w:rsidRPr="00AE5B55">
              <w:t>Handling Failure to Respond to a Notice of Proposed Adverse Action</w:t>
            </w:r>
          </w:p>
        </w:tc>
        <w:tc>
          <w:tcPr>
            <w:tcW w:w="7740" w:type="dxa"/>
          </w:tcPr>
          <w:p w14:paraId="6E10292C" w14:textId="77777777" w:rsidR="00A643FD" w:rsidRPr="00AE5B55" w:rsidRDefault="00A643FD" w:rsidP="00522D5E">
            <w:pPr>
              <w:pStyle w:val="BlockText"/>
            </w:pPr>
            <w:r w:rsidRPr="00AE5B55">
              <w:t xml:space="preserve">If the Veteran fails to respond to the notice of proposed adverse action provided under </w:t>
            </w:r>
            <w:hyperlink r:id="rId20" w:history="1">
              <w:r w:rsidRPr="00AE5B55">
                <w:rPr>
                  <w:rStyle w:val="Hyperlink"/>
                </w:rPr>
                <w:t>M21-1MR, Part IV, Subpart ii, 3.B</w:t>
              </w:r>
            </w:hyperlink>
            <w:r w:rsidRPr="00AE5B55">
              <w:t xml:space="preserve">, authorization discontinues or reduces the Veteran’s benefits in accordance with </w:t>
            </w:r>
            <w:hyperlink r:id="rId21" w:history="1">
              <w:r w:rsidR="00531CEB" w:rsidRPr="00AE5B55">
                <w:rPr>
                  <w:rStyle w:val="Hyperlink"/>
                </w:rPr>
                <w:t>38 CFR</w:t>
              </w:r>
              <w:r w:rsidRPr="00AE5B55">
                <w:rPr>
                  <w:rStyle w:val="Hyperlink"/>
                </w:rPr>
                <w:t xml:space="preserve"> 3.655(c)(2)</w:t>
              </w:r>
            </w:hyperlink>
            <w:r w:rsidRPr="00AE5B55">
              <w:t>.</w:t>
            </w:r>
          </w:p>
          <w:p w14:paraId="7D08704C" w14:textId="77777777" w:rsidR="00A643FD" w:rsidRPr="00AE5B55" w:rsidRDefault="00A643FD" w:rsidP="00522D5E">
            <w:pPr>
              <w:pStyle w:val="BlockText"/>
            </w:pPr>
          </w:p>
          <w:p w14:paraId="47C9026E" w14:textId="77777777" w:rsidR="00A643FD" w:rsidRPr="00AE5B55" w:rsidRDefault="00A643FD" w:rsidP="00522D5E">
            <w:pPr>
              <w:pStyle w:val="BlockText"/>
            </w:pPr>
            <w:r w:rsidRPr="00AE5B55">
              <w:t>After the award has been processed and the Veteran has been informed of the action taken in the decision, prepare a rating decision for those cases in which there are static disabilities.</w:t>
            </w:r>
          </w:p>
          <w:p w14:paraId="056F0251" w14:textId="77777777" w:rsidR="00A643FD" w:rsidRPr="00AE5B55" w:rsidRDefault="00A643FD" w:rsidP="00522D5E">
            <w:pPr>
              <w:pStyle w:val="BlockText"/>
            </w:pPr>
          </w:p>
          <w:p w14:paraId="0EB8946D" w14:textId="77777777" w:rsidR="00A643FD" w:rsidRPr="00AE5B55" w:rsidRDefault="00A643FD" w:rsidP="00522D5E">
            <w:pPr>
              <w:pStyle w:val="BlockText"/>
            </w:pPr>
            <w:r w:rsidRPr="00AE5B55">
              <w:t>On the decision</w:t>
            </w:r>
          </w:p>
          <w:p w14:paraId="5A22D983" w14:textId="77777777" w:rsidR="00A643FD" w:rsidRPr="00AE5B55" w:rsidRDefault="00A643FD" w:rsidP="00522D5E">
            <w:pPr>
              <w:pStyle w:val="BlockText"/>
            </w:pPr>
          </w:p>
          <w:p w14:paraId="05FF4E1C" w14:textId="77777777" w:rsidR="00A643FD" w:rsidRPr="00AE5B55" w:rsidRDefault="00A643FD" w:rsidP="00522D5E">
            <w:pPr>
              <w:pStyle w:val="BulletText1"/>
            </w:pPr>
            <w:r w:rsidRPr="00AE5B55">
              <w:t>code all disabilities with their new, continuing and/or combined evaluations</w:t>
            </w:r>
          </w:p>
          <w:p w14:paraId="2E6441A5" w14:textId="77777777" w:rsidR="00A643FD" w:rsidRPr="00AE5B55" w:rsidRDefault="00A643FD" w:rsidP="00522D5E">
            <w:pPr>
              <w:pStyle w:val="BulletText1"/>
            </w:pPr>
            <w:r w:rsidRPr="00AE5B55">
              <w:t>include noncompensable service-connected (SC) disabilities</w:t>
            </w:r>
          </w:p>
          <w:p w14:paraId="573716A1" w14:textId="77777777" w:rsidR="00A643FD" w:rsidRPr="00AE5B55" w:rsidRDefault="00A643FD" w:rsidP="00522D5E">
            <w:pPr>
              <w:pStyle w:val="BulletText1"/>
            </w:pPr>
            <w:r w:rsidRPr="00AE5B55">
              <w:t xml:space="preserve">consider a compensable rating under </w:t>
            </w:r>
            <w:hyperlink r:id="rId22" w:history="1">
              <w:r w:rsidR="00531CEB" w:rsidRPr="00AE5B55">
                <w:rPr>
                  <w:rStyle w:val="Hyperlink"/>
                </w:rPr>
                <w:t>38 CF</w:t>
              </w:r>
              <w:r w:rsidRPr="00AE5B55">
                <w:rPr>
                  <w:rStyle w:val="Hyperlink"/>
                </w:rPr>
                <w:t>R 3.324</w:t>
              </w:r>
            </w:hyperlink>
            <w:r w:rsidRPr="00AE5B55">
              <w:t>, if applicable, and</w:t>
            </w:r>
          </w:p>
          <w:p w14:paraId="776C0776" w14:textId="77777777" w:rsidR="00A643FD" w:rsidRPr="00AE5B55" w:rsidRDefault="00A643FD" w:rsidP="00522D5E">
            <w:pPr>
              <w:pStyle w:val="BulletText1"/>
            </w:pPr>
            <w:r w:rsidRPr="00AE5B55">
              <w:t>use the effective date the award was reduced as the effective date of the new combined evaluation based on static and/or protected disabilities.</w:t>
            </w:r>
          </w:p>
        </w:tc>
      </w:tr>
    </w:tbl>
    <w:p w14:paraId="3E2C18BE" w14:textId="77777777" w:rsidR="00A643FD" w:rsidRPr="00AE5B55" w:rsidRDefault="00A643FD" w:rsidP="00A643FD">
      <w:pPr>
        <w:pStyle w:val="BlockLine"/>
      </w:pPr>
    </w:p>
    <w:p w14:paraId="3CBDFE33" w14:textId="77777777" w:rsidR="00A643FD" w:rsidRPr="00AE5B55" w:rsidRDefault="00A643FD" w:rsidP="00A643FD">
      <w:pPr>
        <w:pStyle w:val="Heading4"/>
      </w:pPr>
      <w:r w:rsidRPr="00AE5B55">
        <w:br w:type="page"/>
      </w:r>
      <w:r w:rsidRPr="00AE5B55">
        <w:lastRenderedPageBreak/>
        <w:t xml:space="preserve">17.  </w:t>
      </w:r>
      <w:bookmarkStart w:id="6" w:name="Topic17"/>
      <w:bookmarkEnd w:id="6"/>
      <w:r w:rsidRPr="00AE5B55">
        <w:t>Severance of Service Connection</w:t>
      </w:r>
    </w:p>
    <w:p w14:paraId="5FCDC7D0" w14:textId="77777777" w:rsidR="00A643FD" w:rsidRPr="00AE5B55" w:rsidRDefault="00A643FD" w:rsidP="00A643FD">
      <w:pPr>
        <w:pStyle w:val="BlockLine"/>
      </w:pPr>
      <w:r w:rsidRPr="00AE5B55">
        <w:fldChar w:fldCharType="begin"/>
      </w:r>
      <w:r w:rsidRPr="00AE5B55">
        <w:instrText xml:space="preserve"> PRIVATE INFOTYPE="OTHER"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533E8137" w14:textId="77777777" w:rsidTr="00522D5E">
        <w:trPr>
          <w:cantSplit/>
        </w:trPr>
        <w:tc>
          <w:tcPr>
            <w:tcW w:w="1728" w:type="dxa"/>
          </w:tcPr>
          <w:p w14:paraId="747755DE" w14:textId="77777777" w:rsidR="00A643FD" w:rsidRPr="00AE5B55" w:rsidRDefault="00A643FD" w:rsidP="00522D5E">
            <w:pPr>
              <w:pStyle w:val="Heading5"/>
            </w:pPr>
            <w:r w:rsidRPr="00AE5B55">
              <w:t>Introduction</w:t>
            </w:r>
          </w:p>
        </w:tc>
        <w:tc>
          <w:tcPr>
            <w:tcW w:w="7740" w:type="dxa"/>
          </w:tcPr>
          <w:p w14:paraId="212627A7" w14:textId="77777777" w:rsidR="00A643FD" w:rsidRPr="00AE5B55" w:rsidRDefault="00A643FD" w:rsidP="00522D5E">
            <w:pPr>
              <w:pStyle w:val="BlockText"/>
            </w:pPr>
            <w:r w:rsidRPr="00AE5B55">
              <w:t xml:space="preserve">This topic contains information about severance of service connection, such as </w:t>
            </w:r>
          </w:p>
          <w:p w14:paraId="4FCBEAD6" w14:textId="77777777" w:rsidR="00A643FD" w:rsidRPr="00AE5B55" w:rsidRDefault="00A643FD" w:rsidP="00522D5E">
            <w:pPr>
              <w:pStyle w:val="BlockText"/>
            </w:pPr>
          </w:p>
          <w:p w14:paraId="5CFD0448" w14:textId="293B46CA" w:rsidR="005B2492" w:rsidRPr="00AE5B55" w:rsidRDefault="00AE5B55" w:rsidP="005B2492">
            <w:pPr>
              <w:pStyle w:val="BulletText1"/>
            </w:pPr>
            <w:hyperlink w:anchor="a17" w:history="1">
              <w:r w:rsidR="00531CEB" w:rsidRPr="00AE5B55">
                <w:rPr>
                  <w:rStyle w:val="Hyperlink"/>
                </w:rPr>
                <w:t>applying 38 CFR 3.105(a) and 38 CFR</w:t>
              </w:r>
              <w:r w:rsidR="005B2492" w:rsidRPr="00AE5B55">
                <w:rPr>
                  <w:rStyle w:val="Hyperlink"/>
                </w:rPr>
                <w:t xml:space="preserve"> 3.105(d)</w:t>
              </w:r>
            </w:hyperlink>
          </w:p>
          <w:p w14:paraId="719A379D" w14:textId="5B950E64" w:rsidR="005B2492" w:rsidRPr="00AE5B55" w:rsidRDefault="00AE5B55" w:rsidP="005B2492">
            <w:pPr>
              <w:pStyle w:val="BulletText1"/>
            </w:pPr>
            <w:hyperlink w:anchor="b17" w:history="1">
              <w:r w:rsidR="005B2492" w:rsidRPr="00AE5B55">
                <w:rPr>
                  <w:rStyle w:val="Hyperlink"/>
                </w:rPr>
                <w:t>severing service connection due to diagnosis change</w:t>
              </w:r>
            </w:hyperlink>
          </w:p>
          <w:p w14:paraId="44546CBC" w14:textId="4FEDAB7A" w:rsidR="005B2492" w:rsidRPr="00AE5B55" w:rsidRDefault="00AE5B55" w:rsidP="005B2492">
            <w:pPr>
              <w:pStyle w:val="BulletText1"/>
            </w:pPr>
            <w:hyperlink w:anchor="c17" w:history="1">
              <w:r w:rsidR="005B2492" w:rsidRPr="00AE5B55">
                <w:rPr>
                  <w:rStyle w:val="Hyperlink"/>
                </w:rPr>
                <w:t>severing service connection for a psychosis</w:t>
              </w:r>
            </w:hyperlink>
          </w:p>
          <w:p w14:paraId="75DC34F2" w14:textId="2B30A675" w:rsidR="005B2492" w:rsidRPr="00AE5B55" w:rsidRDefault="00AE5B55" w:rsidP="005B2492">
            <w:pPr>
              <w:pStyle w:val="BulletText1"/>
            </w:pPr>
            <w:hyperlink w:anchor="d17" w:history="1">
              <w:r w:rsidR="005B2492" w:rsidRPr="00AE5B55">
                <w:rPr>
                  <w:rStyle w:val="Hyperlink"/>
                </w:rPr>
                <w:t>handling severance of service connection</w:t>
              </w:r>
            </w:hyperlink>
          </w:p>
          <w:p w14:paraId="1BE82127" w14:textId="4C49A10A" w:rsidR="005B2492" w:rsidRPr="00AE5B55" w:rsidRDefault="00AE5B55" w:rsidP="005B2492">
            <w:pPr>
              <w:pStyle w:val="BulletText1"/>
            </w:pPr>
            <w:hyperlink w:anchor="e17" w:history="1">
              <w:r w:rsidR="005B2492" w:rsidRPr="00AE5B55">
                <w:rPr>
                  <w:rStyle w:val="Hyperlink"/>
                </w:rPr>
                <w:t>handling multiple issues in cases involving severance of service connection</w:t>
              </w:r>
            </w:hyperlink>
          </w:p>
          <w:p w14:paraId="334C84C0" w14:textId="2AFEBB89" w:rsidR="005B2492" w:rsidRPr="00AE5B55" w:rsidRDefault="00AE5B55" w:rsidP="005B2492">
            <w:pPr>
              <w:pStyle w:val="BulletText1"/>
            </w:pPr>
            <w:hyperlink w:anchor="f17" w:history="1">
              <w:r w:rsidR="005B2492" w:rsidRPr="00AE5B55">
                <w:rPr>
                  <w:rStyle w:val="Hyperlink"/>
                </w:rPr>
                <w:t>handling increases in compensation in cases involving severance of service connection</w:t>
              </w:r>
            </w:hyperlink>
          </w:p>
          <w:p w14:paraId="198D7A57" w14:textId="675F44AE" w:rsidR="005B2492" w:rsidRPr="00AE5B55" w:rsidRDefault="00AE5B55" w:rsidP="005B2492">
            <w:pPr>
              <w:pStyle w:val="BulletText1"/>
            </w:pPr>
            <w:hyperlink w:anchor="g17" w:history="1">
              <w:r w:rsidR="005B2492" w:rsidRPr="00AE5B55">
                <w:rPr>
                  <w:rStyle w:val="Hyperlink"/>
                </w:rPr>
                <w:t>preparing the final rating decision in cases involving seve</w:t>
              </w:r>
              <w:r w:rsidR="003123C7" w:rsidRPr="00AE5B55">
                <w:rPr>
                  <w:rStyle w:val="Hyperlink"/>
                </w:rPr>
                <w:t>rance of service connection</w:t>
              </w:r>
            </w:hyperlink>
          </w:p>
          <w:p w14:paraId="639B251C" w14:textId="431A9AEE" w:rsidR="00A643FD" w:rsidRPr="00AE5B55" w:rsidRDefault="00AE5B55" w:rsidP="005B2492">
            <w:pPr>
              <w:pStyle w:val="BulletText1"/>
            </w:pPr>
            <w:hyperlink w:anchor="h17" w:history="1">
              <w:r w:rsidR="005B2492" w:rsidRPr="00AE5B55">
                <w:rPr>
                  <w:rStyle w:val="Hyperlink"/>
                </w:rPr>
                <w:t>handling severance pro</w:t>
              </w:r>
              <w:r w:rsidR="003123C7" w:rsidRPr="00AE5B55">
                <w:rPr>
                  <w:rStyle w:val="Hyperlink"/>
                </w:rPr>
                <w:t>posals upon the Veteran’s death</w:t>
              </w:r>
            </w:hyperlink>
            <w:r w:rsidR="003123C7" w:rsidRPr="00AE5B55">
              <w:t>, and</w:t>
            </w:r>
          </w:p>
          <w:p w14:paraId="51EB8447" w14:textId="2A82D592" w:rsidR="000F5B33" w:rsidRPr="00AE5B55" w:rsidRDefault="00AE5B55" w:rsidP="003123C7">
            <w:pPr>
              <w:pStyle w:val="BulletText1"/>
            </w:pPr>
            <w:hyperlink w:anchor="i17" w:history="1">
              <w:r w:rsidR="003123C7" w:rsidRPr="00AE5B55">
                <w:rPr>
                  <w:rStyle w:val="Hyperlink"/>
                </w:rPr>
                <w:t>handling severan</w:t>
              </w:r>
              <w:r w:rsidR="003123C7" w:rsidRPr="00AE5B55">
                <w:rPr>
                  <w:rStyle w:val="Hyperlink"/>
                </w:rPr>
                <w:t>c</w:t>
              </w:r>
              <w:r w:rsidR="003123C7" w:rsidRPr="00AE5B55">
                <w:rPr>
                  <w:rStyle w:val="Hyperlink"/>
                </w:rPr>
                <w:t>e of clearly illegal grants</w:t>
              </w:r>
              <w:r w:rsidR="00B5740B" w:rsidRPr="00AE5B55">
                <w:rPr>
                  <w:rStyle w:val="Hyperlink"/>
                </w:rPr>
                <w:t xml:space="preserve"> of service connection</w:t>
              </w:r>
            </w:hyperlink>
            <w:r w:rsidR="00B5740B" w:rsidRPr="00AE5B55">
              <w:t>.</w:t>
            </w:r>
          </w:p>
        </w:tc>
      </w:tr>
    </w:tbl>
    <w:p w14:paraId="1FF00AA0" w14:textId="77777777" w:rsidR="00A643FD" w:rsidRPr="00AE5B55" w:rsidRDefault="00A643FD" w:rsidP="00A643FD">
      <w:pPr>
        <w:pStyle w:val="BlockLine"/>
      </w:pPr>
    </w:p>
    <w:tbl>
      <w:tblPr>
        <w:tblW w:w="0" w:type="auto"/>
        <w:tblLayout w:type="fixed"/>
        <w:tblLook w:val="0000" w:firstRow="0" w:lastRow="0" w:firstColumn="0" w:lastColumn="0" w:noHBand="0" w:noVBand="0"/>
      </w:tblPr>
      <w:tblGrid>
        <w:gridCol w:w="1728"/>
        <w:gridCol w:w="7740"/>
      </w:tblGrid>
      <w:tr w:rsidR="00A643FD" w:rsidRPr="00AE5B55" w14:paraId="4DF63EB5" w14:textId="77777777" w:rsidTr="00522D5E">
        <w:trPr>
          <w:cantSplit/>
        </w:trPr>
        <w:tc>
          <w:tcPr>
            <w:tcW w:w="1728" w:type="dxa"/>
          </w:tcPr>
          <w:p w14:paraId="56D46853" w14:textId="77777777" w:rsidR="00A643FD" w:rsidRPr="00AE5B55" w:rsidRDefault="00A643FD" w:rsidP="00522D5E">
            <w:pPr>
              <w:pStyle w:val="Heading5"/>
            </w:pPr>
            <w:r w:rsidRPr="00AE5B55">
              <w:t>Change Date</w:t>
            </w:r>
          </w:p>
        </w:tc>
        <w:tc>
          <w:tcPr>
            <w:tcW w:w="7740" w:type="dxa"/>
          </w:tcPr>
          <w:p w14:paraId="2DB32DF1" w14:textId="77777777" w:rsidR="00A643FD" w:rsidRPr="00AE5B55" w:rsidRDefault="000D33EE" w:rsidP="00522D5E">
            <w:pPr>
              <w:pStyle w:val="BlockText"/>
            </w:pPr>
            <w:r w:rsidRPr="00AE5B55">
              <w:t>June 7, 2012</w:t>
            </w:r>
          </w:p>
        </w:tc>
      </w:tr>
    </w:tbl>
    <w:p w14:paraId="7AD07C85" w14:textId="77777777" w:rsidR="00A643FD" w:rsidRPr="00AE5B55" w:rsidRDefault="007E6F0C" w:rsidP="00A643FD">
      <w:pPr>
        <w:pStyle w:val="BlockLine"/>
      </w:pPr>
      <w:r w:rsidRPr="00AE5B55">
        <w:fldChar w:fldCharType="begin"/>
      </w:r>
      <w:r w:rsidRPr="00AE5B55">
        <w:instrText xml:space="preserve"> PRIVATE INFOTYPE="PRINCIPLE"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2837E720" w14:textId="77777777" w:rsidTr="00522D5E">
        <w:trPr>
          <w:cantSplit/>
        </w:trPr>
        <w:tc>
          <w:tcPr>
            <w:tcW w:w="1728" w:type="dxa"/>
          </w:tcPr>
          <w:p w14:paraId="2B45E132" w14:textId="77777777" w:rsidR="00A643FD" w:rsidRPr="00AE5B55" w:rsidRDefault="00531CEB" w:rsidP="00522D5E">
            <w:pPr>
              <w:pStyle w:val="Heading5"/>
            </w:pPr>
            <w:r w:rsidRPr="00AE5B55">
              <w:t xml:space="preserve">a.  </w:t>
            </w:r>
            <w:bookmarkStart w:id="7" w:name="a17"/>
            <w:bookmarkEnd w:id="7"/>
            <w:r w:rsidRPr="00AE5B55">
              <w:t>Applying 38 CFR 3.105(a) and 38 CFR</w:t>
            </w:r>
            <w:r w:rsidR="00A643FD" w:rsidRPr="00AE5B55">
              <w:t xml:space="preserve"> 3.105(d)</w:t>
            </w:r>
          </w:p>
        </w:tc>
        <w:tc>
          <w:tcPr>
            <w:tcW w:w="7740" w:type="dxa"/>
          </w:tcPr>
          <w:p w14:paraId="32DCFDC7" w14:textId="77777777" w:rsidR="00A643FD" w:rsidRPr="00AE5B55" w:rsidRDefault="00A643FD" w:rsidP="00522D5E">
            <w:pPr>
              <w:pStyle w:val="BlockText"/>
            </w:pPr>
            <w:r w:rsidRPr="00AE5B55">
              <w:t xml:space="preserve">Do not take action to sever service connection pursuant to </w:t>
            </w:r>
            <w:hyperlink r:id="rId23" w:history="1">
              <w:r w:rsidR="00531CEB" w:rsidRPr="00AE5B55">
                <w:rPr>
                  <w:rStyle w:val="Hyperlink"/>
                </w:rPr>
                <w:t>38 CFR</w:t>
              </w:r>
              <w:r w:rsidRPr="00AE5B55">
                <w:rPr>
                  <w:rStyle w:val="Hyperlink"/>
                </w:rPr>
                <w:t xml:space="preserve"> 3.105(a)</w:t>
              </w:r>
            </w:hyperlink>
            <w:r w:rsidRPr="00AE5B55">
              <w:t xml:space="preserve"> and </w:t>
            </w:r>
            <w:hyperlink r:id="rId24" w:history="1">
              <w:r w:rsidR="00531CEB" w:rsidRPr="00AE5B55">
                <w:rPr>
                  <w:rStyle w:val="Hyperlink"/>
                </w:rPr>
                <w:t>38 CFR</w:t>
              </w:r>
              <w:r w:rsidRPr="00AE5B55">
                <w:rPr>
                  <w:rStyle w:val="Hyperlink"/>
                </w:rPr>
                <w:t xml:space="preserve"> 3.105(d)</w:t>
              </w:r>
            </w:hyperlink>
            <w:r w:rsidRPr="00AE5B55">
              <w:t xml:space="preserve"> unless all available relevant evidence, including complete service medical data and autopsy findings (if pertinent in death cases)</w:t>
            </w:r>
          </w:p>
          <w:p w14:paraId="63008120" w14:textId="77777777" w:rsidR="00A643FD" w:rsidRPr="00AE5B55" w:rsidRDefault="00A643FD" w:rsidP="00522D5E">
            <w:pPr>
              <w:pStyle w:val="BlockText"/>
            </w:pPr>
          </w:p>
          <w:p w14:paraId="25668D8E" w14:textId="77777777" w:rsidR="00A643FD" w:rsidRPr="00AE5B55" w:rsidRDefault="00A643FD" w:rsidP="00522D5E">
            <w:pPr>
              <w:pStyle w:val="BulletText1"/>
            </w:pPr>
            <w:r w:rsidRPr="00AE5B55">
              <w:t>is of record, and</w:t>
            </w:r>
          </w:p>
          <w:p w14:paraId="6A514DC3" w14:textId="77777777" w:rsidR="00A643FD" w:rsidRPr="00AE5B55" w:rsidRDefault="00A643FD" w:rsidP="00522D5E">
            <w:pPr>
              <w:pStyle w:val="BulletText1"/>
            </w:pPr>
            <w:r w:rsidRPr="00AE5B55">
              <w:t>shows that establishment was clearly and unmistakably erroneous.</w:t>
            </w:r>
          </w:p>
          <w:p w14:paraId="4C210F20" w14:textId="77777777" w:rsidR="00A643FD" w:rsidRPr="00AE5B55" w:rsidRDefault="00A643FD" w:rsidP="00522D5E">
            <w:pPr>
              <w:pStyle w:val="BlockText"/>
            </w:pPr>
          </w:p>
          <w:p w14:paraId="2B4E1DEF" w14:textId="77777777" w:rsidR="006534F1" w:rsidRPr="00AE5B55" w:rsidRDefault="00BA2ED7" w:rsidP="00522D5E">
            <w:pPr>
              <w:pStyle w:val="BlockText"/>
            </w:pPr>
            <w:r w:rsidRPr="00AE5B55">
              <w:rPr>
                <w:b/>
                <w:i/>
              </w:rPr>
              <w:t>Exception</w:t>
            </w:r>
            <w:r w:rsidRPr="00AE5B55">
              <w:t xml:space="preserve">:  when </w:t>
            </w:r>
            <w:r w:rsidR="005D5FCF" w:rsidRPr="00AE5B55">
              <w:t xml:space="preserve">VA determines </w:t>
            </w:r>
            <w:r w:rsidRPr="00AE5B55">
              <w:t>that there is no legal entitlement for a</w:t>
            </w:r>
            <w:r w:rsidR="004A5A1B" w:rsidRPr="00AE5B55">
              <w:t xml:space="preserve"> previous award of VA benefits (when service connection is clearly illegal)</w:t>
            </w:r>
            <w:r w:rsidR="005D5FCF" w:rsidRPr="00AE5B55">
              <w:t>,</w:t>
            </w:r>
            <w:r w:rsidR="004A5A1B" w:rsidRPr="00AE5B55">
              <w:t xml:space="preserve"> </w:t>
            </w:r>
            <w:r w:rsidRPr="00AE5B55">
              <w:t xml:space="preserve">VA is not required to </w:t>
            </w:r>
            <w:r w:rsidR="005D5FCF" w:rsidRPr="00AE5B55">
              <w:t xml:space="preserve">establish </w:t>
            </w:r>
            <w:r w:rsidRPr="00AE5B55">
              <w:t xml:space="preserve">that the original decision was clearly and unmistakably erroneous </w:t>
            </w:r>
            <w:r w:rsidR="005D5FCF" w:rsidRPr="00AE5B55">
              <w:t xml:space="preserve">per </w:t>
            </w:r>
            <w:hyperlink r:id="rId25" w:history="1">
              <w:r w:rsidR="005D5FCF" w:rsidRPr="00AE5B55">
                <w:rPr>
                  <w:rStyle w:val="Hyperlink"/>
                </w:rPr>
                <w:t>38 C.F.R. § 3.105(d)</w:t>
              </w:r>
            </w:hyperlink>
            <w:r w:rsidR="005D5FCF" w:rsidRPr="00AE5B55">
              <w:t xml:space="preserve"> </w:t>
            </w:r>
            <w:r w:rsidR="004A5A1B" w:rsidRPr="00AE5B55">
              <w:t xml:space="preserve">in order </w:t>
            </w:r>
            <w:r w:rsidRPr="00AE5B55">
              <w:t>to sever serv</w:t>
            </w:r>
            <w:r w:rsidR="004A5A1B" w:rsidRPr="00AE5B55">
              <w:t xml:space="preserve">ice connection. </w:t>
            </w:r>
            <w:hyperlink r:id="rId26" w:anchor="bma" w:history="1">
              <w:r w:rsidR="004A5A1B" w:rsidRPr="00AE5B55">
                <w:rPr>
                  <w:rStyle w:val="Hyperlink"/>
                  <w:i/>
                </w:rPr>
                <w:t>Allen and Key v. Nicholson</w:t>
              </w:r>
            </w:hyperlink>
            <w:r w:rsidR="004A5A1B" w:rsidRPr="00AE5B55">
              <w:rPr>
                <w:i/>
              </w:rPr>
              <w:t>,</w:t>
            </w:r>
            <w:r w:rsidR="004A5A1B" w:rsidRPr="00AE5B55">
              <w:t xml:space="preserve"> 21 Vet. App. 54, 57 (2007).</w:t>
            </w:r>
          </w:p>
          <w:p w14:paraId="6EDF3576" w14:textId="77777777" w:rsidR="005D5FCF" w:rsidRPr="00AE5B55" w:rsidRDefault="005D5FCF" w:rsidP="00522D5E">
            <w:pPr>
              <w:pStyle w:val="BlockText"/>
            </w:pPr>
          </w:p>
          <w:p w14:paraId="0412CF54" w14:textId="77777777" w:rsidR="004A5A1B" w:rsidRPr="00AE5B55" w:rsidRDefault="00A643FD" w:rsidP="00522D5E">
            <w:pPr>
              <w:pStyle w:val="BlockText"/>
            </w:pPr>
            <w:r w:rsidRPr="00AE5B55">
              <w:rPr>
                <w:b/>
                <w:i/>
              </w:rPr>
              <w:t>Reference</w:t>
            </w:r>
            <w:r w:rsidR="004A5A1B" w:rsidRPr="00AE5B55">
              <w:rPr>
                <w:b/>
                <w:i/>
              </w:rPr>
              <w:t>s</w:t>
            </w:r>
            <w:r w:rsidRPr="00AE5B55">
              <w:t xml:space="preserve">:  For more information on </w:t>
            </w:r>
          </w:p>
          <w:p w14:paraId="60A88CE0" w14:textId="77777777" w:rsidR="00A643FD" w:rsidRPr="00AE5B55" w:rsidRDefault="00A643FD" w:rsidP="004A5A1B">
            <w:pPr>
              <w:pStyle w:val="BulletText1"/>
            </w:pPr>
            <w:r w:rsidRPr="00AE5B55">
              <w:t xml:space="preserve">the ten-year protection even when service connection is erroneous, see </w:t>
            </w:r>
            <w:hyperlink r:id="rId27" w:history="1">
              <w:r w:rsidRPr="00AE5B55">
                <w:rPr>
                  <w:rStyle w:val="Hyperlink"/>
                </w:rPr>
                <w:t>M21-1MR, Part III, Subpart iv, 8.C.9</w:t>
              </w:r>
            </w:hyperlink>
            <w:r w:rsidR="004A5A1B" w:rsidRPr="00AE5B55">
              <w:t>, and</w:t>
            </w:r>
          </w:p>
          <w:p w14:paraId="3D315287" w14:textId="77777777" w:rsidR="004A5A1B" w:rsidRPr="00AE5B55" w:rsidRDefault="009C3E34" w:rsidP="009C3E34">
            <w:pPr>
              <w:pStyle w:val="BulletText1"/>
            </w:pPr>
            <w:r w:rsidRPr="00AE5B55">
              <w:t xml:space="preserve">due process to </w:t>
            </w:r>
            <w:r w:rsidR="004A5A1B" w:rsidRPr="00AE5B55">
              <w:t xml:space="preserve">sever service connection when clearly illegal/without legal entitlement see </w:t>
            </w:r>
            <w:hyperlink r:id="rId28" w:history="1">
              <w:r w:rsidR="004A5A1B" w:rsidRPr="00AE5B55">
                <w:rPr>
                  <w:rStyle w:val="Hyperlink"/>
                </w:rPr>
                <w:t>M21-1MR, Part III, Subpart iv, 8.E.17.i</w:t>
              </w:r>
            </w:hyperlink>
            <w:r w:rsidR="004A5A1B" w:rsidRPr="00AE5B55">
              <w:t>.</w:t>
            </w:r>
          </w:p>
        </w:tc>
      </w:tr>
    </w:tbl>
    <w:p w14:paraId="03AA878D" w14:textId="77777777" w:rsidR="009F0346" w:rsidRPr="00AE5B55" w:rsidRDefault="009F0346" w:rsidP="009F0346">
      <w:pPr>
        <w:pStyle w:val="ContinuedOnNextPa"/>
      </w:pPr>
      <w:r w:rsidRPr="00AE5B55">
        <w:t>Continued on next page</w:t>
      </w:r>
    </w:p>
    <w:p w14:paraId="401EE64B" w14:textId="77777777" w:rsidR="009F0346" w:rsidRPr="00AE5B55" w:rsidRDefault="009F0346" w:rsidP="009F0346">
      <w:pPr>
        <w:pStyle w:val="MapTitleContinued"/>
        <w:rPr>
          <w:b w:val="0"/>
          <w:sz w:val="24"/>
        </w:rPr>
      </w:pPr>
      <w:r w:rsidRPr="00AE5B55">
        <w:br w:type="page"/>
      </w:r>
      <w:fldSimple w:instr=" STYLEREF &quot;Map Title&quot; ">
        <w:r w:rsidR="004F6499" w:rsidRPr="00AE5B55">
          <w:rPr>
            <w:noProof/>
          </w:rPr>
          <w:t>17.  Severance of Service Connection</w:t>
        </w:r>
      </w:fldSimple>
      <w:r w:rsidRPr="00AE5B55">
        <w:t xml:space="preserve">, </w:t>
      </w:r>
      <w:r w:rsidRPr="00AE5B55">
        <w:rPr>
          <w:b w:val="0"/>
          <w:sz w:val="24"/>
        </w:rPr>
        <w:t>Continued</w:t>
      </w:r>
    </w:p>
    <w:p w14:paraId="7C759C51" w14:textId="77777777" w:rsidR="00A643FD" w:rsidRPr="00AE5B55" w:rsidRDefault="007E6F0C" w:rsidP="009F0346">
      <w:pPr>
        <w:pStyle w:val="BlockLine"/>
      </w:pPr>
      <w:r w:rsidRPr="00AE5B55">
        <w:fldChar w:fldCharType="begin"/>
      </w:r>
      <w:r w:rsidRPr="00AE5B55">
        <w:instrText xml:space="preserve"> PRIVATE INFOTYPE="PRINCIPLE"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44B6DD2D" w14:textId="77777777" w:rsidTr="00522D5E">
        <w:trPr>
          <w:cantSplit/>
        </w:trPr>
        <w:tc>
          <w:tcPr>
            <w:tcW w:w="1728" w:type="dxa"/>
          </w:tcPr>
          <w:p w14:paraId="46FABDCC" w14:textId="77777777" w:rsidR="00A643FD" w:rsidRPr="00AE5B55" w:rsidRDefault="00A643FD" w:rsidP="00522D5E">
            <w:pPr>
              <w:pStyle w:val="Heading5"/>
            </w:pPr>
            <w:r w:rsidRPr="00AE5B55">
              <w:t xml:space="preserve">b.  </w:t>
            </w:r>
            <w:bookmarkStart w:id="8" w:name="b17"/>
            <w:bookmarkEnd w:id="8"/>
            <w:r w:rsidRPr="00AE5B55">
              <w:t>Severing Service Connection Due to Diagnosis Change</w:t>
            </w:r>
          </w:p>
        </w:tc>
        <w:tc>
          <w:tcPr>
            <w:tcW w:w="7740" w:type="dxa"/>
          </w:tcPr>
          <w:p w14:paraId="1C500404" w14:textId="77777777" w:rsidR="00A643FD" w:rsidRPr="00AE5B55" w:rsidRDefault="00A643FD" w:rsidP="00522D5E">
            <w:pPr>
              <w:pStyle w:val="BlockText"/>
              <w:rPr>
                <w:b/>
                <w:i/>
              </w:rPr>
            </w:pPr>
            <w:r w:rsidRPr="00AE5B55">
              <w:t xml:space="preserve">A change in diagnosis may be accepted as a basis for severance if there is certification that the diagnosis on which service connection was based was clearly erroneous under </w:t>
            </w:r>
            <w:hyperlink r:id="rId29" w:history="1">
              <w:r w:rsidR="00531CEB" w:rsidRPr="00AE5B55">
                <w:rPr>
                  <w:rStyle w:val="Hyperlink"/>
                </w:rPr>
                <w:t>38 CFR</w:t>
              </w:r>
              <w:r w:rsidRPr="00AE5B55">
                <w:rPr>
                  <w:rStyle w:val="Hyperlink"/>
                </w:rPr>
                <w:t xml:space="preserve"> 3.105(d)</w:t>
              </w:r>
            </w:hyperlink>
            <w:r w:rsidRPr="00AE5B55">
              <w:t>.</w:t>
            </w:r>
          </w:p>
        </w:tc>
      </w:tr>
    </w:tbl>
    <w:p w14:paraId="364FEB61" w14:textId="77777777" w:rsidR="00A643FD" w:rsidRPr="00AE5B55" w:rsidRDefault="007E6F0C" w:rsidP="009F0346">
      <w:pPr>
        <w:pStyle w:val="BlockLine"/>
      </w:pPr>
      <w:r w:rsidRPr="00AE5B55">
        <w:fldChar w:fldCharType="begin"/>
      </w:r>
      <w:r w:rsidRPr="00AE5B55">
        <w:instrText xml:space="preserve"> PRIVATE INFOTYPE="PRINCIPLE"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68C4BD1D" w14:textId="77777777" w:rsidTr="00522D5E">
        <w:trPr>
          <w:cantSplit/>
        </w:trPr>
        <w:tc>
          <w:tcPr>
            <w:tcW w:w="1728" w:type="dxa"/>
          </w:tcPr>
          <w:p w14:paraId="3305AE86" w14:textId="77777777" w:rsidR="00A643FD" w:rsidRPr="00AE5B55" w:rsidRDefault="00A643FD" w:rsidP="00522D5E">
            <w:pPr>
              <w:pStyle w:val="Heading5"/>
            </w:pPr>
            <w:r w:rsidRPr="00AE5B55">
              <w:t xml:space="preserve">c.  </w:t>
            </w:r>
            <w:bookmarkStart w:id="9" w:name="c17"/>
            <w:bookmarkEnd w:id="9"/>
            <w:r w:rsidRPr="00AE5B55">
              <w:t>Severing Service Connection for a Psychosis</w:t>
            </w:r>
          </w:p>
        </w:tc>
        <w:tc>
          <w:tcPr>
            <w:tcW w:w="7740" w:type="dxa"/>
          </w:tcPr>
          <w:p w14:paraId="7C050CB0" w14:textId="77777777" w:rsidR="00A643FD" w:rsidRPr="00AE5B55" w:rsidRDefault="00A643FD" w:rsidP="00522D5E">
            <w:pPr>
              <w:pStyle w:val="BlockText"/>
            </w:pPr>
            <w:r w:rsidRPr="00AE5B55">
              <w:t xml:space="preserve">If service connection is severed for a psychosis, make a determination of entitlement under </w:t>
            </w:r>
            <w:hyperlink r:id="rId30" w:history="1">
              <w:r w:rsidR="00531CEB" w:rsidRPr="00AE5B55">
                <w:rPr>
                  <w:rStyle w:val="Hyperlink"/>
                </w:rPr>
                <w:t>38 USC</w:t>
              </w:r>
              <w:r w:rsidRPr="00AE5B55">
                <w:rPr>
                  <w:rStyle w:val="Hyperlink"/>
                </w:rPr>
                <w:t xml:space="preserve"> 1702</w:t>
              </w:r>
            </w:hyperlink>
            <w:r w:rsidRPr="00AE5B55">
              <w:t>.</w:t>
            </w:r>
          </w:p>
        </w:tc>
      </w:tr>
    </w:tbl>
    <w:p w14:paraId="5E97E111" w14:textId="77777777" w:rsidR="00A643FD" w:rsidRPr="00AE5B55" w:rsidRDefault="007E6F0C" w:rsidP="00A643FD">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1D4F53E3" w14:textId="77777777" w:rsidTr="00522D5E">
        <w:trPr>
          <w:cantSplit/>
        </w:trPr>
        <w:tc>
          <w:tcPr>
            <w:tcW w:w="1728" w:type="dxa"/>
          </w:tcPr>
          <w:p w14:paraId="03A239B9" w14:textId="77777777" w:rsidR="00A643FD" w:rsidRPr="00AE5B55" w:rsidRDefault="00A643FD" w:rsidP="00522D5E">
            <w:pPr>
              <w:pStyle w:val="Heading5"/>
            </w:pPr>
            <w:r w:rsidRPr="00AE5B55">
              <w:t xml:space="preserve">d.  </w:t>
            </w:r>
            <w:bookmarkStart w:id="10" w:name="d17"/>
            <w:bookmarkEnd w:id="10"/>
            <w:r w:rsidRPr="00AE5B55">
              <w:t>Handling Severance of Service Connection</w:t>
            </w:r>
          </w:p>
        </w:tc>
        <w:tc>
          <w:tcPr>
            <w:tcW w:w="7740" w:type="dxa"/>
          </w:tcPr>
          <w:p w14:paraId="018D1AF2" w14:textId="77777777" w:rsidR="00A643FD" w:rsidRPr="00AE5B55" w:rsidRDefault="00A643FD" w:rsidP="00522D5E">
            <w:pPr>
              <w:pStyle w:val="BlockText"/>
            </w:pPr>
            <w:r w:rsidRPr="00AE5B55">
              <w:t>The table below describes how to handle severing service connection.</w:t>
            </w:r>
          </w:p>
        </w:tc>
      </w:tr>
    </w:tbl>
    <w:p w14:paraId="0751F81F" w14:textId="77777777" w:rsidR="00A643FD" w:rsidRPr="00AE5B55" w:rsidRDefault="00A643FD" w:rsidP="00A643FD"/>
    <w:tbl>
      <w:tblPr>
        <w:tblW w:w="0" w:type="auto"/>
        <w:tblInd w:w="1800" w:type="dxa"/>
        <w:tblLayout w:type="fixed"/>
        <w:tblCellMar>
          <w:left w:w="80" w:type="dxa"/>
          <w:right w:w="80" w:type="dxa"/>
        </w:tblCellMar>
        <w:tblLook w:val="0000" w:firstRow="0" w:lastRow="0" w:firstColumn="0" w:lastColumn="0" w:noHBand="0" w:noVBand="0"/>
      </w:tblPr>
      <w:tblGrid>
        <w:gridCol w:w="800"/>
        <w:gridCol w:w="1710"/>
        <w:gridCol w:w="5050"/>
      </w:tblGrid>
      <w:tr w:rsidR="00A643FD" w:rsidRPr="00AE5B55" w14:paraId="66DF5B5D" w14:textId="77777777" w:rsidTr="00522D5E">
        <w:trPr>
          <w:cantSplit/>
        </w:trPr>
        <w:tc>
          <w:tcPr>
            <w:tcW w:w="800" w:type="dxa"/>
            <w:tcBorders>
              <w:top w:val="single" w:sz="6" w:space="0" w:color="auto"/>
              <w:left w:val="single" w:sz="6" w:space="0" w:color="auto"/>
              <w:bottom w:val="single" w:sz="6" w:space="0" w:color="auto"/>
              <w:right w:val="single" w:sz="6" w:space="0" w:color="auto"/>
            </w:tcBorders>
          </w:tcPr>
          <w:p w14:paraId="6EA87545" w14:textId="77777777" w:rsidR="00A643FD" w:rsidRPr="00AE5B55" w:rsidRDefault="00A643FD" w:rsidP="00522D5E">
            <w:pPr>
              <w:pStyle w:val="TableHeaderText"/>
            </w:pPr>
            <w:r w:rsidRPr="00AE5B55">
              <w:t>Stage</w:t>
            </w:r>
          </w:p>
        </w:tc>
        <w:tc>
          <w:tcPr>
            <w:tcW w:w="1710" w:type="dxa"/>
            <w:tcBorders>
              <w:top w:val="single" w:sz="6" w:space="0" w:color="auto"/>
              <w:left w:val="single" w:sz="6" w:space="0" w:color="auto"/>
              <w:bottom w:val="single" w:sz="6" w:space="0" w:color="auto"/>
              <w:right w:val="single" w:sz="6" w:space="0" w:color="auto"/>
            </w:tcBorders>
          </w:tcPr>
          <w:p w14:paraId="4FA7BC82" w14:textId="77777777" w:rsidR="00A643FD" w:rsidRPr="00AE5B55" w:rsidRDefault="00A643FD" w:rsidP="00522D5E">
            <w:pPr>
              <w:pStyle w:val="TableHeaderText"/>
            </w:pPr>
            <w:r w:rsidRPr="00AE5B55">
              <w:t>Who is Responsible</w:t>
            </w:r>
          </w:p>
        </w:tc>
        <w:tc>
          <w:tcPr>
            <w:tcW w:w="5050" w:type="dxa"/>
            <w:tcBorders>
              <w:top w:val="single" w:sz="6" w:space="0" w:color="auto"/>
              <w:left w:val="single" w:sz="6" w:space="0" w:color="auto"/>
              <w:bottom w:val="single" w:sz="6" w:space="0" w:color="auto"/>
              <w:right w:val="single" w:sz="6" w:space="0" w:color="auto"/>
            </w:tcBorders>
          </w:tcPr>
          <w:p w14:paraId="70F7A0C3" w14:textId="77777777" w:rsidR="00A643FD" w:rsidRPr="00AE5B55" w:rsidRDefault="00A643FD" w:rsidP="00522D5E">
            <w:pPr>
              <w:pStyle w:val="TableHeaderText"/>
            </w:pPr>
            <w:r w:rsidRPr="00AE5B55">
              <w:t>Description</w:t>
            </w:r>
          </w:p>
        </w:tc>
      </w:tr>
      <w:tr w:rsidR="00A643FD" w:rsidRPr="00AE5B55" w14:paraId="7C722285" w14:textId="77777777" w:rsidTr="00522D5E">
        <w:trPr>
          <w:cantSplit/>
        </w:trPr>
        <w:tc>
          <w:tcPr>
            <w:tcW w:w="800" w:type="dxa"/>
            <w:tcBorders>
              <w:top w:val="single" w:sz="6" w:space="0" w:color="auto"/>
              <w:left w:val="single" w:sz="6" w:space="0" w:color="auto"/>
              <w:bottom w:val="single" w:sz="6" w:space="0" w:color="auto"/>
              <w:right w:val="single" w:sz="6" w:space="0" w:color="auto"/>
            </w:tcBorders>
          </w:tcPr>
          <w:p w14:paraId="21C0E8D0" w14:textId="77777777" w:rsidR="00A643FD" w:rsidRPr="00AE5B55" w:rsidRDefault="00A643FD" w:rsidP="00522D5E">
            <w:pPr>
              <w:pStyle w:val="TableText"/>
              <w:jc w:val="center"/>
            </w:pPr>
            <w:r w:rsidRPr="00AE5B55">
              <w:t>1</w:t>
            </w:r>
          </w:p>
        </w:tc>
        <w:tc>
          <w:tcPr>
            <w:tcW w:w="1710" w:type="dxa"/>
            <w:tcBorders>
              <w:top w:val="single" w:sz="6" w:space="0" w:color="auto"/>
              <w:left w:val="single" w:sz="6" w:space="0" w:color="auto"/>
              <w:bottom w:val="single" w:sz="6" w:space="0" w:color="auto"/>
              <w:right w:val="single" w:sz="6" w:space="0" w:color="auto"/>
            </w:tcBorders>
          </w:tcPr>
          <w:p w14:paraId="00B027DE" w14:textId="77777777" w:rsidR="00A643FD" w:rsidRPr="00AE5B55" w:rsidRDefault="00A643FD" w:rsidP="00522D5E">
            <w:pPr>
              <w:pStyle w:val="TableText"/>
            </w:pPr>
            <w:r w:rsidRPr="00AE5B55">
              <w:t>RVSR</w:t>
            </w:r>
          </w:p>
        </w:tc>
        <w:tc>
          <w:tcPr>
            <w:tcW w:w="5050" w:type="dxa"/>
            <w:tcBorders>
              <w:top w:val="single" w:sz="6" w:space="0" w:color="auto"/>
              <w:left w:val="single" w:sz="6" w:space="0" w:color="auto"/>
              <w:bottom w:val="single" w:sz="6" w:space="0" w:color="auto"/>
              <w:right w:val="single" w:sz="6" w:space="0" w:color="auto"/>
            </w:tcBorders>
          </w:tcPr>
          <w:p w14:paraId="00F61AE3" w14:textId="77777777" w:rsidR="00A643FD" w:rsidRPr="00AE5B55" w:rsidRDefault="00A643FD" w:rsidP="00522D5E">
            <w:pPr>
              <w:pStyle w:val="TableText"/>
            </w:pPr>
            <w:r w:rsidRPr="00AE5B55">
              <w:t xml:space="preserve">Refers all ratings proposing severance of service connection to the Veterans Service Center Manager (VSCM) for approval or disapproval under </w:t>
            </w:r>
            <w:hyperlink r:id="rId31" w:history="1">
              <w:r w:rsidR="00531CEB" w:rsidRPr="00AE5B55">
                <w:rPr>
                  <w:rStyle w:val="Hyperlink"/>
                </w:rPr>
                <w:t>38 CFR</w:t>
              </w:r>
              <w:r w:rsidRPr="00AE5B55">
                <w:rPr>
                  <w:rStyle w:val="Hyperlink"/>
                </w:rPr>
                <w:t xml:space="preserve"> 3.105(a)</w:t>
              </w:r>
            </w:hyperlink>
            <w:r w:rsidRPr="00AE5B55">
              <w:t>.</w:t>
            </w:r>
          </w:p>
        </w:tc>
      </w:tr>
      <w:tr w:rsidR="00A643FD" w:rsidRPr="00AE5B55" w14:paraId="0D07FBDF" w14:textId="77777777" w:rsidTr="00522D5E">
        <w:trPr>
          <w:cantSplit/>
        </w:trPr>
        <w:tc>
          <w:tcPr>
            <w:tcW w:w="800" w:type="dxa"/>
            <w:tcBorders>
              <w:top w:val="single" w:sz="6" w:space="0" w:color="auto"/>
              <w:left w:val="single" w:sz="6" w:space="0" w:color="auto"/>
              <w:bottom w:val="single" w:sz="6" w:space="0" w:color="auto"/>
              <w:right w:val="single" w:sz="6" w:space="0" w:color="auto"/>
            </w:tcBorders>
          </w:tcPr>
          <w:p w14:paraId="41A34C86" w14:textId="77777777" w:rsidR="00A643FD" w:rsidRPr="00AE5B55" w:rsidRDefault="00A643FD" w:rsidP="00522D5E">
            <w:pPr>
              <w:pStyle w:val="TableText"/>
              <w:jc w:val="center"/>
            </w:pPr>
            <w:r w:rsidRPr="00AE5B55">
              <w:t>2</w:t>
            </w:r>
          </w:p>
        </w:tc>
        <w:tc>
          <w:tcPr>
            <w:tcW w:w="1710" w:type="dxa"/>
            <w:tcBorders>
              <w:top w:val="single" w:sz="6" w:space="0" w:color="auto"/>
              <w:left w:val="single" w:sz="6" w:space="0" w:color="auto"/>
              <w:bottom w:val="single" w:sz="6" w:space="0" w:color="auto"/>
              <w:right w:val="single" w:sz="6" w:space="0" w:color="auto"/>
            </w:tcBorders>
          </w:tcPr>
          <w:p w14:paraId="30BB9A1B" w14:textId="77777777" w:rsidR="00A643FD" w:rsidRPr="00AE5B55" w:rsidRDefault="00A643FD" w:rsidP="00522D5E">
            <w:pPr>
              <w:pStyle w:val="TableText"/>
            </w:pPr>
            <w:r w:rsidRPr="00AE5B55">
              <w:t>VSCM</w:t>
            </w:r>
          </w:p>
        </w:tc>
        <w:tc>
          <w:tcPr>
            <w:tcW w:w="5050" w:type="dxa"/>
            <w:tcBorders>
              <w:top w:val="single" w:sz="6" w:space="0" w:color="auto"/>
              <w:left w:val="single" w:sz="6" w:space="0" w:color="auto"/>
              <w:bottom w:val="single" w:sz="6" w:space="0" w:color="auto"/>
              <w:right w:val="single" w:sz="6" w:space="0" w:color="auto"/>
            </w:tcBorders>
          </w:tcPr>
          <w:p w14:paraId="2813C717" w14:textId="77777777" w:rsidR="00A643FD" w:rsidRPr="00AE5B55" w:rsidRDefault="00A643FD" w:rsidP="00522D5E">
            <w:pPr>
              <w:pStyle w:val="TableText"/>
            </w:pPr>
            <w:r w:rsidRPr="00AE5B55">
              <w:t>Is the rating approved?</w:t>
            </w:r>
          </w:p>
          <w:p w14:paraId="19C9898F" w14:textId="77777777" w:rsidR="00A643FD" w:rsidRPr="00AE5B55" w:rsidRDefault="00A643FD" w:rsidP="00522D5E">
            <w:pPr>
              <w:pStyle w:val="TableText"/>
            </w:pPr>
          </w:p>
          <w:p w14:paraId="63AF025F" w14:textId="77777777" w:rsidR="00A643FD" w:rsidRPr="00AE5B55" w:rsidRDefault="00A643FD" w:rsidP="00522D5E">
            <w:pPr>
              <w:pStyle w:val="BulletText1"/>
            </w:pPr>
            <w:r w:rsidRPr="00AE5B55">
              <w:t xml:space="preserve">If </w:t>
            </w:r>
            <w:r w:rsidRPr="00AE5B55">
              <w:rPr>
                <w:i/>
              </w:rPr>
              <w:t>yes</w:t>
            </w:r>
          </w:p>
          <w:p w14:paraId="4BFAE508" w14:textId="77777777" w:rsidR="00A643FD" w:rsidRPr="00AE5B55" w:rsidRDefault="00A643FD" w:rsidP="00522D5E">
            <w:pPr>
              <w:pStyle w:val="BulletText2"/>
            </w:pPr>
            <w:r w:rsidRPr="00AE5B55">
              <w:t>signs the rating, and</w:t>
            </w:r>
          </w:p>
          <w:p w14:paraId="73313AAC" w14:textId="77777777" w:rsidR="00A643FD" w:rsidRPr="00AE5B55" w:rsidRDefault="00A643FD" w:rsidP="00522D5E">
            <w:pPr>
              <w:pStyle w:val="BulletText2"/>
            </w:pPr>
            <w:r w:rsidRPr="00AE5B55">
              <w:t>forwards the rating to authorization.</w:t>
            </w:r>
          </w:p>
          <w:p w14:paraId="42A4BF5C" w14:textId="77777777" w:rsidR="00A643FD" w:rsidRPr="00AE5B55" w:rsidRDefault="00A643FD" w:rsidP="00522D5E">
            <w:pPr>
              <w:pStyle w:val="BulletText1"/>
            </w:pPr>
            <w:r w:rsidRPr="00AE5B55">
              <w:t xml:space="preserve">If </w:t>
            </w:r>
            <w:r w:rsidRPr="00AE5B55">
              <w:rPr>
                <w:i/>
              </w:rPr>
              <w:t>no</w:t>
            </w:r>
          </w:p>
          <w:p w14:paraId="454E1565" w14:textId="77777777" w:rsidR="00A643FD" w:rsidRPr="00AE5B55" w:rsidRDefault="00A643FD" w:rsidP="00522D5E">
            <w:pPr>
              <w:pStyle w:val="BulletText2"/>
            </w:pPr>
            <w:r w:rsidRPr="00AE5B55">
              <w:t>clearly marks the rating disapproved</w:t>
            </w:r>
          </w:p>
          <w:p w14:paraId="5F97AFE3" w14:textId="77777777" w:rsidR="00A643FD" w:rsidRPr="00AE5B55" w:rsidRDefault="00A643FD" w:rsidP="00522D5E">
            <w:pPr>
              <w:pStyle w:val="BulletText2"/>
            </w:pPr>
            <w:r w:rsidRPr="00AE5B55">
              <w:t>signs the rating, and</w:t>
            </w:r>
          </w:p>
          <w:p w14:paraId="59437C64" w14:textId="77777777" w:rsidR="00A643FD" w:rsidRPr="00AE5B55" w:rsidRDefault="00A643FD" w:rsidP="00522D5E">
            <w:pPr>
              <w:pStyle w:val="BulletText2"/>
            </w:pPr>
            <w:r w:rsidRPr="00AE5B55">
              <w:t>returns the rating to the rating activity.</w:t>
            </w:r>
          </w:p>
        </w:tc>
      </w:tr>
      <w:tr w:rsidR="00A643FD" w:rsidRPr="00AE5B55" w14:paraId="067F836D" w14:textId="77777777" w:rsidTr="00522D5E">
        <w:trPr>
          <w:cantSplit/>
        </w:trPr>
        <w:tc>
          <w:tcPr>
            <w:tcW w:w="800" w:type="dxa"/>
            <w:tcBorders>
              <w:top w:val="single" w:sz="6" w:space="0" w:color="auto"/>
              <w:left w:val="single" w:sz="6" w:space="0" w:color="auto"/>
              <w:bottom w:val="single" w:sz="6" w:space="0" w:color="auto"/>
              <w:right w:val="single" w:sz="6" w:space="0" w:color="auto"/>
            </w:tcBorders>
          </w:tcPr>
          <w:p w14:paraId="065650F0" w14:textId="77777777" w:rsidR="00A643FD" w:rsidRPr="00AE5B55" w:rsidRDefault="00A643FD" w:rsidP="00522D5E">
            <w:pPr>
              <w:pStyle w:val="TableText"/>
              <w:jc w:val="center"/>
            </w:pPr>
            <w:r w:rsidRPr="00AE5B55">
              <w:t>3</w:t>
            </w:r>
          </w:p>
        </w:tc>
        <w:tc>
          <w:tcPr>
            <w:tcW w:w="1710" w:type="dxa"/>
            <w:tcBorders>
              <w:top w:val="single" w:sz="6" w:space="0" w:color="auto"/>
              <w:left w:val="single" w:sz="6" w:space="0" w:color="auto"/>
              <w:bottom w:val="single" w:sz="6" w:space="0" w:color="auto"/>
              <w:right w:val="single" w:sz="6" w:space="0" w:color="auto"/>
            </w:tcBorders>
          </w:tcPr>
          <w:p w14:paraId="386BC022" w14:textId="77777777" w:rsidR="00A643FD" w:rsidRPr="00AE5B55" w:rsidRDefault="00A643FD" w:rsidP="00522D5E">
            <w:pPr>
              <w:pStyle w:val="TableText"/>
            </w:pPr>
            <w:r w:rsidRPr="00AE5B55">
              <w:t>RVSR</w:t>
            </w:r>
          </w:p>
        </w:tc>
        <w:tc>
          <w:tcPr>
            <w:tcW w:w="5050" w:type="dxa"/>
            <w:tcBorders>
              <w:top w:val="single" w:sz="6" w:space="0" w:color="auto"/>
              <w:left w:val="single" w:sz="6" w:space="0" w:color="auto"/>
              <w:bottom w:val="single" w:sz="6" w:space="0" w:color="auto"/>
              <w:right w:val="single" w:sz="6" w:space="0" w:color="auto"/>
            </w:tcBorders>
          </w:tcPr>
          <w:p w14:paraId="18B6B3FE" w14:textId="77777777" w:rsidR="00A643FD" w:rsidRPr="00AE5B55" w:rsidRDefault="00A643FD" w:rsidP="00522D5E">
            <w:pPr>
              <w:pStyle w:val="BulletText1"/>
            </w:pPr>
            <w:r w:rsidRPr="00AE5B55">
              <w:t>Revises the rating, if required, to reflect the current evaluation of all SC disabilities and disposing of all other matters at issue</w:t>
            </w:r>
          </w:p>
          <w:p w14:paraId="3423D05F" w14:textId="77777777" w:rsidR="00A643FD" w:rsidRPr="00AE5B55" w:rsidRDefault="00A643FD" w:rsidP="00522D5E">
            <w:pPr>
              <w:pStyle w:val="BulletText1"/>
            </w:pPr>
            <w:r w:rsidRPr="00AE5B55">
              <w:t>files the rating in the claims folder, and</w:t>
            </w:r>
          </w:p>
          <w:p w14:paraId="5CFD8FB9" w14:textId="77777777" w:rsidR="00A643FD" w:rsidRPr="00AE5B55" w:rsidRDefault="00A643FD" w:rsidP="00522D5E">
            <w:pPr>
              <w:pStyle w:val="BulletText1"/>
            </w:pPr>
            <w:r w:rsidRPr="00AE5B55">
              <w:t>returns the claims folder to the authorization activity.</w:t>
            </w:r>
          </w:p>
        </w:tc>
      </w:tr>
      <w:tr w:rsidR="00A643FD" w:rsidRPr="00AE5B55" w14:paraId="3CE22095" w14:textId="77777777" w:rsidTr="00522D5E">
        <w:trPr>
          <w:cantSplit/>
        </w:trPr>
        <w:tc>
          <w:tcPr>
            <w:tcW w:w="800" w:type="dxa"/>
            <w:tcBorders>
              <w:top w:val="single" w:sz="6" w:space="0" w:color="auto"/>
              <w:left w:val="single" w:sz="6" w:space="0" w:color="auto"/>
              <w:bottom w:val="single" w:sz="6" w:space="0" w:color="auto"/>
              <w:right w:val="single" w:sz="6" w:space="0" w:color="auto"/>
            </w:tcBorders>
          </w:tcPr>
          <w:p w14:paraId="64E1B08E" w14:textId="77777777" w:rsidR="00A643FD" w:rsidRPr="00AE5B55" w:rsidRDefault="00A643FD" w:rsidP="00522D5E">
            <w:pPr>
              <w:pStyle w:val="TableText"/>
              <w:jc w:val="center"/>
            </w:pPr>
            <w:r w:rsidRPr="00AE5B55">
              <w:t>4</w:t>
            </w:r>
          </w:p>
        </w:tc>
        <w:tc>
          <w:tcPr>
            <w:tcW w:w="1710" w:type="dxa"/>
            <w:tcBorders>
              <w:top w:val="single" w:sz="6" w:space="0" w:color="auto"/>
              <w:left w:val="single" w:sz="6" w:space="0" w:color="auto"/>
              <w:bottom w:val="single" w:sz="6" w:space="0" w:color="auto"/>
              <w:right w:val="single" w:sz="6" w:space="0" w:color="auto"/>
            </w:tcBorders>
          </w:tcPr>
          <w:p w14:paraId="413F2E1F" w14:textId="77777777" w:rsidR="00A643FD" w:rsidRPr="00AE5B55" w:rsidRDefault="00A643FD" w:rsidP="00522D5E">
            <w:pPr>
              <w:pStyle w:val="TableText"/>
            </w:pPr>
            <w:r w:rsidRPr="00AE5B55">
              <w:t>VSR</w:t>
            </w:r>
          </w:p>
        </w:tc>
        <w:tc>
          <w:tcPr>
            <w:tcW w:w="5050" w:type="dxa"/>
            <w:tcBorders>
              <w:top w:val="single" w:sz="6" w:space="0" w:color="auto"/>
              <w:left w:val="single" w:sz="6" w:space="0" w:color="auto"/>
              <w:bottom w:val="single" w:sz="6" w:space="0" w:color="auto"/>
              <w:right w:val="single" w:sz="6" w:space="0" w:color="auto"/>
            </w:tcBorders>
          </w:tcPr>
          <w:p w14:paraId="2FD942BD" w14:textId="77777777" w:rsidR="00A643FD" w:rsidRPr="00AE5B55" w:rsidRDefault="00A643FD" w:rsidP="00522D5E">
            <w:pPr>
              <w:pStyle w:val="TableText"/>
            </w:pPr>
            <w:r w:rsidRPr="00AE5B55">
              <w:t>Adds a clear and unmistakable error (CUE) flash in Share.</w:t>
            </w:r>
          </w:p>
        </w:tc>
      </w:tr>
    </w:tbl>
    <w:p w14:paraId="4A08B863" w14:textId="77777777" w:rsidR="009F0346" w:rsidRPr="00AE5B55" w:rsidRDefault="009F0346" w:rsidP="009F0346">
      <w:pPr>
        <w:pStyle w:val="ContinuedOnNextPa"/>
      </w:pPr>
      <w:r w:rsidRPr="00AE5B55">
        <w:t>Continued on next page</w:t>
      </w:r>
    </w:p>
    <w:p w14:paraId="4B969A03" w14:textId="77777777" w:rsidR="009F0346" w:rsidRPr="00AE5B55" w:rsidRDefault="009F0346" w:rsidP="009F0346">
      <w:pPr>
        <w:pStyle w:val="MapTitleContinued"/>
        <w:rPr>
          <w:b w:val="0"/>
          <w:sz w:val="24"/>
        </w:rPr>
      </w:pPr>
      <w:r w:rsidRPr="00AE5B55">
        <w:br w:type="page"/>
      </w:r>
      <w:fldSimple w:instr=" STYLEREF &quot;Map Title&quot; ">
        <w:r w:rsidR="004F6499" w:rsidRPr="00AE5B55">
          <w:rPr>
            <w:noProof/>
          </w:rPr>
          <w:t>17.  Severance of Service Connection</w:t>
        </w:r>
      </w:fldSimple>
      <w:r w:rsidRPr="00AE5B55">
        <w:t xml:space="preserve">, </w:t>
      </w:r>
      <w:r w:rsidRPr="00AE5B55">
        <w:rPr>
          <w:b w:val="0"/>
          <w:sz w:val="24"/>
        </w:rPr>
        <w:t>Continued</w:t>
      </w:r>
    </w:p>
    <w:p w14:paraId="6B9F3C14" w14:textId="77777777" w:rsidR="00A643FD" w:rsidRPr="00AE5B55" w:rsidRDefault="007E6F0C" w:rsidP="009F0346">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43181DDA" w14:textId="77777777" w:rsidTr="00522D5E">
        <w:trPr>
          <w:cantSplit/>
        </w:trPr>
        <w:tc>
          <w:tcPr>
            <w:tcW w:w="1728" w:type="dxa"/>
          </w:tcPr>
          <w:p w14:paraId="56D0C70C" w14:textId="77777777" w:rsidR="00A643FD" w:rsidRPr="00AE5B55" w:rsidRDefault="005B2492" w:rsidP="00522D5E">
            <w:pPr>
              <w:pStyle w:val="Heading5"/>
            </w:pPr>
            <w:r w:rsidRPr="00AE5B55">
              <w:t xml:space="preserve">e.  </w:t>
            </w:r>
            <w:bookmarkStart w:id="11" w:name="e17"/>
            <w:bookmarkEnd w:id="11"/>
            <w:r w:rsidRPr="00AE5B55">
              <w:t>Handling Multiple Issues in Cases Involving Severance of Service Connection</w:t>
            </w:r>
          </w:p>
        </w:tc>
        <w:tc>
          <w:tcPr>
            <w:tcW w:w="7740" w:type="dxa"/>
          </w:tcPr>
          <w:p w14:paraId="2270F3E6" w14:textId="77777777" w:rsidR="00A643FD" w:rsidRPr="00AE5B55" w:rsidRDefault="00A643FD" w:rsidP="00522D5E">
            <w:pPr>
              <w:pStyle w:val="BlockText"/>
            </w:pPr>
            <w:r w:rsidRPr="00AE5B55">
              <w:t>Prepare a single rating decision identifying both issues if a decision involves severance of service connection for one disability and a reduction of evaluation for another disability.</w:t>
            </w:r>
          </w:p>
          <w:p w14:paraId="62497E8B" w14:textId="77777777" w:rsidR="00A643FD" w:rsidRPr="00AE5B55" w:rsidRDefault="00A643FD" w:rsidP="00522D5E">
            <w:pPr>
              <w:pStyle w:val="BlockText"/>
            </w:pPr>
          </w:p>
          <w:p w14:paraId="388878FB" w14:textId="77777777" w:rsidR="00A643FD" w:rsidRPr="00AE5B55" w:rsidRDefault="00A643FD" w:rsidP="00522D5E">
            <w:pPr>
              <w:pStyle w:val="BlockText"/>
            </w:pPr>
            <w:r w:rsidRPr="00AE5B55">
              <w:t>Notify the Veteran concerning both the reduction and the proposed severance.</w:t>
            </w:r>
          </w:p>
          <w:p w14:paraId="669610E5" w14:textId="77777777" w:rsidR="00A643FD" w:rsidRPr="00AE5B55" w:rsidRDefault="00A643FD" w:rsidP="00522D5E">
            <w:pPr>
              <w:pStyle w:val="BlockText"/>
            </w:pPr>
          </w:p>
          <w:p w14:paraId="2613079F" w14:textId="77777777" w:rsidR="00A643FD" w:rsidRPr="00AE5B55" w:rsidRDefault="00A643FD" w:rsidP="00522D5E">
            <w:pPr>
              <w:pStyle w:val="BlockText"/>
            </w:pPr>
            <w:r w:rsidRPr="00AE5B55">
              <w:rPr>
                <w:b/>
                <w:i/>
              </w:rPr>
              <w:t>Reference</w:t>
            </w:r>
            <w:r w:rsidRPr="00AE5B55">
              <w:t xml:space="preserve">:  For more information on notifying the Veteran of severance of service connection, see </w:t>
            </w:r>
            <w:hyperlink r:id="rId32" w:history="1">
              <w:r w:rsidRPr="00AE5B55">
                <w:rPr>
                  <w:rStyle w:val="Hyperlink"/>
                </w:rPr>
                <w:t>M21-1MR, Part IV, Subpart ii, 3.A.2</w:t>
              </w:r>
            </w:hyperlink>
            <w:r w:rsidRPr="00AE5B55">
              <w:t>.</w:t>
            </w:r>
          </w:p>
        </w:tc>
      </w:tr>
    </w:tbl>
    <w:p w14:paraId="0F3E0BCA" w14:textId="77777777" w:rsidR="00A643FD" w:rsidRPr="00AE5B55" w:rsidRDefault="00950926" w:rsidP="00A643FD">
      <w:pPr>
        <w:pStyle w:val="BlockLine"/>
      </w:pPr>
      <w:r w:rsidRPr="00AE5B55">
        <w:fldChar w:fldCharType="begin"/>
      </w:r>
      <w:r w:rsidRPr="00AE5B55">
        <w:instrText xml:space="preserve"> PRIVATE INFOTYPE="PRINCIPLE"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662190CE" w14:textId="77777777" w:rsidTr="00522D5E">
        <w:trPr>
          <w:cantSplit/>
        </w:trPr>
        <w:tc>
          <w:tcPr>
            <w:tcW w:w="1728" w:type="dxa"/>
          </w:tcPr>
          <w:p w14:paraId="5A5704D2" w14:textId="77777777" w:rsidR="00A643FD" w:rsidRPr="00AE5B55" w:rsidRDefault="005B2492" w:rsidP="00522D5E">
            <w:pPr>
              <w:pStyle w:val="Heading5"/>
            </w:pPr>
            <w:r w:rsidRPr="00AE5B55">
              <w:t xml:space="preserve">f.  </w:t>
            </w:r>
            <w:bookmarkStart w:id="12" w:name="f17"/>
            <w:bookmarkEnd w:id="12"/>
            <w:r w:rsidRPr="00AE5B55">
              <w:t>Handling Increases in Compensation in Cases Involving Severance of Service Connection</w:t>
            </w:r>
          </w:p>
        </w:tc>
        <w:tc>
          <w:tcPr>
            <w:tcW w:w="7740" w:type="dxa"/>
          </w:tcPr>
          <w:p w14:paraId="5760CE38" w14:textId="77777777" w:rsidR="00A643FD" w:rsidRPr="00AE5B55" w:rsidRDefault="00A643FD" w:rsidP="00522D5E">
            <w:pPr>
              <w:pStyle w:val="BlockText"/>
            </w:pPr>
            <w:r w:rsidRPr="00AE5B55">
              <w:t>Award increased compensation if severance of service connection is proposed for one or more disabilities but one or more other disabilities have increased in severity.</w:t>
            </w:r>
          </w:p>
          <w:p w14:paraId="37D423B2" w14:textId="77777777" w:rsidR="00A643FD" w:rsidRPr="00AE5B55" w:rsidRDefault="00A643FD" w:rsidP="00522D5E">
            <w:pPr>
              <w:pStyle w:val="BlockText"/>
            </w:pPr>
          </w:p>
          <w:p w14:paraId="606A25F9" w14:textId="77777777" w:rsidR="00A643FD" w:rsidRPr="00AE5B55" w:rsidRDefault="00A643FD" w:rsidP="00522D5E">
            <w:pPr>
              <w:pStyle w:val="BlockText"/>
            </w:pPr>
            <w:r w:rsidRPr="00AE5B55">
              <w:t xml:space="preserve">Notify the Veteran concerning </w:t>
            </w:r>
          </w:p>
          <w:p w14:paraId="633FB824" w14:textId="77777777" w:rsidR="00A643FD" w:rsidRPr="00AE5B55" w:rsidRDefault="00A643FD" w:rsidP="00522D5E">
            <w:pPr>
              <w:pStyle w:val="BlockText"/>
            </w:pPr>
          </w:p>
          <w:p w14:paraId="1E88327E" w14:textId="77777777" w:rsidR="00A643FD" w:rsidRPr="00AE5B55" w:rsidRDefault="00A643FD" w:rsidP="00522D5E">
            <w:pPr>
              <w:pStyle w:val="BulletText1"/>
            </w:pPr>
            <w:r w:rsidRPr="00AE5B55">
              <w:t>the proposed severance action</w:t>
            </w:r>
          </w:p>
          <w:p w14:paraId="6A05D773" w14:textId="77777777" w:rsidR="00A643FD" w:rsidRPr="00AE5B55" w:rsidRDefault="00A643FD" w:rsidP="00522D5E">
            <w:pPr>
              <w:pStyle w:val="BulletText1"/>
            </w:pPr>
            <w:r w:rsidRPr="00AE5B55">
              <w:t>the increased evaluation, and</w:t>
            </w:r>
          </w:p>
          <w:p w14:paraId="7D274225" w14:textId="77777777" w:rsidR="00A643FD" w:rsidRPr="00AE5B55" w:rsidRDefault="00A643FD" w:rsidP="00522D5E">
            <w:pPr>
              <w:pStyle w:val="BulletText1"/>
            </w:pPr>
            <w:r w:rsidRPr="00AE5B55">
              <w:t>any reduction that will result from the severance action.</w:t>
            </w:r>
          </w:p>
        </w:tc>
      </w:tr>
    </w:tbl>
    <w:p w14:paraId="30BD2958" w14:textId="77777777" w:rsidR="00A643FD" w:rsidRPr="00AE5B55" w:rsidRDefault="00950926" w:rsidP="00A643FD">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269E6D7D" w14:textId="77777777" w:rsidTr="00522D5E">
        <w:trPr>
          <w:cantSplit/>
        </w:trPr>
        <w:tc>
          <w:tcPr>
            <w:tcW w:w="1728" w:type="dxa"/>
          </w:tcPr>
          <w:p w14:paraId="63E7EE22" w14:textId="77777777" w:rsidR="00A643FD" w:rsidRPr="00AE5B55" w:rsidRDefault="005B2492" w:rsidP="00522D5E">
            <w:pPr>
              <w:pStyle w:val="Heading5"/>
            </w:pPr>
            <w:r w:rsidRPr="00AE5B55">
              <w:t xml:space="preserve">g.  </w:t>
            </w:r>
            <w:bookmarkStart w:id="13" w:name="g17"/>
            <w:bookmarkEnd w:id="13"/>
            <w:r w:rsidRPr="00AE5B55">
              <w:t>Preparing the Final Rating Decision in Cases Involving Severance of Service Connection</w:t>
            </w:r>
          </w:p>
        </w:tc>
        <w:tc>
          <w:tcPr>
            <w:tcW w:w="7740" w:type="dxa"/>
          </w:tcPr>
          <w:p w14:paraId="53A76E09" w14:textId="77777777" w:rsidR="00A643FD" w:rsidRPr="00AE5B55" w:rsidRDefault="00A643FD" w:rsidP="00522D5E">
            <w:pPr>
              <w:pStyle w:val="BlockText"/>
            </w:pPr>
            <w:r w:rsidRPr="00AE5B55">
              <w:t>After the 60-day period of notice during which the claimant could have submitted additional evidence, the case is referred to the rating activity for preparation of the final rating severing service connection.</w:t>
            </w:r>
          </w:p>
          <w:p w14:paraId="59352762" w14:textId="77777777" w:rsidR="00A643FD" w:rsidRPr="00AE5B55" w:rsidRDefault="00A643FD" w:rsidP="00522D5E">
            <w:pPr>
              <w:pStyle w:val="BlockText"/>
            </w:pPr>
          </w:p>
          <w:p w14:paraId="6734CBD1" w14:textId="77777777" w:rsidR="00A643FD" w:rsidRPr="00AE5B55" w:rsidRDefault="00A643FD" w:rsidP="00522D5E">
            <w:pPr>
              <w:pStyle w:val="BlockText"/>
            </w:pPr>
            <w:r w:rsidRPr="00AE5B55">
              <w:t>Include in the new combined SC evaluation only those evaluations for disabilities that remain SC.</w:t>
            </w:r>
          </w:p>
          <w:p w14:paraId="6F7BFC5F" w14:textId="77777777" w:rsidR="00A643FD" w:rsidRPr="00AE5B55" w:rsidRDefault="00A643FD" w:rsidP="00522D5E">
            <w:pPr>
              <w:pStyle w:val="BlockText"/>
            </w:pPr>
          </w:p>
          <w:p w14:paraId="028DB47D" w14:textId="77777777" w:rsidR="00A643FD" w:rsidRPr="00AE5B55" w:rsidRDefault="00A643FD" w:rsidP="00522D5E">
            <w:pPr>
              <w:pStyle w:val="BlockText"/>
            </w:pPr>
            <w:r w:rsidRPr="00AE5B55">
              <w:rPr>
                <w:b/>
                <w:i/>
              </w:rPr>
              <w:t>Note</w:t>
            </w:r>
            <w:r w:rsidRPr="00AE5B55">
              <w:t>:  This will ensure that no retroactive increase or benefit attributable to the severed disability will be awarded after basic entitlement is terminated.</w:t>
            </w:r>
          </w:p>
          <w:p w14:paraId="1151C926" w14:textId="77777777" w:rsidR="00A643FD" w:rsidRPr="00AE5B55" w:rsidRDefault="00A643FD" w:rsidP="00522D5E">
            <w:pPr>
              <w:pStyle w:val="BlockText"/>
              <w:rPr>
                <w:bCs/>
                <w:iCs/>
              </w:rPr>
            </w:pPr>
          </w:p>
          <w:p w14:paraId="099E70F4" w14:textId="77777777" w:rsidR="00A643FD" w:rsidRPr="00AE5B55" w:rsidRDefault="00A643FD" w:rsidP="00522D5E">
            <w:pPr>
              <w:pStyle w:val="BlockText"/>
              <w:rPr>
                <w:bCs/>
                <w:iCs/>
              </w:rPr>
            </w:pPr>
            <w:r w:rsidRPr="00AE5B55">
              <w:rPr>
                <w:bCs/>
                <w:iCs/>
              </w:rPr>
              <w:t>Refer the final rating severing service connection to the VSCM or VSCM-designee for approval only if new evidence has been received since the proposed decision was approved.</w:t>
            </w:r>
          </w:p>
          <w:p w14:paraId="1E600953" w14:textId="77777777" w:rsidR="00A643FD" w:rsidRPr="00AE5B55" w:rsidRDefault="00A643FD" w:rsidP="00522D5E">
            <w:pPr>
              <w:pStyle w:val="BlockText"/>
              <w:rPr>
                <w:bCs/>
                <w:iCs/>
              </w:rPr>
            </w:pPr>
          </w:p>
          <w:p w14:paraId="65526FF8" w14:textId="77777777" w:rsidR="00A643FD" w:rsidRPr="00AE5B55" w:rsidRDefault="00A643FD" w:rsidP="00522D5E">
            <w:pPr>
              <w:pStyle w:val="BlockText"/>
            </w:pPr>
            <w:r w:rsidRPr="00AE5B55">
              <w:rPr>
                <w:b/>
                <w:i/>
              </w:rPr>
              <w:t>Reference</w:t>
            </w:r>
            <w:r w:rsidRPr="00AE5B55">
              <w:t xml:space="preserve">:  For more information on the effective date of the reduced evaluation after severance of service connection, see </w:t>
            </w:r>
            <w:hyperlink r:id="rId33" w:history="1">
              <w:r w:rsidR="00531CEB" w:rsidRPr="00AE5B55">
                <w:rPr>
                  <w:rStyle w:val="Hyperlink"/>
                </w:rPr>
                <w:t>38 CFR</w:t>
              </w:r>
              <w:r w:rsidRPr="00AE5B55">
                <w:rPr>
                  <w:rStyle w:val="Hyperlink"/>
                </w:rPr>
                <w:t xml:space="preserve"> 3.500(r)</w:t>
              </w:r>
            </w:hyperlink>
            <w:r w:rsidRPr="00AE5B55">
              <w:t>.</w:t>
            </w:r>
          </w:p>
        </w:tc>
      </w:tr>
    </w:tbl>
    <w:p w14:paraId="26DB1992" w14:textId="77777777" w:rsidR="00A643FD" w:rsidRPr="00AE5B55" w:rsidRDefault="00A643FD" w:rsidP="00A643FD">
      <w:pPr>
        <w:pStyle w:val="ContinuedOnNextPa"/>
      </w:pPr>
      <w:r w:rsidRPr="00AE5B55">
        <w:t>Continued on next page</w:t>
      </w:r>
    </w:p>
    <w:p w14:paraId="3E70C29E" w14:textId="77777777" w:rsidR="00A643FD" w:rsidRPr="00AE5B55" w:rsidRDefault="00A643FD" w:rsidP="00A643FD">
      <w:pPr>
        <w:pStyle w:val="MapTitleContinued"/>
        <w:rPr>
          <w:b w:val="0"/>
          <w:sz w:val="24"/>
        </w:rPr>
      </w:pPr>
      <w:r w:rsidRPr="00AE5B55">
        <w:br w:type="page"/>
      </w:r>
      <w:r w:rsidRPr="00AE5B55">
        <w:lastRenderedPageBreak/>
        <w:fldChar w:fldCharType="begin"/>
      </w:r>
      <w:r w:rsidRPr="00AE5B55">
        <w:instrText>styleref "Map Title"</w:instrText>
      </w:r>
      <w:r w:rsidRPr="00AE5B55">
        <w:fldChar w:fldCharType="separate"/>
      </w:r>
      <w:r w:rsidR="004F6499" w:rsidRPr="00AE5B55">
        <w:rPr>
          <w:noProof/>
        </w:rPr>
        <w:t>17.  Severance of Service Connection</w:t>
      </w:r>
      <w:r w:rsidRPr="00AE5B55">
        <w:fldChar w:fldCharType="end"/>
      </w:r>
      <w:r w:rsidRPr="00AE5B55">
        <w:t xml:space="preserve">, </w:t>
      </w:r>
      <w:r w:rsidRPr="00AE5B55">
        <w:rPr>
          <w:b w:val="0"/>
          <w:sz w:val="24"/>
        </w:rPr>
        <w:t>Continued</w:t>
      </w:r>
    </w:p>
    <w:p w14:paraId="06E6F34E" w14:textId="77777777" w:rsidR="00A643FD" w:rsidRPr="00AE5B55" w:rsidRDefault="00950926" w:rsidP="00A643FD">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1BE50B5D" w14:textId="77777777" w:rsidTr="00522D5E">
        <w:trPr>
          <w:cantSplit/>
        </w:trPr>
        <w:tc>
          <w:tcPr>
            <w:tcW w:w="1728" w:type="dxa"/>
          </w:tcPr>
          <w:p w14:paraId="6510AAE2" w14:textId="77777777" w:rsidR="00A643FD" w:rsidRPr="00AE5B55" w:rsidRDefault="005B2492" w:rsidP="00522D5E">
            <w:pPr>
              <w:pStyle w:val="Heading5"/>
            </w:pPr>
            <w:r w:rsidRPr="00AE5B55">
              <w:t xml:space="preserve">h.  </w:t>
            </w:r>
            <w:bookmarkStart w:id="14" w:name="h17"/>
            <w:bookmarkEnd w:id="14"/>
            <w:r w:rsidRPr="00AE5B55">
              <w:t>Handling Severance Proposals Upon the Veteran’s Death</w:t>
            </w:r>
          </w:p>
        </w:tc>
        <w:tc>
          <w:tcPr>
            <w:tcW w:w="7740" w:type="dxa"/>
          </w:tcPr>
          <w:p w14:paraId="4B789F1B" w14:textId="77777777" w:rsidR="00A643FD" w:rsidRPr="00AE5B55" w:rsidRDefault="00A643FD" w:rsidP="00522D5E">
            <w:pPr>
              <w:pStyle w:val="BlockText"/>
            </w:pPr>
            <w:r w:rsidRPr="00AE5B55">
              <w:t>Upon the Veteran’s death</w:t>
            </w:r>
          </w:p>
          <w:p w14:paraId="6D7CA413" w14:textId="77777777" w:rsidR="00A643FD" w:rsidRPr="00AE5B55" w:rsidRDefault="00A643FD" w:rsidP="00522D5E">
            <w:pPr>
              <w:pStyle w:val="BlockText"/>
            </w:pPr>
          </w:p>
          <w:p w14:paraId="61AF61DD" w14:textId="77777777" w:rsidR="00A643FD" w:rsidRPr="00AE5B55" w:rsidRDefault="00A643FD" w:rsidP="00522D5E">
            <w:pPr>
              <w:pStyle w:val="BulletText1"/>
            </w:pPr>
            <w:r w:rsidRPr="00AE5B55">
              <w:t>discontinue all action on severance proposals not finalized, unless the severance would affect death benefits, or</w:t>
            </w:r>
          </w:p>
          <w:p w14:paraId="204A49F5" w14:textId="77777777" w:rsidR="00A643FD" w:rsidRPr="00AE5B55" w:rsidRDefault="00A643FD" w:rsidP="00522D5E">
            <w:pPr>
              <w:pStyle w:val="BulletText1"/>
            </w:pPr>
            <w:r w:rsidRPr="00AE5B55">
              <w:t>make a proposal to sever service connection only if such a proposal, if finalized, will result in entitlement to a lesser benefit or the complete disallowance of a claim for death benefits.</w:t>
            </w:r>
          </w:p>
          <w:p w14:paraId="5D03FA58" w14:textId="77777777" w:rsidR="00A643FD" w:rsidRPr="00AE5B55" w:rsidRDefault="00A643FD" w:rsidP="00522D5E">
            <w:pPr>
              <w:pStyle w:val="BlockText"/>
            </w:pPr>
          </w:p>
          <w:p w14:paraId="7CA7E09A" w14:textId="77777777" w:rsidR="00A643FD" w:rsidRPr="00AE5B55" w:rsidRDefault="00A643FD" w:rsidP="00522D5E">
            <w:pPr>
              <w:pStyle w:val="BlockText"/>
            </w:pPr>
            <w:r w:rsidRPr="00AE5B55">
              <w:rPr>
                <w:b/>
                <w:i/>
              </w:rPr>
              <w:t>Notes</w:t>
            </w:r>
            <w:r w:rsidRPr="00AE5B55">
              <w:t xml:space="preserve">:  </w:t>
            </w:r>
          </w:p>
          <w:p w14:paraId="4F605D98" w14:textId="77777777" w:rsidR="00A643FD" w:rsidRPr="00AE5B55" w:rsidRDefault="00A643FD" w:rsidP="00522D5E">
            <w:pPr>
              <w:pStyle w:val="BulletText1"/>
            </w:pPr>
            <w:r w:rsidRPr="00AE5B55">
              <w:t xml:space="preserve">Proposals initiated but not finalized prior to notice of the Veteran’s death, upon notice of the Veteran’s death, will be reconsidered </w:t>
            </w:r>
            <w:r w:rsidRPr="00AE5B55">
              <w:rPr>
                <w:i/>
              </w:rPr>
              <w:t>de novo</w:t>
            </w:r>
            <w:r w:rsidRPr="00AE5B55">
              <w:t xml:space="preserve"> taking into consideration all available new evidence, such as medical reports of last illness, death certificate, and autopsy report, if indicated.</w:t>
            </w:r>
          </w:p>
          <w:p w14:paraId="3EF36E8E" w14:textId="77777777" w:rsidR="00A643FD" w:rsidRPr="00AE5B55" w:rsidRDefault="00A643FD" w:rsidP="00522D5E">
            <w:pPr>
              <w:pStyle w:val="BulletText1"/>
            </w:pPr>
            <w:r w:rsidRPr="00AE5B55">
              <w:t>The claimant is notified of the severance proposal and given 60 days to submit further evidence, even though the Veteran was given a prior 60-day notice.</w:t>
            </w:r>
          </w:p>
        </w:tc>
      </w:tr>
    </w:tbl>
    <w:p w14:paraId="3CF1B717" w14:textId="77777777" w:rsidR="004A5A1B" w:rsidRPr="00AE5B55" w:rsidRDefault="00950926" w:rsidP="004A5A1B">
      <w:pPr>
        <w:pStyle w:val="BlockLine"/>
      </w:pPr>
      <w:r w:rsidRPr="00AE5B55">
        <w:fldChar w:fldCharType="begin"/>
      </w:r>
      <w:r w:rsidRPr="00AE5B55">
        <w:instrText xml:space="preserve"> PRIVATE INFOTYPE="PRINCIPLE" </w:instrText>
      </w:r>
      <w:r w:rsidRPr="00AE5B55">
        <w:fldChar w:fldCharType="end"/>
      </w:r>
    </w:p>
    <w:tbl>
      <w:tblPr>
        <w:tblW w:w="0" w:type="auto"/>
        <w:tblLayout w:type="fixed"/>
        <w:tblLook w:val="0000" w:firstRow="0" w:lastRow="0" w:firstColumn="0" w:lastColumn="0" w:noHBand="0" w:noVBand="0"/>
      </w:tblPr>
      <w:tblGrid>
        <w:gridCol w:w="1720"/>
        <w:gridCol w:w="7748"/>
      </w:tblGrid>
      <w:tr w:rsidR="004A5A1B" w:rsidRPr="00AE5B55" w14:paraId="1F2E314F" w14:textId="77777777" w:rsidTr="004A5A1B">
        <w:tc>
          <w:tcPr>
            <w:tcW w:w="1720" w:type="dxa"/>
            <w:shd w:val="clear" w:color="auto" w:fill="auto"/>
          </w:tcPr>
          <w:p w14:paraId="2009D210" w14:textId="77777777" w:rsidR="004A5A1B" w:rsidRPr="00AE5B55" w:rsidRDefault="004A5A1B" w:rsidP="00C34F99">
            <w:pPr>
              <w:pStyle w:val="Heading5"/>
            </w:pPr>
            <w:r w:rsidRPr="00AE5B55">
              <w:t xml:space="preserve">i.  </w:t>
            </w:r>
            <w:bookmarkStart w:id="15" w:name="i17"/>
            <w:bookmarkEnd w:id="15"/>
            <w:r w:rsidRPr="00AE5B55">
              <w:t xml:space="preserve">Handling Severance of Clearly Illegal Grants </w:t>
            </w:r>
            <w:r w:rsidR="00B5740B" w:rsidRPr="00AE5B55">
              <w:t>of Service Connect</w:t>
            </w:r>
            <w:r w:rsidR="00C34F99" w:rsidRPr="00AE5B55">
              <w:t>io</w:t>
            </w:r>
            <w:r w:rsidR="00B5740B" w:rsidRPr="00AE5B55">
              <w:t>n</w:t>
            </w:r>
          </w:p>
        </w:tc>
        <w:tc>
          <w:tcPr>
            <w:tcW w:w="7748" w:type="dxa"/>
            <w:shd w:val="clear" w:color="auto" w:fill="auto"/>
          </w:tcPr>
          <w:p w14:paraId="33CC6816" w14:textId="77777777" w:rsidR="00F83A19" w:rsidRPr="00AE5B55" w:rsidRDefault="00F83A19" w:rsidP="005D5FCF">
            <w:pPr>
              <w:pStyle w:val="BlockText"/>
            </w:pPr>
            <w:r w:rsidRPr="00AE5B55">
              <w:t>When an award of service connection was clearly illegal</w:t>
            </w:r>
            <w:r w:rsidR="00884B85" w:rsidRPr="00AE5B55">
              <w:t xml:space="preserve"> (when there is no legal entitlement)</w:t>
            </w:r>
          </w:p>
          <w:p w14:paraId="43C1D747" w14:textId="77777777" w:rsidR="00F83A19" w:rsidRPr="00AE5B55" w:rsidRDefault="00F83A19" w:rsidP="005D5FCF">
            <w:pPr>
              <w:pStyle w:val="BlockText"/>
            </w:pPr>
          </w:p>
          <w:p w14:paraId="7E6C9CF9" w14:textId="77777777" w:rsidR="00F83A19" w:rsidRPr="00AE5B55" w:rsidRDefault="003F7891" w:rsidP="00F83A19">
            <w:pPr>
              <w:pStyle w:val="BulletText1"/>
            </w:pPr>
            <w:r w:rsidRPr="00AE5B55">
              <w:t>initiate severance</w:t>
            </w:r>
          </w:p>
          <w:p w14:paraId="27CF0906" w14:textId="77777777" w:rsidR="00F83A19" w:rsidRPr="00AE5B55" w:rsidRDefault="003F7891" w:rsidP="00F83A19">
            <w:pPr>
              <w:pStyle w:val="BulletText1"/>
            </w:pPr>
            <w:r w:rsidRPr="00AE5B55">
              <w:t xml:space="preserve">do not apply the </w:t>
            </w:r>
            <w:r w:rsidR="00F83A19" w:rsidRPr="00AE5B55">
              <w:t xml:space="preserve">clear and unmistakable error provisions of </w:t>
            </w:r>
            <w:hyperlink r:id="rId34" w:history="1">
              <w:r w:rsidR="00F83A19" w:rsidRPr="00AE5B55">
                <w:rPr>
                  <w:rStyle w:val="Hyperlink"/>
                </w:rPr>
                <w:t>38 CFR 3.105(d</w:t>
              </w:r>
            </w:hyperlink>
            <w:r w:rsidR="00F83A19" w:rsidRPr="00AE5B55">
              <w:t>)</w:t>
            </w:r>
            <w:r w:rsidRPr="00AE5B55">
              <w:t>, and</w:t>
            </w:r>
          </w:p>
          <w:p w14:paraId="4C99FBBA" w14:textId="77777777" w:rsidR="00F83A19" w:rsidRPr="00AE5B55" w:rsidRDefault="003F7891" w:rsidP="00F83A19">
            <w:pPr>
              <w:pStyle w:val="BulletText1"/>
            </w:pPr>
            <w:r w:rsidRPr="00AE5B55">
              <w:t>provide due process under</w:t>
            </w:r>
            <w:r w:rsidR="00F83A19" w:rsidRPr="00AE5B55">
              <w:t xml:space="preserve"> </w:t>
            </w:r>
            <w:hyperlink r:id="rId35" w:history="1">
              <w:r w:rsidR="00F83A19" w:rsidRPr="00AE5B55">
                <w:rPr>
                  <w:rStyle w:val="Hyperlink"/>
                </w:rPr>
                <w:t>38 CFR 3.103</w:t>
              </w:r>
            </w:hyperlink>
          </w:p>
          <w:p w14:paraId="4A5AF286" w14:textId="77777777" w:rsidR="00F83A19" w:rsidRPr="00AE5B55" w:rsidRDefault="003F7891" w:rsidP="00F83A19">
            <w:pPr>
              <w:pStyle w:val="BulletText2"/>
            </w:pPr>
            <w:r w:rsidRPr="00AE5B55">
              <w:t xml:space="preserve">notify </w:t>
            </w:r>
            <w:r w:rsidR="00F83A19" w:rsidRPr="00AE5B55">
              <w:t xml:space="preserve">the </w:t>
            </w:r>
            <w:r w:rsidRPr="00AE5B55">
              <w:t xml:space="preserve">claimant </w:t>
            </w:r>
            <w:r w:rsidR="00F83A19" w:rsidRPr="00AE5B55">
              <w:t>that there was no legal entitlement to the prior grant of benefits as service connection was clearly illegal</w:t>
            </w:r>
            <w:r w:rsidR="00DF20A8" w:rsidRPr="00AE5B55">
              <w:t>.</w:t>
            </w:r>
          </w:p>
          <w:p w14:paraId="1E16E45C" w14:textId="77777777" w:rsidR="003F7891" w:rsidRPr="00AE5B55" w:rsidRDefault="003F7891" w:rsidP="00F83A19">
            <w:pPr>
              <w:pStyle w:val="BlockText"/>
            </w:pPr>
          </w:p>
          <w:p w14:paraId="6F43638D" w14:textId="77777777" w:rsidR="00F83A19" w:rsidRPr="00AE5B55" w:rsidRDefault="00890918" w:rsidP="00F83A19">
            <w:pPr>
              <w:pStyle w:val="BlockText"/>
            </w:pPr>
            <w:r w:rsidRPr="00AE5B55">
              <w:rPr>
                <w:b/>
                <w:i/>
              </w:rPr>
              <w:t>Example</w:t>
            </w:r>
            <w:r w:rsidR="003F7891" w:rsidRPr="00AE5B55">
              <w:t xml:space="preserve">:  In </w:t>
            </w:r>
            <w:hyperlink r:id="rId36" w:anchor="bma" w:history="1">
              <w:r w:rsidR="003F7891" w:rsidRPr="00AE5B55">
                <w:rPr>
                  <w:rStyle w:val="Hyperlink"/>
                  <w:i/>
                </w:rPr>
                <w:t>Allen and Key v. Nicholson</w:t>
              </w:r>
            </w:hyperlink>
            <w:r w:rsidR="003F7891" w:rsidRPr="00AE5B55">
              <w:rPr>
                <w:i/>
              </w:rPr>
              <w:t>,</w:t>
            </w:r>
            <w:r w:rsidR="003F7891" w:rsidRPr="00AE5B55">
              <w:t xml:space="preserve"> 21 Vet. App. 54, 57 (2007) the </w:t>
            </w:r>
            <w:r w:rsidR="00DF20A8" w:rsidRPr="00AE5B55">
              <w:t xml:space="preserve">court </w:t>
            </w:r>
            <w:r w:rsidR="003F7891" w:rsidRPr="00AE5B55">
              <w:t xml:space="preserve">found that service connection was </w:t>
            </w:r>
            <w:r w:rsidR="00DF20A8" w:rsidRPr="00AE5B55">
              <w:t xml:space="preserve">clearly </w:t>
            </w:r>
            <w:r w:rsidR="003F7891" w:rsidRPr="00AE5B55">
              <w:t xml:space="preserve">illegal because the </w:t>
            </w:r>
            <w:r w:rsidR="00DF20A8" w:rsidRPr="00AE5B55">
              <w:t xml:space="preserve">appellants </w:t>
            </w:r>
            <w:r w:rsidR="003F7891" w:rsidRPr="00AE5B55">
              <w:t xml:space="preserve">were not </w:t>
            </w:r>
            <w:r w:rsidR="00807EB2" w:rsidRPr="00AE5B55">
              <w:t>V</w:t>
            </w:r>
            <w:r w:rsidR="003F7891" w:rsidRPr="00AE5B55">
              <w:t>eterans.  They had no qualifying active duty to establish basic eligibility</w:t>
            </w:r>
            <w:r w:rsidR="00DF20A8" w:rsidRPr="00AE5B55">
              <w:t xml:space="preserve"> to</w:t>
            </w:r>
            <w:r w:rsidR="003F7891" w:rsidRPr="00AE5B55">
              <w:t xml:space="preserve"> VA  benefits.</w:t>
            </w:r>
          </w:p>
          <w:p w14:paraId="074F1907" w14:textId="77777777" w:rsidR="003F7891" w:rsidRPr="00AE5B55" w:rsidRDefault="003F7891" w:rsidP="00F83A19">
            <w:pPr>
              <w:pStyle w:val="BlockText"/>
            </w:pPr>
          </w:p>
          <w:p w14:paraId="007FDE50" w14:textId="77777777" w:rsidR="003F7891" w:rsidRPr="00AE5B55" w:rsidRDefault="00F83A19" w:rsidP="00F83A19">
            <w:pPr>
              <w:pStyle w:val="BlockText"/>
            </w:pPr>
            <w:r w:rsidRPr="00AE5B55">
              <w:rPr>
                <w:b/>
                <w:i/>
              </w:rPr>
              <w:t>Reference</w:t>
            </w:r>
            <w:r w:rsidR="003F7891" w:rsidRPr="00AE5B55">
              <w:rPr>
                <w:b/>
                <w:i/>
              </w:rPr>
              <w:t>s</w:t>
            </w:r>
            <w:r w:rsidRPr="00AE5B55">
              <w:t xml:space="preserve">:  For more information on </w:t>
            </w:r>
            <w:r w:rsidR="003F7891" w:rsidRPr="00AE5B55">
              <w:t>lack of legal entitlement, see</w:t>
            </w:r>
          </w:p>
          <w:p w14:paraId="44806274" w14:textId="77777777" w:rsidR="003F7891" w:rsidRPr="00AE5B55" w:rsidRDefault="00AE5B55" w:rsidP="003F7891">
            <w:pPr>
              <w:pStyle w:val="BulletText1"/>
            </w:pPr>
            <w:hyperlink r:id="rId37" w:anchor="bms" w:history="1">
              <w:r w:rsidR="003F7891" w:rsidRPr="00AE5B55">
                <w:rPr>
                  <w:rStyle w:val="Hyperlink"/>
                  <w:i/>
                </w:rPr>
                <w:t>Sabonis v. Brown</w:t>
              </w:r>
            </w:hyperlink>
            <w:r w:rsidR="003F7891" w:rsidRPr="00AE5B55">
              <w:t>, 6 Vet.App. 426 (1994)</w:t>
            </w:r>
            <w:r w:rsidR="00884B85" w:rsidRPr="00AE5B55">
              <w:t>, and</w:t>
            </w:r>
          </w:p>
          <w:p w14:paraId="0C4DC93F" w14:textId="77777777" w:rsidR="00DC0CF8" w:rsidRPr="00AE5B55" w:rsidRDefault="00AE5B55" w:rsidP="00DC0CF8">
            <w:pPr>
              <w:pStyle w:val="BulletText1"/>
            </w:pPr>
            <w:hyperlink r:id="rId38" w:anchor="bmv" w:history="1">
              <w:r w:rsidR="003F7891" w:rsidRPr="00AE5B55">
                <w:rPr>
                  <w:rStyle w:val="Hyperlink"/>
                  <w:i/>
                </w:rPr>
                <w:t>Valiao v. Principi</w:t>
              </w:r>
            </w:hyperlink>
            <w:r w:rsidR="003F7891" w:rsidRPr="00AE5B55">
              <w:t>, 17 Vet.App. 229 (2003)</w:t>
            </w:r>
            <w:r w:rsidR="00890918" w:rsidRPr="00AE5B55">
              <w:t>.</w:t>
            </w:r>
          </w:p>
        </w:tc>
      </w:tr>
    </w:tbl>
    <w:p w14:paraId="4A2658C0" w14:textId="77777777" w:rsidR="00A643FD" w:rsidRPr="00AE5B55" w:rsidRDefault="00A643FD" w:rsidP="004A5A1B">
      <w:pPr>
        <w:pStyle w:val="BlockLine"/>
      </w:pPr>
    </w:p>
    <w:p w14:paraId="3C27884E" w14:textId="77777777" w:rsidR="00A643FD" w:rsidRPr="00AE5B55" w:rsidRDefault="00A643FD" w:rsidP="00A643FD">
      <w:pPr>
        <w:pStyle w:val="Heading4"/>
      </w:pPr>
      <w:r w:rsidRPr="00AE5B55">
        <w:br w:type="page"/>
      </w:r>
      <w:r w:rsidRPr="00AE5B55">
        <w:lastRenderedPageBreak/>
        <w:t xml:space="preserve">18.  </w:t>
      </w:r>
      <w:bookmarkStart w:id="16" w:name="Topic18"/>
      <w:bookmarkEnd w:id="16"/>
      <w:r w:rsidRPr="00AE5B55">
        <w:t>Reversal of Prior Determinations Related to Character of Discharge, Line of Duty, or Willful Misconduct</w:t>
      </w:r>
    </w:p>
    <w:p w14:paraId="53A4E7E9" w14:textId="77777777" w:rsidR="00A643FD" w:rsidRPr="00AE5B55" w:rsidRDefault="00950926" w:rsidP="004A5A1B">
      <w:pPr>
        <w:pStyle w:val="BlockLine"/>
      </w:pPr>
      <w:r w:rsidRPr="00AE5B55">
        <w:fldChar w:fldCharType="begin"/>
      </w:r>
      <w:r w:rsidRPr="00AE5B55">
        <w:instrText xml:space="preserve"> PRIVATE INFOTYPE="OTHER"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3D5063A2" w14:textId="77777777" w:rsidTr="00522D5E">
        <w:trPr>
          <w:cantSplit/>
        </w:trPr>
        <w:tc>
          <w:tcPr>
            <w:tcW w:w="1728" w:type="dxa"/>
          </w:tcPr>
          <w:p w14:paraId="7861ABBC" w14:textId="77777777" w:rsidR="00A643FD" w:rsidRPr="00AE5B55" w:rsidRDefault="00A643FD" w:rsidP="00522D5E">
            <w:pPr>
              <w:pStyle w:val="Heading5"/>
            </w:pPr>
            <w:r w:rsidRPr="00AE5B55">
              <w:t>Introduction</w:t>
            </w:r>
          </w:p>
        </w:tc>
        <w:tc>
          <w:tcPr>
            <w:tcW w:w="7740" w:type="dxa"/>
          </w:tcPr>
          <w:p w14:paraId="5606402F" w14:textId="77777777" w:rsidR="00A643FD" w:rsidRPr="00AE5B55" w:rsidRDefault="00A643FD" w:rsidP="00522D5E">
            <w:pPr>
              <w:pStyle w:val="BlockText"/>
            </w:pPr>
            <w:r w:rsidRPr="00AE5B55">
              <w:t>This topic contains information about reversal of prior decisions, such as</w:t>
            </w:r>
          </w:p>
          <w:p w14:paraId="48D932B3" w14:textId="77777777" w:rsidR="00A643FD" w:rsidRPr="00AE5B55" w:rsidRDefault="00A643FD" w:rsidP="00522D5E">
            <w:pPr>
              <w:pStyle w:val="BlockText"/>
            </w:pPr>
          </w:p>
          <w:p w14:paraId="4F7ADEE2" w14:textId="1E7E2604" w:rsidR="00A643FD" w:rsidRPr="00AE5B55" w:rsidRDefault="00AE5B55" w:rsidP="00522D5E">
            <w:pPr>
              <w:pStyle w:val="BulletText1"/>
            </w:pPr>
            <w:hyperlink w:anchor="a18" w:history="1">
              <w:r w:rsidR="00A643FD" w:rsidRPr="00AE5B55">
                <w:rPr>
                  <w:rStyle w:val="Hyperlink"/>
                </w:rPr>
                <w:t>jurisdiction in clear and unmistakable error (CUE) cases that sever service connection</w:t>
              </w:r>
            </w:hyperlink>
          </w:p>
          <w:p w14:paraId="37C5667C" w14:textId="4CFAA8CE" w:rsidR="00A643FD" w:rsidRPr="00AE5B55" w:rsidRDefault="00AE5B55" w:rsidP="00522D5E">
            <w:pPr>
              <w:pStyle w:val="BulletText1"/>
            </w:pPr>
            <w:hyperlink w:anchor="b18" w:history="1">
              <w:r w:rsidR="00A643FD" w:rsidRPr="00AE5B55">
                <w:rPr>
                  <w:rStyle w:val="Hyperlink"/>
                </w:rPr>
                <w:t>preparing the rating decision</w:t>
              </w:r>
            </w:hyperlink>
            <w:r w:rsidR="00A643FD" w:rsidRPr="00AE5B55">
              <w:t>, and</w:t>
            </w:r>
          </w:p>
          <w:p w14:paraId="2AF9697B" w14:textId="47E72E20" w:rsidR="00A643FD" w:rsidRPr="00AE5B55" w:rsidRDefault="00AE5B55" w:rsidP="00522D5E">
            <w:pPr>
              <w:pStyle w:val="BulletText1"/>
            </w:pPr>
            <w:hyperlink w:anchor="c18" w:history="1">
              <w:r w:rsidR="00A643FD" w:rsidRPr="00AE5B55">
                <w:rPr>
                  <w:rStyle w:val="Hyperlink"/>
                </w:rPr>
                <w:t>handling cases of disagreement between the authorization and rating activities</w:t>
              </w:r>
            </w:hyperlink>
            <w:r w:rsidR="00A643FD" w:rsidRPr="00AE5B55">
              <w:t>.</w:t>
            </w:r>
          </w:p>
        </w:tc>
      </w:tr>
    </w:tbl>
    <w:p w14:paraId="500B106C" w14:textId="77777777" w:rsidR="00A643FD" w:rsidRPr="00AE5B55" w:rsidRDefault="00A643FD" w:rsidP="00A643FD">
      <w:pPr>
        <w:pStyle w:val="BlockLine"/>
      </w:pPr>
    </w:p>
    <w:tbl>
      <w:tblPr>
        <w:tblW w:w="0" w:type="auto"/>
        <w:tblLayout w:type="fixed"/>
        <w:tblLook w:val="0000" w:firstRow="0" w:lastRow="0" w:firstColumn="0" w:lastColumn="0" w:noHBand="0" w:noVBand="0"/>
      </w:tblPr>
      <w:tblGrid>
        <w:gridCol w:w="1728"/>
        <w:gridCol w:w="7740"/>
      </w:tblGrid>
      <w:tr w:rsidR="00A643FD" w:rsidRPr="00AE5B55" w14:paraId="23DF9664" w14:textId="77777777" w:rsidTr="00522D5E">
        <w:trPr>
          <w:cantSplit/>
        </w:trPr>
        <w:tc>
          <w:tcPr>
            <w:tcW w:w="1728" w:type="dxa"/>
          </w:tcPr>
          <w:p w14:paraId="5381DF84" w14:textId="77777777" w:rsidR="00A643FD" w:rsidRPr="00AE5B55" w:rsidRDefault="00A643FD" w:rsidP="00522D5E">
            <w:pPr>
              <w:pStyle w:val="Heading5"/>
            </w:pPr>
            <w:r w:rsidRPr="00AE5B55">
              <w:t>Change Date</w:t>
            </w:r>
          </w:p>
        </w:tc>
        <w:tc>
          <w:tcPr>
            <w:tcW w:w="7740" w:type="dxa"/>
          </w:tcPr>
          <w:p w14:paraId="3868B474" w14:textId="77777777" w:rsidR="00A643FD" w:rsidRPr="00AE5B55" w:rsidRDefault="00A643FD" w:rsidP="00522D5E">
            <w:pPr>
              <w:pStyle w:val="BlockText"/>
            </w:pPr>
            <w:r w:rsidRPr="00AE5B55">
              <w:t>August 1, 2006</w:t>
            </w:r>
          </w:p>
        </w:tc>
      </w:tr>
    </w:tbl>
    <w:p w14:paraId="53994269" w14:textId="77777777" w:rsidR="00A643FD" w:rsidRPr="00AE5B55" w:rsidRDefault="00950926" w:rsidP="00A643FD">
      <w:pPr>
        <w:pStyle w:val="BlockLine"/>
      </w:pPr>
      <w:r w:rsidRPr="00AE5B55">
        <w:fldChar w:fldCharType="begin"/>
      </w:r>
      <w:r w:rsidRPr="00AE5B55">
        <w:instrText xml:space="preserve"> PRIVATE INFOTYPE="PRINCIPLE"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0FCE5B6E" w14:textId="77777777" w:rsidTr="00522D5E">
        <w:trPr>
          <w:cantSplit/>
        </w:trPr>
        <w:tc>
          <w:tcPr>
            <w:tcW w:w="1728" w:type="dxa"/>
          </w:tcPr>
          <w:p w14:paraId="399585F2" w14:textId="77777777" w:rsidR="00A643FD" w:rsidRPr="00AE5B55" w:rsidRDefault="00A643FD" w:rsidP="00522D5E">
            <w:pPr>
              <w:pStyle w:val="Heading5"/>
            </w:pPr>
            <w:r w:rsidRPr="00AE5B55">
              <w:t xml:space="preserve">a.  </w:t>
            </w:r>
            <w:bookmarkStart w:id="17" w:name="a18"/>
            <w:bookmarkEnd w:id="17"/>
            <w:r w:rsidRPr="00AE5B55">
              <w:t>Jurisdiction in CUE Cases That Sever Service Connection</w:t>
            </w:r>
          </w:p>
        </w:tc>
        <w:tc>
          <w:tcPr>
            <w:tcW w:w="7740" w:type="dxa"/>
          </w:tcPr>
          <w:p w14:paraId="3840598D" w14:textId="77777777" w:rsidR="00A643FD" w:rsidRPr="00AE5B55" w:rsidRDefault="00A643FD" w:rsidP="00522D5E">
            <w:pPr>
              <w:pStyle w:val="BlockText"/>
            </w:pPr>
            <w:r w:rsidRPr="00AE5B55">
              <w:t xml:space="preserve">Prepare an administrative decision if the authorization activity, </w:t>
            </w:r>
            <w:r w:rsidR="00AB5C91" w:rsidRPr="00AE5B55">
              <w:t>rather than the rating activity</w:t>
            </w:r>
            <w:r w:rsidRPr="00AE5B55">
              <w:t xml:space="preserve"> </w:t>
            </w:r>
          </w:p>
          <w:p w14:paraId="17B83863" w14:textId="77777777" w:rsidR="00AB5C91" w:rsidRPr="00AE5B55" w:rsidRDefault="00AB5C91" w:rsidP="00522D5E">
            <w:pPr>
              <w:pStyle w:val="BlockText"/>
            </w:pPr>
          </w:p>
          <w:p w14:paraId="1157F05B" w14:textId="77777777" w:rsidR="00AB5C91" w:rsidRPr="00AE5B55" w:rsidRDefault="00AB5C91" w:rsidP="00AB5C91">
            <w:pPr>
              <w:pStyle w:val="BulletText1"/>
            </w:pPr>
            <w:r w:rsidRPr="00AE5B55">
              <w:t>has initial jurisdiction of a</w:t>
            </w:r>
          </w:p>
          <w:p w14:paraId="75AC83FC" w14:textId="77777777" w:rsidR="00A643FD" w:rsidRPr="00AE5B55" w:rsidRDefault="00A643FD" w:rsidP="00AB5C91">
            <w:pPr>
              <w:pStyle w:val="BulletText2"/>
            </w:pPr>
            <w:r w:rsidRPr="00AE5B55">
              <w:t xml:space="preserve">statutory bar to benefits and character-of-discharge determination under </w:t>
            </w:r>
            <w:hyperlink r:id="rId39" w:history="1">
              <w:r w:rsidRPr="00AE5B55">
                <w:rPr>
                  <w:rStyle w:val="Hyperlink"/>
                </w:rPr>
                <w:t>M21-1MR, Part III, Subpart v, 1.B</w:t>
              </w:r>
            </w:hyperlink>
          </w:p>
          <w:p w14:paraId="76504BD6" w14:textId="77777777" w:rsidR="00A643FD" w:rsidRPr="00AE5B55" w:rsidRDefault="00A643FD" w:rsidP="00AB5C91">
            <w:pPr>
              <w:pStyle w:val="BulletText2"/>
            </w:pPr>
            <w:r w:rsidRPr="00AE5B55">
              <w:t xml:space="preserve">line-of-duty determination under </w:t>
            </w:r>
            <w:hyperlink r:id="rId40" w:history="1">
              <w:r w:rsidRPr="00AE5B55">
                <w:rPr>
                  <w:rStyle w:val="Hyperlink"/>
                </w:rPr>
                <w:t>M21-1MR, Part III, Subpart v, 1.D.19</w:t>
              </w:r>
            </w:hyperlink>
            <w:r w:rsidRPr="00AE5B55">
              <w:t>, or</w:t>
            </w:r>
          </w:p>
          <w:p w14:paraId="017A4329" w14:textId="77777777" w:rsidR="00A643FD" w:rsidRPr="00AE5B55" w:rsidRDefault="00A643FD" w:rsidP="00AB5C91">
            <w:pPr>
              <w:pStyle w:val="BulletText2"/>
            </w:pPr>
            <w:r w:rsidRPr="00AE5B55">
              <w:t xml:space="preserve">willful misconduct determination under </w:t>
            </w:r>
            <w:hyperlink r:id="rId41" w:history="1">
              <w:r w:rsidRPr="00AE5B55">
                <w:rPr>
                  <w:rStyle w:val="Hyperlink"/>
                </w:rPr>
                <w:t>M21-1MR, Part III, Subpart v, 1.D</w:t>
              </w:r>
            </w:hyperlink>
            <w:r w:rsidR="00AB5C91" w:rsidRPr="00AE5B55">
              <w:t>, and</w:t>
            </w:r>
          </w:p>
          <w:p w14:paraId="4A6F3D75" w14:textId="77777777" w:rsidR="00A643FD" w:rsidRPr="00AE5B55" w:rsidRDefault="00A643FD" w:rsidP="00AB5C91">
            <w:pPr>
              <w:pStyle w:val="BulletText1"/>
            </w:pPr>
            <w:r w:rsidRPr="00AE5B55">
              <w:t>finds that there is clear and unmistakable error (CUE) in a prior determination which will result in the severance of service connection.</w:t>
            </w:r>
          </w:p>
          <w:p w14:paraId="289588E0" w14:textId="77777777" w:rsidR="00A643FD" w:rsidRPr="00AE5B55" w:rsidRDefault="00A643FD" w:rsidP="00522D5E">
            <w:pPr>
              <w:pStyle w:val="BlockText"/>
            </w:pPr>
          </w:p>
          <w:p w14:paraId="0BB0B060" w14:textId="77777777" w:rsidR="00A643FD" w:rsidRPr="00AE5B55" w:rsidRDefault="00A643FD" w:rsidP="00522D5E">
            <w:pPr>
              <w:pStyle w:val="BlockText"/>
            </w:pPr>
            <w:r w:rsidRPr="00AE5B55">
              <w:rPr>
                <w:b/>
                <w:i/>
              </w:rPr>
              <w:t>Note</w:t>
            </w:r>
            <w:r w:rsidRPr="00AE5B55">
              <w:t xml:space="preserve">:  The decision must contain a summary of findings and a statement as to the specific CUE that was identified.  </w:t>
            </w:r>
          </w:p>
          <w:p w14:paraId="146B12CB" w14:textId="77777777" w:rsidR="00A643FD" w:rsidRPr="00AE5B55" w:rsidRDefault="00A643FD" w:rsidP="00522D5E">
            <w:pPr>
              <w:pStyle w:val="BlockText"/>
            </w:pPr>
          </w:p>
          <w:p w14:paraId="6ABCA6E6" w14:textId="77777777" w:rsidR="00A643FD" w:rsidRPr="00AE5B55" w:rsidRDefault="00A643FD" w:rsidP="00522D5E">
            <w:pPr>
              <w:pStyle w:val="BlockText"/>
            </w:pPr>
            <w:r w:rsidRPr="00AE5B55">
              <w:rPr>
                <w:b/>
                <w:i/>
              </w:rPr>
              <w:t>References</w:t>
            </w:r>
            <w:r w:rsidRPr="00AE5B55">
              <w:t xml:space="preserve">:  For more information on </w:t>
            </w:r>
          </w:p>
          <w:p w14:paraId="625BA563" w14:textId="77777777" w:rsidR="00A643FD" w:rsidRPr="00AE5B55" w:rsidRDefault="00A643FD" w:rsidP="00522D5E">
            <w:pPr>
              <w:pStyle w:val="BulletText1"/>
            </w:pPr>
            <w:r w:rsidRPr="00AE5B55">
              <w:t xml:space="preserve">the preparation and approval of authorization determinations, see </w:t>
            </w:r>
            <w:hyperlink r:id="rId42" w:history="1">
              <w:r w:rsidRPr="00AE5B55">
                <w:rPr>
                  <w:rStyle w:val="Hyperlink"/>
                </w:rPr>
                <w:t>M21-1MR, Part III, Subpart v, 1.A.2</w:t>
              </w:r>
            </w:hyperlink>
            <w:r w:rsidRPr="00AE5B55">
              <w:t>, and</w:t>
            </w:r>
          </w:p>
          <w:p w14:paraId="70E4AD04" w14:textId="77777777" w:rsidR="00A643FD" w:rsidRPr="00AE5B55" w:rsidRDefault="00A643FD" w:rsidP="00522D5E">
            <w:pPr>
              <w:pStyle w:val="BulletText1"/>
            </w:pPr>
            <w:r w:rsidRPr="00AE5B55">
              <w:t xml:space="preserve">CUE, see </w:t>
            </w:r>
            <w:hyperlink r:id="rId43" w:history="1">
              <w:r w:rsidRPr="00AE5B55">
                <w:rPr>
                  <w:rStyle w:val="Hyperlink"/>
                </w:rPr>
                <w:t>M21-1MR, Part IV, Subpart ii, 3.A.2</w:t>
              </w:r>
            </w:hyperlink>
            <w:r w:rsidRPr="00AE5B55">
              <w:t>.</w:t>
            </w:r>
          </w:p>
        </w:tc>
      </w:tr>
    </w:tbl>
    <w:p w14:paraId="7A9650DE" w14:textId="77777777" w:rsidR="00A643FD" w:rsidRPr="00AE5B55" w:rsidRDefault="00950926" w:rsidP="00A643FD">
      <w:pPr>
        <w:pStyle w:val="BlockLine"/>
      </w:pPr>
      <w:r w:rsidRPr="00AE5B55">
        <w:fldChar w:fldCharType="begin"/>
      </w:r>
      <w:r w:rsidRPr="00AE5B55">
        <w:instrText xml:space="preserve"> PRIVATE INFOTYPE="PROCEDURE" </w:instrText>
      </w:r>
      <w:r w:rsidRPr="00AE5B55">
        <w:fldChar w:fldCharType="end"/>
      </w:r>
    </w:p>
    <w:tbl>
      <w:tblPr>
        <w:tblW w:w="0" w:type="auto"/>
        <w:tblLayout w:type="fixed"/>
        <w:tblLook w:val="0000" w:firstRow="0" w:lastRow="0" w:firstColumn="0" w:lastColumn="0" w:noHBand="0" w:noVBand="0"/>
      </w:tblPr>
      <w:tblGrid>
        <w:gridCol w:w="1728"/>
        <w:gridCol w:w="7740"/>
      </w:tblGrid>
      <w:tr w:rsidR="00A643FD" w:rsidRPr="00AE5B55" w14:paraId="7D8905BD" w14:textId="77777777" w:rsidTr="00522D5E">
        <w:trPr>
          <w:cantSplit/>
        </w:trPr>
        <w:tc>
          <w:tcPr>
            <w:tcW w:w="1728" w:type="dxa"/>
          </w:tcPr>
          <w:p w14:paraId="73A9408B" w14:textId="77777777" w:rsidR="00A643FD" w:rsidRPr="00AE5B55" w:rsidRDefault="00A643FD" w:rsidP="00522D5E">
            <w:pPr>
              <w:pStyle w:val="Heading5"/>
            </w:pPr>
            <w:r w:rsidRPr="00AE5B55">
              <w:t xml:space="preserve">b.  </w:t>
            </w:r>
            <w:bookmarkStart w:id="18" w:name="b18"/>
            <w:bookmarkEnd w:id="18"/>
            <w:r w:rsidRPr="00AE5B55">
              <w:t>Preparing the Rating Decision</w:t>
            </w:r>
          </w:p>
        </w:tc>
        <w:tc>
          <w:tcPr>
            <w:tcW w:w="7740" w:type="dxa"/>
          </w:tcPr>
          <w:p w14:paraId="3F1E03EA" w14:textId="77777777" w:rsidR="00A643FD" w:rsidRPr="00AE5B55" w:rsidRDefault="00A643FD" w:rsidP="00522D5E">
            <w:pPr>
              <w:pStyle w:val="BlockText"/>
            </w:pPr>
            <w:r w:rsidRPr="00AE5B55">
              <w:t xml:space="preserve">Refer the claims folder, if in order, to the rating activity for appropriate action including the preparation of a rating decision proposing the severance of service connection under </w:t>
            </w:r>
            <w:hyperlink r:id="rId44" w:history="1">
              <w:r w:rsidRPr="00AE5B55">
                <w:rPr>
                  <w:rStyle w:val="Hyperlink"/>
                </w:rPr>
                <w:t xml:space="preserve">38 </w:t>
              </w:r>
              <w:r w:rsidR="00531CEB" w:rsidRPr="00AE5B55">
                <w:rPr>
                  <w:rStyle w:val="Hyperlink"/>
                </w:rPr>
                <w:t>CFR</w:t>
              </w:r>
              <w:r w:rsidRPr="00AE5B55">
                <w:rPr>
                  <w:rStyle w:val="Hyperlink"/>
                </w:rPr>
                <w:t xml:space="preserve"> 3.105(c)</w:t>
              </w:r>
            </w:hyperlink>
            <w:r w:rsidRPr="00AE5B55">
              <w:t xml:space="preserve"> and </w:t>
            </w:r>
            <w:hyperlink r:id="rId45" w:history="1">
              <w:r w:rsidR="00531CEB" w:rsidRPr="00AE5B55">
                <w:rPr>
                  <w:rStyle w:val="Hyperlink"/>
                </w:rPr>
                <w:t>38 CFR</w:t>
              </w:r>
              <w:r w:rsidRPr="00AE5B55">
                <w:rPr>
                  <w:rStyle w:val="Hyperlink"/>
                </w:rPr>
                <w:t xml:space="preserve"> 3.105(d)</w:t>
              </w:r>
            </w:hyperlink>
            <w:r w:rsidRPr="00AE5B55">
              <w:t xml:space="preserve"> on the basis of the determination by the authorization activity.</w:t>
            </w:r>
          </w:p>
        </w:tc>
      </w:tr>
    </w:tbl>
    <w:p w14:paraId="0CAE2CC8" w14:textId="77777777" w:rsidR="00A643FD" w:rsidRPr="00AE5B55" w:rsidRDefault="00A643FD" w:rsidP="00A643FD">
      <w:pPr>
        <w:pStyle w:val="ContinuedOnNextPa"/>
      </w:pPr>
      <w:r w:rsidRPr="00AE5B55">
        <w:t>Continued on next page</w:t>
      </w:r>
    </w:p>
    <w:p w14:paraId="10F8B7B8" w14:textId="77777777" w:rsidR="00A643FD" w:rsidRPr="00AE5B55" w:rsidRDefault="00A643FD" w:rsidP="00A643FD">
      <w:pPr>
        <w:pStyle w:val="MapTitleContinued"/>
        <w:rPr>
          <w:b w:val="0"/>
          <w:sz w:val="24"/>
        </w:rPr>
      </w:pPr>
      <w:r w:rsidRPr="00AE5B55">
        <w:br w:type="page"/>
      </w:r>
      <w:fldSimple w:instr=" STYLEREF &quot;Map Title&quot; ">
        <w:r w:rsidR="004F6499" w:rsidRPr="00AE5B55">
          <w:rPr>
            <w:noProof/>
          </w:rPr>
          <w:t>18.  Reversal of Prior Determinations Related to Character of Discharge, Line of Duty, or Willful Misconduct</w:t>
        </w:r>
      </w:fldSimple>
      <w:r w:rsidRPr="00AE5B55">
        <w:t xml:space="preserve">, </w:t>
      </w:r>
      <w:r w:rsidRPr="00AE5B55">
        <w:rPr>
          <w:b w:val="0"/>
          <w:sz w:val="24"/>
        </w:rPr>
        <w:t>Continued</w:t>
      </w:r>
    </w:p>
    <w:p w14:paraId="30ACD720" w14:textId="77777777" w:rsidR="00A643FD" w:rsidRPr="00AE5B55" w:rsidRDefault="00950926" w:rsidP="00A643FD">
      <w:pPr>
        <w:pStyle w:val="BlockLine"/>
      </w:pPr>
      <w:r w:rsidRPr="00AE5B55">
        <w:fldChar w:fldCharType="begin"/>
      </w:r>
      <w:r w:rsidRPr="00AE5B55">
        <w:instrText xml:space="preserve"> PRIVATE INFOTYPE="PROCEDURE" </w:instrText>
      </w:r>
      <w:r w:rsidRPr="00AE5B55">
        <w:fldChar w:fldCharType="end"/>
      </w:r>
      <w:r w:rsidR="00A643FD" w:rsidRPr="00AE5B55">
        <w:t xml:space="preserve"> </w:t>
      </w:r>
    </w:p>
    <w:tbl>
      <w:tblPr>
        <w:tblW w:w="0" w:type="auto"/>
        <w:tblLayout w:type="fixed"/>
        <w:tblLook w:val="0000" w:firstRow="0" w:lastRow="0" w:firstColumn="0" w:lastColumn="0" w:noHBand="0" w:noVBand="0"/>
      </w:tblPr>
      <w:tblGrid>
        <w:gridCol w:w="1728"/>
        <w:gridCol w:w="7740"/>
      </w:tblGrid>
      <w:tr w:rsidR="00A643FD" w:rsidRPr="00AE5B55" w14:paraId="2EEA3D35" w14:textId="77777777" w:rsidTr="00522D5E">
        <w:trPr>
          <w:cantSplit/>
        </w:trPr>
        <w:tc>
          <w:tcPr>
            <w:tcW w:w="1728" w:type="dxa"/>
          </w:tcPr>
          <w:p w14:paraId="71C5B2D3" w14:textId="77777777" w:rsidR="00A643FD" w:rsidRPr="00AE5B55" w:rsidRDefault="00A643FD" w:rsidP="00522D5E">
            <w:pPr>
              <w:pStyle w:val="Heading5"/>
            </w:pPr>
            <w:r w:rsidRPr="00AE5B55">
              <w:t xml:space="preserve">c.  </w:t>
            </w:r>
            <w:bookmarkStart w:id="19" w:name="c18"/>
            <w:bookmarkEnd w:id="19"/>
            <w:r w:rsidRPr="00AE5B55">
              <w:t xml:space="preserve">Handling Cases of Disagreement Between the Authorization and Rating Activities </w:t>
            </w:r>
          </w:p>
        </w:tc>
        <w:tc>
          <w:tcPr>
            <w:tcW w:w="7740" w:type="dxa"/>
          </w:tcPr>
          <w:p w14:paraId="486A3E70" w14:textId="77777777" w:rsidR="00A643FD" w:rsidRPr="00AE5B55" w:rsidRDefault="00A643FD" w:rsidP="00522D5E">
            <w:pPr>
              <w:pStyle w:val="BlockText"/>
              <w:rPr>
                <w:b/>
              </w:rPr>
            </w:pPr>
            <w:r w:rsidRPr="00AE5B55">
              <w:t>Refer the case by memorandum to the VSCM for resolution of an issue if the rating activity disagrees with the determination by the authorization activity as to character of discharge, line of duty, or willful misconduct.</w:t>
            </w:r>
          </w:p>
        </w:tc>
      </w:tr>
    </w:tbl>
    <w:p w14:paraId="6B3AF105" w14:textId="77777777" w:rsidR="00A643FD" w:rsidRPr="00AE5B55" w:rsidRDefault="00A643FD" w:rsidP="00A643FD">
      <w:pPr>
        <w:pStyle w:val="BlockLine"/>
      </w:pPr>
    </w:p>
    <w:p w14:paraId="4F3D33B1" w14:textId="42AB830C" w:rsidR="00E11D70" w:rsidRPr="00A643FD" w:rsidRDefault="006760C6">
      <w:r w:rsidRPr="00AE5B55">
        <w:fldChar w:fldCharType="begin">
          <w:fldData xml:space="preserve">RABvAGMAVABlAG0AcAAxAFYAYQByAFQAcgBhAGQAaQB0AGkAbwBuAGEAbAA=
</w:fldData>
        </w:fldChar>
      </w:r>
      <w:r w:rsidRPr="00AE5B55">
        <w:instrText xml:space="preserve"> ADDIN  \* MERGEFORMAT </w:instrText>
      </w:r>
      <w:r w:rsidRPr="00AE5B55">
        <w:fldChar w:fldCharType="end"/>
      </w:r>
      <w:r w:rsidRPr="00AE5B55">
        <w:fldChar w:fldCharType="begin">
          <w:fldData xml:space="preserve">RgBvAG4AdABTAGUAdABpAG0AaQBzAHQAeQBsAGUAcwAuAHgAbQBsAA==
</w:fldData>
        </w:fldChar>
      </w:r>
      <w:r w:rsidRPr="00AE5B55">
        <w:instrText xml:space="preserve"> ADDIN  \* MERGEFORMAT </w:instrText>
      </w:r>
      <w:r w:rsidRPr="00AE5B55">
        <w:fldChar w:fldCharType="end"/>
      </w:r>
      <w:r w:rsidR="009E7987" w:rsidRPr="00AE5B55">
        <w:fldChar w:fldCharType="begin">
          <w:fldData xml:space="preserve">RABvAGMAVABlAG0AcAAxAFYAYQByAFQAcgBhAGQAaQB0AGkAbwBuAGEAbAA=
</w:fldData>
        </w:fldChar>
      </w:r>
      <w:r w:rsidR="009E7987" w:rsidRPr="00AE5B55">
        <w:instrText xml:space="preserve"> ADDIN  \* MERGEFORMAT </w:instrText>
      </w:r>
      <w:r w:rsidR="009E7987" w:rsidRPr="00AE5B55">
        <w:fldChar w:fldCharType="end"/>
      </w:r>
      <w:r w:rsidR="009E7987" w:rsidRPr="00AE5B55">
        <w:fldChar w:fldCharType="begin">
          <w:fldData xml:space="preserve">RgBvAG4AdABTAGUAdABpAG0AaQBzAHQAeQBsAGUAcwAuAHgAbQBsAA==
</w:fldData>
        </w:fldChar>
      </w:r>
      <w:r w:rsidR="009E7987" w:rsidRPr="00AE5B55">
        <w:instrText xml:space="preserve"> ADDIN  \* MERGEFORMAT </w:instrText>
      </w:r>
      <w:r w:rsidR="009E7987" w:rsidRPr="00AE5B55">
        <w:fldChar w:fldCharType="end"/>
      </w:r>
      <w:r w:rsidR="00640D1D" w:rsidRPr="00AE5B55">
        <w:fldChar w:fldCharType="begin">
          <w:fldData xml:space="preserve">RABvAGMAVABlAG0AcAAxAFYAYQByAFQAcgBhAGQAaQB0AGkAbwBuAGEAbAA=
</w:fldData>
        </w:fldChar>
      </w:r>
      <w:r w:rsidR="00640D1D" w:rsidRPr="00AE5B55">
        <w:instrText xml:space="preserve"> ADDIN  \* MERGEFORMAT </w:instrText>
      </w:r>
      <w:r w:rsidR="00640D1D" w:rsidRPr="00AE5B55">
        <w:fldChar w:fldCharType="end"/>
      </w:r>
      <w:r w:rsidR="00640D1D" w:rsidRPr="00AE5B55">
        <w:fldChar w:fldCharType="begin">
          <w:fldData xml:space="preserve">RgBvAG4AdABTAGUAdABGAG8AbgB0AFMAZQB0AGkAbQBpAHMAdAB5AGwAZQBzAC4AeABtAGwA
</w:fldData>
        </w:fldChar>
      </w:r>
      <w:r w:rsidR="00640D1D" w:rsidRPr="00AE5B55">
        <w:instrText xml:space="preserve"> ADDIN  \* MERGEFORMAT </w:instrText>
      </w:r>
      <w:r w:rsidR="00640D1D" w:rsidRPr="00AE5B55">
        <w:fldChar w:fldCharType="end"/>
      </w:r>
      <w:bookmarkStart w:id="20" w:name="_GoBack"/>
      <w:bookmarkEnd w:id="20"/>
    </w:p>
    <w:sectPr w:rsidR="00E11D70" w:rsidRPr="00A643FD" w:rsidSect="00522D5E">
      <w:headerReference w:type="even" r:id="rId46"/>
      <w:headerReference w:type="default" r:id="rId47"/>
      <w:footerReference w:type="even" r:id="rId48"/>
      <w:footerReference w:type="default" r:id="rId49"/>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719CF" w14:textId="77777777" w:rsidR="008F42A1" w:rsidRDefault="008F42A1">
      <w:r>
        <w:separator/>
      </w:r>
    </w:p>
  </w:endnote>
  <w:endnote w:type="continuationSeparator" w:id="0">
    <w:p w14:paraId="4CA5E31B" w14:textId="77777777" w:rsidR="008F42A1" w:rsidRDefault="008F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2C6E" w14:textId="77777777" w:rsidR="00445BF7" w:rsidRDefault="00445BF7">
    <w:pPr>
      <w:pStyle w:val="Footer"/>
      <w:tabs>
        <w:tab w:val="left" w:pos="0"/>
        <w:tab w:val="right" w:pos="9274"/>
      </w:tabs>
    </w:pPr>
    <w:r>
      <w:rPr>
        <w:b/>
        <w:sz w:val="20"/>
      </w:rPr>
      <w:t>8-E-</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10</w:t>
    </w:r>
    <w:r>
      <w:rPr>
        <w:rStyle w:val="PageNumbe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B1E6" w14:textId="77777777" w:rsidR="00445BF7" w:rsidRDefault="00445BF7">
    <w:pPr>
      <w:pStyle w:val="Footer"/>
      <w:tabs>
        <w:tab w:val="left" w:pos="0"/>
        <w:tab w:val="right" w:pos="9274"/>
      </w:tabs>
      <w:jc w:val="right"/>
    </w:pPr>
    <w:r>
      <w:rPr>
        <w:b/>
        <w:sz w:val="20"/>
      </w:rPr>
      <w:t>8-E-</w:t>
    </w:r>
    <w:r>
      <w:rPr>
        <w:rStyle w:val="PageNumber"/>
        <w:b/>
        <w:sz w:val="20"/>
      </w:rPr>
      <w:fldChar w:fldCharType="begin"/>
    </w:r>
    <w:r>
      <w:rPr>
        <w:rStyle w:val="PageNumber"/>
        <w:b/>
        <w:sz w:val="20"/>
      </w:rPr>
      <w:instrText xml:space="preserve"> PAGE </w:instrText>
    </w:r>
    <w:r>
      <w:rPr>
        <w:rStyle w:val="PageNumber"/>
        <w:b/>
        <w:sz w:val="20"/>
      </w:rPr>
      <w:fldChar w:fldCharType="separate"/>
    </w:r>
    <w:r w:rsidR="00AE5B55">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B52C" w14:textId="77777777" w:rsidR="008F42A1" w:rsidRDefault="008F42A1">
      <w:r>
        <w:separator/>
      </w:r>
    </w:p>
  </w:footnote>
  <w:footnote w:type="continuationSeparator" w:id="0">
    <w:p w14:paraId="2B353320" w14:textId="77777777" w:rsidR="008F42A1" w:rsidRDefault="008F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C7A0" w14:textId="77777777" w:rsidR="00445BF7" w:rsidRDefault="00445BF7">
    <w:pPr>
      <w:pStyle w:val="Header"/>
    </w:pPr>
    <w:r>
      <w:rPr>
        <w:b/>
        <w:sz w:val="20"/>
      </w:rPr>
      <w:t>M21-1MR, Part III, Subpart iv, Chapter 8, Section E</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2843" w14:textId="77777777" w:rsidR="00445BF7" w:rsidRDefault="00445BF7">
    <w:pPr>
      <w:pStyle w:val="Header"/>
    </w:pPr>
    <w:r>
      <w:rPr>
        <w:b/>
        <w:sz w:val="20"/>
      </w:rPr>
      <w:tab/>
    </w:r>
    <w:r>
      <w:rPr>
        <w:b/>
        <w:sz w:val="20"/>
      </w:rPr>
      <w:tab/>
      <w:t>M21-1MR, Part III, Subpart iv, Chapter 8, Section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2pt;height:12pt" o:bullet="t">
        <v:imagedata r:id="rId1" o:title="fspro_2columns"/>
      </v:shape>
    </w:pict>
  </w:numPicBullet>
  <w:numPicBullet w:numPicBulletId="1">
    <w:pict>
      <v:shape id="_x0000_i1096" type="#_x0000_t75" style="width:12pt;height:12pt" o:bullet="t">
        <v:imagedata r:id="rId2" o:title="advanced"/>
      </v:shape>
    </w:pict>
  </w:numPicBullet>
  <w:numPicBullet w:numPicBulletId="2">
    <w:pict>
      <v:shape id="_x0000_i1097" type="#_x0000_t75" style="width:12pt;height:12pt" o:bullet="t">
        <v:imagedata r:id="rId3" o:title="continue"/>
      </v:shape>
    </w:pict>
  </w:numPicBullet>
  <w:numPicBullet w:numPicBulletId="3">
    <w:pict>
      <v:shape id="_x0000_i1098" type="#_x0000_t75" style="width:12pt;height:12pt" o:bullet="t">
        <v:imagedata r:id="rId4" o:title="webpage"/>
      </v:shape>
    </w:pict>
  </w:numPicBullet>
  <w:abstractNum w:abstractNumId="0">
    <w:nsid w:val="FFFFFF7F"/>
    <w:multiLevelType w:val="singleLevel"/>
    <w:tmpl w:val="0ECE3254"/>
    <w:lvl w:ilvl="0">
      <w:start w:val="1"/>
      <w:numFmt w:val="decimal"/>
      <w:lvlText w:val="%1."/>
      <w:lvlJc w:val="left"/>
      <w:pPr>
        <w:tabs>
          <w:tab w:val="num" w:pos="720"/>
        </w:tabs>
        <w:ind w:left="720" w:hanging="360"/>
      </w:pPr>
    </w:lvl>
  </w:abstractNum>
  <w:abstractNum w:abstractNumId="1">
    <w:nsid w:val="FFFFFF83"/>
    <w:multiLevelType w:val="singleLevel"/>
    <w:tmpl w:val="A47E121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51A95BA"/>
    <w:lvl w:ilvl="0">
      <w:start w:val="1"/>
      <w:numFmt w:val="decimal"/>
      <w:lvlText w:val="%1."/>
      <w:lvlJc w:val="left"/>
      <w:pPr>
        <w:tabs>
          <w:tab w:val="num" w:pos="360"/>
        </w:tabs>
        <w:ind w:left="360" w:hanging="360"/>
      </w:pPr>
    </w:lvl>
  </w:abstractNum>
  <w:abstractNum w:abstractNumId="3">
    <w:nsid w:val="FFFFFF89"/>
    <w:multiLevelType w:val="singleLevel"/>
    <w:tmpl w:val="1CA0AAA0"/>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22968"/>
    <w:multiLevelType w:val="hybridMultilevel"/>
    <w:tmpl w:val="552E276C"/>
    <w:lvl w:ilvl="0" w:tplc="ABFC5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C6126"/>
    <w:multiLevelType w:val="hybridMultilevel"/>
    <w:tmpl w:val="927A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2C4ACB"/>
    <w:multiLevelType w:val="hybridMultilevel"/>
    <w:tmpl w:val="2A205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1">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2">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3">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5"/>
  </w:num>
  <w:num w:numId="3">
    <w:abstractNumId w:val="15"/>
  </w:num>
  <w:num w:numId="4">
    <w:abstractNumId w:val="12"/>
  </w:num>
  <w:num w:numId="5">
    <w:abstractNumId w:val="11"/>
  </w:num>
  <w:num w:numId="6">
    <w:abstractNumId w:val="16"/>
  </w:num>
  <w:num w:numId="7">
    <w:abstractNumId w:val="10"/>
  </w:num>
  <w:num w:numId="8">
    <w:abstractNumId w:val="8"/>
  </w:num>
  <w:num w:numId="9">
    <w:abstractNumId w:val="13"/>
  </w:num>
  <w:num w:numId="10">
    <w:abstractNumId w:val="4"/>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11">
    <w:abstractNumId w:val="6"/>
  </w:num>
  <w:num w:numId="12">
    <w:abstractNumId w:val="3"/>
  </w:num>
  <w:num w:numId="13">
    <w:abstractNumId w:val="2"/>
  </w:num>
  <w:num w:numId="14">
    <w:abstractNumId w:val="1"/>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FontSetimistyles.xml"/>
    <w:docVar w:name="XSLPath" w:val="C:\Program Files\Information Mapping\FS Pro 4.1\StyleSheets\"/>
    <w:docVar w:name="XSLstylesheet" w:val="Basic.xsl"/>
  </w:docVars>
  <w:rsids>
    <w:rsidRoot w:val="00E20D61"/>
    <w:rsid w:val="00006F1C"/>
    <w:rsid w:val="00027152"/>
    <w:rsid w:val="0003235E"/>
    <w:rsid w:val="00067498"/>
    <w:rsid w:val="00091C68"/>
    <w:rsid w:val="000A1FA3"/>
    <w:rsid w:val="000B213A"/>
    <w:rsid w:val="000D33EE"/>
    <w:rsid w:val="000D7E4A"/>
    <w:rsid w:val="000F5B33"/>
    <w:rsid w:val="00144493"/>
    <w:rsid w:val="001709CE"/>
    <w:rsid w:val="00173518"/>
    <w:rsid w:val="00176F47"/>
    <w:rsid w:val="001835CE"/>
    <w:rsid w:val="00186411"/>
    <w:rsid w:val="00197B69"/>
    <w:rsid w:val="001D0310"/>
    <w:rsid w:val="001D1107"/>
    <w:rsid w:val="001E4296"/>
    <w:rsid w:val="001F3F8D"/>
    <w:rsid w:val="00203156"/>
    <w:rsid w:val="00216B3B"/>
    <w:rsid w:val="00251435"/>
    <w:rsid w:val="0027160B"/>
    <w:rsid w:val="00285E0F"/>
    <w:rsid w:val="002A74FF"/>
    <w:rsid w:val="002B3192"/>
    <w:rsid w:val="002C29E9"/>
    <w:rsid w:val="002E632B"/>
    <w:rsid w:val="002F4DFF"/>
    <w:rsid w:val="00302358"/>
    <w:rsid w:val="003123C7"/>
    <w:rsid w:val="003636AE"/>
    <w:rsid w:val="00367395"/>
    <w:rsid w:val="00387916"/>
    <w:rsid w:val="0039107A"/>
    <w:rsid w:val="003B3C2B"/>
    <w:rsid w:val="003C62C5"/>
    <w:rsid w:val="003F6614"/>
    <w:rsid w:val="003F7891"/>
    <w:rsid w:val="00445BF7"/>
    <w:rsid w:val="004548D6"/>
    <w:rsid w:val="00481E5E"/>
    <w:rsid w:val="004A1276"/>
    <w:rsid w:val="004A5A1B"/>
    <w:rsid w:val="004E4FF8"/>
    <w:rsid w:val="004F6499"/>
    <w:rsid w:val="005125DB"/>
    <w:rsid w:val="00522D5E"/>
    <w:rsid w:val="00531CEB"/>
    <w:rsid w:val="0056306B"/>
    <w:rsid w:val="005B2492"/>
    <w:rsid w:val="005C16DB"/>
    <w:rsid w:val="005D34A0"/>
    <w:rsid w:val="005D5FCF"/>
    <w:rsid w:val="005D7D78"/>
    <w:rsid w:val="005E15FA"/>
    <w:rsid w:val="005E28CA"/>
    <w:rsid w:val="0063764E"/>
    <w:rsid w:val="00640D1D"/>
    <w:rsid w:val="006534F1"/>
    <w:rsid w:val="00657545"/>
    <w:rsid w:val="006760C6"/>
    <w:rsid w:val="00677233"/>
    <w:rsid w:val="00684ABF"/>
    <w:rsid w:val="006938CE"/>
    <w:rsid w:val="006D4554"/>
    <w:rsid w:val="006F7596"/>
    <w:rsid w:val="00712FD4"/>
    <w:rsid w:val="00717E35"/>
    <w:rsid w:val="00767371"/>
    <w:rsid w:val="00781909"/>
    <w:rsid w:val="007A2B46"/>
    <w:rsid w:val="007E6F0C"/>
    <w:rsid w:val="00807EB2"/>
    <w:rsid w:val="00866EE1"/>
    <w:rsid w:val="00884B85"/>
    <w:rsid w:val="008851D6"/>
    <w:rsid w:val="00890918"/>
    <w:rsid w:val="008D0174"/>
    <w:rsid w:val="008E1DDA"/>
    <w:rsid w:val="008F42A1"/>
    <w:rsid w:val="009121A1"/>
    <w:rsid w:val="00922337"/>
    <w:rsid w:val="009475D4"/>
    <w:rsid w:val="00950926"/>
    <w:rsid w:val="009C3E34"/>
    <w:rsid w:val="009D057B"/>
    <w:rsid w:val="009E7987"/>
    <w:rsid w:val="009F0346"/>
    <w:rsid w:val="00A22286"/>
    <w:rsid w:val="00A33411"/>
    <w:rsid w:val="00A643FD"/>
    <w:rsid w:val="00A73B1E"/>
    <w:rsid w:val="00AB5C91"/>
    <w:rsid w:val="00AD19DD"/>
    <w:rsid w:val="00AE0EF6"/>
    <w:rsid w:val="00AE5B55"/>
    <w:rsid w:val="00B032C8"/>
    <w:rsid w:val="00B05995"/>
    <w:rsid w:val="00B22071"/>
    <w:rsid w:val="00B33BCC"/>
    <w:rsid w:val="00B56B28"/>
    <w:rsid w:val="00B5740B"/>
    <w:rsid w:val="00BA2ED7"/>
    <w:rsid w:val="00BC51B1"/>
    <w:rsid w:val="00BE17F8"/>
    <w:rsid w:val="00BF6768"/>
    <w:rsid w:val="00C237CF"/>
    <w:rsid w:val="00C34F99"/>
    <w:rsid w:val="00C5583F"/>
    <w:rsid w:val="00CA2692"/>
    <w:rsid w:val="00CB6123"/>
    <w:rsid w:val="00D11095"/>
    <w:rsid w:val="00D14096"/>
    <w:rsid w:val="00D24139"/>
    <w:rsid w:val="00D30FA7"/>
    <w:rsid w:val="00D31490"/>
    <w:rsid w:val="00D52904"/>
    <w:rsid w:val="00D53906"/>
    <w:rsid w:val="00DA0429"/>
    <w:rsid w:val="00DC0CF8"/>
    <w:rsid w:val="00DC3CD1"/>
    <w:rsid w:val="00DD4E03"/>
    <w:rsid w:val="00DD5911"/>
    <w:rsid w:val="00DE1D61"/>
    <w:rsid w:val="00DF20A8"/>
    <w:rsid w:val="00E026C2"/>
    <w:rsid w:val="00E079CF"/>
    <w:rsid w:val="00E11D70"/>
    <w:rsid w:val="00E20D61"/>
    <w:rsid w:val="00E43791"/>
    <w:rsid w:val="00E6035E"/>
    <w:rsid w:val="00E622B3"/>
    <w:rsid w:val="00E90EA9"/>
    <w:rsid w:val="00EE00A9"/>
    <w:rsid w:val="00EE4190"/>
    <w:rsid w:val="00F677A5"/>
    <w:rsid w:val="00F83A19"/>
    <w:rsid w:val="00FA7100"/>
    <w:rsid w:val="00FC437F"/>
    <w:rsid w:val="00FC6CD0"/>
    <w:rsid w:val="00FD6694"/>
    <w:rsid w:val="00FE4585"/>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1" w:qFormat="1"/>
    <w:lsdException w:name="heading 8" w:uiPriority="1" w:qFormat="1"/>
    <w:lsdException w:name="heading 9" w:uiPriority="1" w:qFormat="1"/>
    <w:lsdException w:name="toc 3" w:uiPriority="39"/>
    <w:lsdException w:name="toc 4" w:uiPriority="39"/>
    <w:lsdException w:name="header" w:uiPriority="0"/>
    <w:lsdException w:name="footer" w:uiPriority="0"/>
    <w:lsdException w:name="caption" w:qFormat="1"/>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0" w:unhideWhenUsed="0" w:qFormat="1"/>
    <w:lsdException w:name="FollowedHyperlink" w:uiPriority="0"/>
    <w:lsdException w:name="Strong" w:semiHidden="0" w:uiPriority="2" w:unhideWhenUsed="0" w:qFormat="1"/>
    <w:lsdException w:name="Emphasis" w:semiHidden="0" w:uiPriority="2"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19"/>
    <w:rPr>
      <w:rFonts w:ascii="Times New Roman" w:eastAsia="Times New Roman" w:hAnsi="Times New Roman"/>
      <w:color w:val="000000"/>
      <w:sz w:val="24"/>
      <w:szCs w:val="24"/>
    </w:rPr>
  </w:style>
  <w:style w:type="paragraph" w:styleId="Heading1">
    <w:name w:val="heading 1"/>
    <w:aliases w:val="Part Title"/>
    <w:basedOn w:val="Normal"/>
    <w:next w:val="Heading4"/>
    <w:link w:val="Heading1Char"/>
    <w:qFormat/>
    <w:rsid w:val="00F83A19"/>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F83A19"/>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F83A19"/>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F83A19"/>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F83A19"/>
    <w:pPr>
      <w:outlineLvl w:val="4"/>
    </w:pPr>
    <w:rPr>
      <w:b/>
      <w:sz w:val="22"/>
      <w:szCs w:val="20"/>
    </w:rPr>
  </w:style>
  <w:style w:type="paragraph" w:styleId="Heading6">
    <w:name w:val="heading 6"/>
    <w:aliases w:val="Sub Label"/>
    <w:basedOn w:val="Heading5"/>
    <w:next w:val="BlockText"/>
    <w:link w:val="Heading6Char"/>
    <w:qFormat/>
    <w:rsid w:val="00F83A19"/>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rsid w:val="00A643FD"/>
    <w:rPr>
      <w:rFonts w:ascii="Arial" w:eastAsia="Times New Roman" w:hAnsi="Arial" w:cs="Arial"/>
      <w:b/>
      <w:color w:val="000000"/>
      <w:sz w:val="32"/>
    </w:rPr>
  </w:style>
  <w:style w:type="character" w:customStyle="1" w:styleId="Heading2Char">
    <w:name w:val="Heading 2 Char"/>
    <w:aliases w:val="Chapter Title Char"/>
    <w:link w:val="Heading2"/>
    <w:rsid w:val="00A643FD"/>
    <w:rPr>
      <w:rFonts w:ascii="Arial" w:eastAsia="Times New Roman" w:hAnsi="Arial" w:cs="Arial"/>
      <w:b/>
      <w:color w:val="000000"/>
      <w:sz w:val="32"/>
    </w:rPr>
  </w:style>
  <w:style w:type="character" w:customStyle="1" w:styleId="Heading3Char">
    <w:name w:val="Heading 3 Char"/>
    <w:aliases w:val="Section Title Char"/>
    <w:link w:val="Heading3"/>
    <w:rsid w:val="00A643FD"/>
    <w:rPr>
      <w:rFonts w:ascii="Arial" w:eastAsia="Times New Roman" w:hAnsi="Arial" w:cs="Arial"/>
      <w:b/>
      <w:color w:val="000000"/>
      <w:sz w:val="32"/>
    </w:rPr>
  </w:style>
  <w:style w:type="character" w:customStyle="1" w:styleId="Heading4Char">
    <w:name w:val="Heading 4 Char"/>
    <w:aliases w:val="Map Title Char"/>
    <w:link w:val="Heading4"/>
    <w:rsid w:val="00A643FD"/>
    <w:rPr>
      <w:rFonts w:ascii="Arial" w:eastAsia="Times New Roman" w:hAnsi="Arial" w:cs="Arial"/>
      <w:b/>
      <w:color w:val="000000"/>
      <w:sz w:val="32"/>
    </w:rPr>
  </w:style>
  <w:style w:type="character" w:customStyle="1" w:styleId="Heading5Char">
    <w:name w:val="Heading 5 Char"/>
    <w:aliases w:val="Block Label Char"/>
    <w:link w:val="Heading5"/>
    <w:rsid w:val="00A643FD"/>
    <w:rPr>
      <w:rFonts w:ascii="Times New Roman" w:eastAsia="Times New Roman" w:hAnsi="Times New Roman"/>
      <w:b/>
      <w:color w:val="000000"/>
      <w:sz w:val="22"/>
    </w:rPr>
  </w:style>
  <w:style w:type="character" w:customStyle="1" w:styleId="Heading6Char">
    <w:name w:val="Heading 6 Char"/>
    <w:aliases w:val="Sub Label Char"/>
    <w:link w:val="Heading6"/>
    <w:rsid w:val="00A643FD"/>
    <w:rPr>
      <w:rFonts w:ascii="Times New Roman" w:eastAsia="Times New Roman" w:hAnsi="Times New Roman"/>
      <w:b/>
      <w:i/>
      <w:color w:val="000000"/>
      <w:sz w:val="22"/>
    </w:rPr>
  </w:style>
  <w:style w:type="paragraph" w:styleId="BalloonText">
    <w:name w:val="Balloon Text"/>
    <w:basedOn w:val="Normal"/>
    <w:link w:val="BalloonTextChar"/>
    <w:semiHidden/>
    <w:rsid w:val="00F83A19"/>
    <w:rPr>
      <w:rFonts w:ascii="Tahoma" w:hAnsi="Tahoma" w:cs="Tahoma"/>
      <w:sz w:val="16"/>
      <w:szCs w:val="16"/>
    </w:rPr>
  </w:style>
  <w:style w:type="character" w:customStyle="1" w:styleId="BalloonTextChar">
    <w:name w:val="Balloon Text Char"/>
    <w:link w:val="BalloonText"/>
    <w:semiHidden/>
    <w:rsid w:val="00A643FD"/>
    <w:rPr>
      <w:rFonts w:ascii="Tahoma" w:eastAsia="Times New Roman" w:hAnsi="Tahoma" w:cs="Tahoma"/>
      <w:color w:val="000000"/>
      <w:sz w:val="16"/>
      <w:szCs w:val="16"/>
    </w:rPr>
  </w:style>
  <w:style w:type="paragraph" w:customStyle="1" w:styleId="BlockLine">
    <w:name w:val="Block Line"/>
    <w:basedOn w:val="Normal"/>
    <w:next w:val="Normal"/>
    <w:rsid w:val="00F83A19"/>
    <w:pPr>
      <w:pBdr>
        <w:top w:val="single" w:sz="6" w:space="1" w:color="000000"/>
        <w:between w:val="single" w:sz="6" w:space="1" w:color="auto"/>
      </w:pBdr>
      <w:spacing w:before="240"/>
      <w:ind w:left="1728"/>
    </w:pPr>
    <w:rPr>
      <w:szCs w:val="20"/>
    </w:rPr>
  </w:style>
  <w:style w:type="paragraph" w:styleId="BlockText">
    <w:name w:val="Block Text"/>
    <w:basedOn w:val="Normal"/>
    <w:rsid w:val="00F83A19"/>
  </w:style>
  <w:style w:type="paragraph" w:customStyle="1" w:styleId="BulletText1">
    <w:name w:val="Bullet Text 1"/>
    <w:basedOn w:val="Normal"/>
    <w:qFormat/>
    <w:rsid w:val="00F83A19"/>
    <w:pPr>
      <w:numPr>
        <w:numId w:val="1"/>
      </w:numPr>
    </w:pPr>
    <w:rPr>
      <w:szCs w:val="20"/>
    </w:rPr>
  </w:style>
  <w:style w:type="paragraph" w:customStyle="1" w:styleId="BulletText2">
    <w:name w:val="Bullet Text 2"/>
    <w:basedOn w:val="Normal"/>
    <w:rsid w:val="00F83A19"/>
    <w:pPr>
      <w:numPr>
        <w:numId w:val="2"/>
      </w:numPr>
    </w:pPr>
    <w:rPr>
      <w:szCs w:val="20"/>
    </w:rPr>
  </w:style>
  <w:style w:type="paragraph" w:customStyle="1" w:styleId="BulletText3">
    <w:name w:val="Bullet Text 3"/>
    <w:basedOn w:val="Normal"/>
    <w:rsid w:val="00F83A19"/>
    <w:pPr>
      <w:numPr>
        <w:numId w:val="3"/>
      </w:numPr>
      <w:tabs>
        <w:tab w:val="clear" w:pos="173"/>
      </w:tabs>
      <w:ind w:left="533" w:hanging="173"/>
    </w:pPr>
    <w:rPr>
      <w:szCs w:val="20"/>
    </w:rPr>
  </w:style>
  <w:style w:type="paragraph" w:customStyle="1" w:styleId="ContinuedBlockLabel">
    <w:name w:val="Continued Block Label"/>
    <w:basedOn w:val="Normal"/>
    <w:next w:val="Normal"/>
    <w:rsid w:val="00F83A19"/>
    <w:pPr>
      <w:spacing w:after="240"/>
    </w:pPr>
    <w:rPr>
      <w:b/>
      <w:sz w:val="22"/>
      <w:szCs w:val="20"/>
    </w:rPr>
  </w:style>
  <w:style w:type="paragraph" w:customStyle="1" w:styleId="ContinuedOnNextPa">
    <w:name w:val="Continued On Next Pa"/>
    <w:basedOn w:val="Normal"/>
    <w:next w:val="Normal"/>
    <w:rsid w:val="00F83A19"/>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83A19"/>
    <w:pPr>
      <w:spacing w:after="240"/>
    </w:pPr>
    <w:rPr>
      <w:b/>
      <w:sz w:val="22"/>
      <w:szCs w:val="20"/>
    </w:rPr>
  </w:style>
  <w:style w:type="paragraph" w:customStyle="1" w:styleId="EmbeddedText">
    <w:name w:val="Embedded Text"/>
    <w:basedOn w:val="Normal"/>
    <w:rsid w:val="00F83A19"/>
    <w:rPr>
      <w:szCs w:val="20"/>
    </w:rPr>
  </w:style>
  <w:style w:type="character" w:styleId="HTMLAcronym">
    <w:name w:val="HTML Acronym"/>
    <w:basedOn w:val="DefaultParagraphFont"/>
    <w:rsid w:val="00F83A19"/>
  </w:style>
  <w:style w:type="paragraph" w:customStyle="1" w:styleId="IMTOC">
    <w:name w:val="IMTOC"/>
    <w:rsid w:val="00F83A19"/>
    <w:rPr>
      <w:rFonts w:ascii="Times New Roman" w:eastAsia="Times New Roman" w:hAnsi="Times New Roman"/>
      <w:sz w:val="24"/>
    </w:rPr>
  </w:style>
  <w:style w:type="paragraph" w:customStyle="1" w:styleId="MapTitleContinued">
    <w:name w:val="Map Title. Continued"/>
    <w:basedOn w:val="Normal"/>
    <w:next w:val="Normal"/>
    <w:rsid w:val="00F83A19"/>
    <w:pPr>
      <w:spacing w:after="240"/>
    </w:pPr>
    <w:rPr>
      <w:rFonts w:ascii="Arial" w:hAnsi="Arial" w:cs="Arial"/>
      <w:b/>
      <w:sz w:val="32"/>
      <w:szCs w:val="20"/>
    </w:rPr>
  </w:style>
  <w:style w:type="paragraph" w:customStyle="1" w:styleId="MemoLine">
    <w:name w:val="Memo Line"/>
    <w:basedOn w:val="BlockLine"/>
    <w:next w:val="Normal"/>
    <w:rsid w:val="00F83A19"/>
  </w:style>
  <w:style w:type="paragraph" w:customStyle="1" w:styleId="NoteText">
    <w:name w:val="Note Text"/>
    <w:basedOn w:val="Normal"/>
    <w:rsid w:val="00F83A19"/>
    <w:rPr>
      <w:szCs w:val="20"/>
    </w:rPr>
  </w:style>
  <w:style w:type="paragraph" w:customStyle="1" w:styleId="PublicationTitle">
    <w:name w:val="Publication Title"/>
    <w:basedOn w:val="Normal"/>
    <w:next w:val="Heading4"/>
    <w:rsid w:val="00F83A19"/>
    <w:pPr>
      <w:spacing w:after="240"/>
      <w:jc w:val="center"/>
    </w:pPr>
    <w:rPr>
      <w:rFonts w:ascii="Arial" w:hAnsi="Arial" w:cs="Arial"/>
      <w:b/>
      <w:sz w:val="32"/>
      <w:szCs w:val="20"/>
    </w:rPr>
  </w:style>
  <w:style w:type="table" w:styleId="TableGrid">
    <w:name w:val="Table Grid"/>
    <w:basedOn w:val="TableNormal"/>
    <w:rsid w:val="00F83A1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F83A19"/>
    <w:pPr>
      <w:jc w:val="center"/>
    </w:pPr>
    <w:rPr>
      <w:b/>
      <w:szCs w:val="20"/>
    </w:rPr>
  </w:style>
  <w:style w:type="paragraph" w:customStyle="1" w:styleId="TableText">
    <w:name w:val="Table Text"/>
    <w:basedOn w:val="Normal"/>
    <w:rsid w:val="00F83A19"/>
    <w:rPr>
      <w:szCs w:val="20"/>
    </w:rPr>
  </w:style>
  <w:style w:type="paragraph" w:customStyle="1" w:styleId="TOCTitle">
    <w:name w:val="TOC Title"/>
    <w:basedOn w:val="Normal"/>
    <w:rsid w:val="00F83A19"/>
    <w:pPr>
      <w:widowControl w:val="0"/>
    </w:pPr>
    <w:rPr>
      <w:rFonts w:ascii="Arial" w:hAnsi="Arial" w:cs="Arial"/>
      <w:b/>
      <w:sz w:val="32"/>
      <w:szCs w:val="20"/>
    </w:rPr>
  </w:style>
  <w:style w:type="paragraph" w:customStyle="1" w:styleId="TOCItem">
    <w:name w:val="TOCItem"/>
    <w:basedOn w:val="Normal"/>
    <w:rsid w:val="00F83A19"/>
    <w:pPr>
      <w:tabs>
        <w:tab w:val="left" w:leader="dot" w:pos="7061"/>
        <w:tab w:val="right" w:pos="7524"/>
      </w:tabs>
      <w:spacing w:before="60" w:after="60"/>
      <w:ind w:right="465"/>
    </w:pPr>
    <w:rPr>
      <w:szCs w:val="20"/>
    </w:rPr>
  </w:style>
  <w:style w:type="paragraph" w:customStyle="1" w:styleId="TOCStem">
    <w:name w:val="TOCStem"/>
    <w:basedOn w:val="Normal"/>
    <w:rsid w:val="00F83A19"/>
    <w:rPr>
      <w:szCs w:val="20"/>
    </w:rPr>
  </w:style>
  <w:style w:type="character" w:styleId="Hyperlink">
    <w:name w:val="Hyperlink"/>
    <w:uiPriority w:val="99"/>
    <w:rsid w:val="00F83A19"/>
    <w:rPr>
      <w:color w:val="0000FF"/>
      <w:u w:val="single"/>
    </w:rPr>
  </w:style>
  <w:style w:type="paragraph" w:styleId="Header">
    <w:name w:val="header"/>
    <w:basedOn w:val="Normal"/>
    <w:link w:val="HeaderChar"/>
    <w:rsid w:val="00F83A19"/>
    <w:pPr>
      <w:tabs>
        <w:tab w:val="center" w:pos="4680"/>
        <w:tab w:val="right" w:pos="9360"/>
      </w:tabs>
    </w:pPr>
    <w:rPr>
      <w:color w:val="auto"/>
      <w:lang w:val="x-none" w:eastAsia="x-none"/>
    </w:rPr>
  </w:style>
  <w:style w:type="character" w:customStyle="1" w:styleId="HeaderChar">
    <w:name w:val="Header Char"/>
    <w:link w:val="Header"/>
    <w:rsid w:val="00F83A19"/>
    <w:rPr>
      <w:rFonts w:ascii="Times New Roman" w:eastAsia="Times New Roman" w:hAnsi="Times New Roman"/>
      <w:sz w:val="24"/>
      <w:szCs w:val="24"/>
      <w:lang w:val="x-none" w:eastAsia="x-none"/>
    </w:rPr>
  </w:style>
  <w:style w:type="paragraph" w:styleId="Footer">
    <w:name w:val="footer"/>
    <w:basedOn w:val="Normal"/>
    <w:link w:val="FooterChar"/>
    <w:rsid w:val="00F83A19"/>
    <w:pPr>
      <w:tabs>
        <w:tab w:val="center" w:pos="4680"/>
        <w:tab w:val="right" w:pos="9360"/>
      </w:tabs>
    </w:pPr>
    <w:rPr>
      <w:color w:val="auto"/>
      <w:lang w:val="x-none" w:eastAsia="x-none"/>
    </w:rPr>
  </w:style>
  <w:style w:type="character" w:customStyle="1" w:styleId="FooterChar">
    <w:name w:val="Footer Char"/>
    <w:link w:val="Footer"/>
    <w:rsid w:val="00F83A19"/>
    <w:rPr>
      <w:rFonts w:ascii="Times New Roman" w:eastAsia="Times New Roman" w:hAnsi="Times New Roman"/>
      <w:sz w:val="24"/>
      <w:szCs w:val="24"/>
      <w:lang w:val="x-none" w:eastAsia="x-none"/>
    </w:rPr>
  </w:style>
  <w:style w:type="character" w:styleId="FollowedHyperlink">
    <w:name w:val="FollowedHyperlink"/>
    <w:rsid w:val="00F83A19"/>
    <w:rPr>
      <w:color w:val="800080"/>
      <w:u w:val="single"/>
    </w:rPr>
  </w:style>
  <w:style w:type="paragraph" w:styleId="TOC3">
    <w:name w:val="toc 3"/>
    <w:basedOn w:val="Normal"/>
    <w:next w:val="Normal"/>
    <w:autoRedefine/>
    <w:uiPriority w:val="39"/>
    <w:rsid w:val="00F83A19"/>
    <w:pPr>
      <w:ind w:left="480"/>
    </w:pPr>
  </w:style>
  <w:style w:type="paragraph" w:styleId="TOC4">
    <w:name w:val="toc 4"/>
    <w:basedOn w:val="Normal"/>
    <w:next w:val="Normal"/>
    <w:autoRedefine/>
    <w:uiPriority w:val="39"/>
    <w:rsid w:val="00F83A19"/>
    <w:pPr>
      <w:ind w:left="720"/>
    </w:pPr>
  </w:style>
  <w:style w:type="character" w:styleId="PageNumber">
    <w:name w:val="page number"/>
    <w:basedOn w:val="DefaultParagraphFont"/>
    <w:rsid w:val="00A643FD"/>
  </w:style>
  <w:style w:type="character" w:styleId="CommentReference">
    <w:name w:val="annotation reference"/>
    <w:semiHidden/>
    <w:rsid w:val="00B05995"/>
    <w:rPr>
      <w:sz w:val="16"/>
      <w:szCs w:val="16"/>
    </w:rPr>
  </w:style>
  <w:style w:type="paragraph" w:styleId="CommentText">
    <w:name w:val="annotation text"/>
    <w:basedOn w:val="Normal"/>
    <w:semiHidden/>
    <w:rsid w:val="00B05995"/>
    <w:rPr>
      <w:sz w:val="20"/>
      <w:szCs w:val="20"/>
    </w:rPr>
  </w:style>
  <w:style w:type="paragraph" w:styleId="CommentSubject">
    <w:name w:val="annotation subject"/>
    <w:basedOn w:val="CommentText"/>
    <w:next w:val="CommentText"/>
    <w:semiHidden/>
    <w:rsid w:val="00B05995"/>
    <w:rPr>
      <w:b/>
      <w:bCs/>
    </w:rPr>
  </w:style>
  <w:style w:type="paragraph" w:styleId="ListParagraph">
    <w:name w:val="List Paragraph"/>
    <w:basedOn w:val="Normal"/>
    <w:uiPriority w:val="34"/>
    <w:qFormat/>
    <w:rsid w:val="00367395"/>
    <w:pPr>
      <w:spacing w:after="200" w:line="276" w:lineRule="auto"/>
      <w:ind w:left="720"/>
      <w:contextualSpacing/>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imi-internal:M21-1MRI.1.c.7" TargetMode="External"/><Relationship Id="rId18" Type="http://schemas.openxmlformats.org/officeDocument/2006/relationships/hyperlink" Target="http://www.benefits.va.gov/warms/docs/regs/38CFR/BOOKB/PART3/S3_655.DOC" TargetMode="External"/><Relationship Id="rId26" Type="http://schemas.openxmlformats.org/officeDocument/2006/relationships/hyperlink" Target="http://vbaw.vba.va.gov/bl/21/advisory/CAVCDAD.htm" TargetMode="External"/><Relationship Id="rId39" Type="http://schemas.openxmlformats.org/officeDocument/2006/relationships/hyperlink" Target="imi-internal:M21-1MRIII.v.1.B" TargetMode="External"/><Relationship Id="rId3" Type="http://schemas.openxmlformats.org/officeDocument/2006/relationships/customXml" Target="../customXml/item2.xml"/><Relationship Id="rId21" Type="http://schemas.openxmlformats.org/officeDocument/2006/relationships/hyperlink" Target="http://www.benefits.va.gov/warms/docs/regs/38CFR/BOOKB/PART3/S3_655.DOC" TargetMode="External"/><Relationship Id="rId34" Type="http://schemas.openxmlformats.org/officeDocument/2006/relationships/hyperlink" Target="http://www.benefits.va.gov/warms/docs/regs/38CFR/BOOKB/PART3/S3_105.DOC" TargetMode="External"/><Relationship Id="rId42" Type="http://schemas.openxmlformats.org/officeDocument/2006/relationships/hyperlink" Target="imi-internal:M21-1MRIII.v.1.A.2"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imi-internal:M21-1MRIII.iv.3.B.15.e" TargetMode="External"/><Relationship Id="rId25" Type="http://schemas.openxmlformats.org/officeDocument/2006/relationships/hyperlink" Target="http://www.benefits.va.gov/warms/docs/regs/38CFR/BOOKB/PART3/S3_105.DOC" TargetMode="External"/><Relationship Id="rId33" Type="http://schemas.openxmlformats.org/officeDocument/2006/relationships/hyperlink" Target="http://www.benefits.va.gov/warms/docs/regs/38CFR/BOOKB/PART3/S3_500.DOC" TargetMode="External"/><Relationship Id="rId38" Type="http://schemas.openxmlformats.org/officeDocument/2006/relationships/hyperlink" Target="http://vbaw.vba.va.gov/bl/21/advisory/CAVCDAD.htm" TargetMode="External"/><Relationship Id="rId46"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benefits.va.gov/warms/docs/regs/38CFR/BOOKB/PART3/S3_952.DOC" TargetMode="External"/><Relationship Id="rId20" Type="http://schemas.openxmlformats.org/officeDocument/2006/relationships/hyperlink" Target="imi-internal:M21-1MRIV.ii.3.B" TargetMode="External"/><Relationship Id="rId29" Type="http://schemas.openxmlformats.org/officeDocument/2006/relationships/hyperlink" Target="http://www.benefits.va.gov/warms/docs/regs/38CFR/BOOKB/PART3/S3_105.DOC" TargetMode="External"/><Relationship Id="rId41" Type="http://schemas.openxmlformats.org/officeDocument/2006/relationships/hyperlink" Target="imi-internal:M21-1MRIII.v.1.D"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enefits.va.gov/warms/docs/regs/38CFR/BOOKB/PART3/S3_105.DOC" TargetMode="External"/><Relationship Id="rId32" Type="http://schemas.openxmlformats.org/officeDocument/2006/relationships/hyperlink" Target="imi-internal:M21-1MRIV.ii.3.A.2" TargetMode="External"/><Relationship Id="rId37" Type="http://schemas.openxmlformats.org/officeDocument/2006/relationships/hyperlink" Target="http://vbaw.vba.va.gov/bl/21/advisory/CAVCDAD.htm" TargetMode="External"/><Relationship Id="rId40" Type="http://schemas.openxmlformats.org/officeDocument/2006/relationships/hyperlink" Target="imi-internal:M21-1MRIII.v.1.D.19" TargetMode="External"/><Relationship Id="rId45" Type="http://schemas.openxmlformats.org/officeDocument/2006/relationships/hyperlink" Target="http://www.benefits.va.gov/warms/docs/regs/38CFR/BOOKB/PART3/S3_105.DOC" TargetMode="External"/><Relationship Id="rId5" Type="http://schemas.openxmlformats.org/officeDocument/2006/relationships/customXml" Target="../customXml/item4.xml"/><Relationship Id="rId15" Type="http://schemas.openxmlformats.org/officeDocument/2006/relationships/hyperlink" Target="http://www.benefits.va.gov/warms/docs/regs/38CFR/BOOKB/PART3/S3_950.DOC" TargetMode="External"/><Relationship Id="rId23" Type="http://schemas.openxmlformats.org/officeDocument/2006/relationships/hyperlink" Target="http://www.benefits.va.gov/warms/docs/regs/38CFR/BOOKB/PART3/S3_105.DOC" TargetMode="External"/><Relationship Id="rId28" Type="http://schemas.openxmlformats.org/officeDocument/2006/relationships/hyperlink" Target="imi-internal:M21-1MRIII.iv.8.E.17.i" TargetMode="External"/><Relationship Id="rId36" Type="http://schemas.openxmlformats.org/officeDocument/2006/relationships/hyperlink" Target="http://vbaw.vba.va.gov/bl/21/advisory/CAVCDAD.htm" TargetMode="External"/><Relationship Id="rId49"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imi-internal:M21-1MRIII.iv.8.E.16.b" TargetMode="External"/><Relationship Id="rId31" Type="http://schemas.openxmlformats.org/officeDocument/2006/relationships/hyperlink" Target="http://www.benefits.va.gov/warms/docs/regs/38CFR/BOOKB/PART3/S3_105.DOC" TargetMode="External"/><Relationship Id="rId44" Type="http://schemas.openxmlformats.org/officeDocument/2006/relationships/hyperlink" Target="http://www.benefits.va.gov/warms/docs/regs/38CFR/BOOKB/PART3/S3_105.DOC"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baw.vba.va.gov/bl/21/Advisory/CAVCDAD.htm" TargetMode="External"/><Relationship Id="rId22" Type="http://schemas.openxmlformats.org/officeDocument/2006/relationships/hyperlink" Target="http://www.benefits.va.gov/warms/docs/regs/38CFR/BOOKB/PART3/S3_323.DOC" TargetMode="External"/><Relationship Id="rId27" Type="http://schemas.openxmlformats.org/officeDocument/2006/relationships/hyperlink" Target="imi-internal:M21-1MRIII.iv.8.C.9" TargetMode="External"/><Relationship Id="rId30" Type="http://schemas.openxmlformats.org/officeDocument/2006/relationships/hyperlink" Target="http://www.law.cornell.edu/uscode/html/uscode38/usc_sec_38_00001702----000-.html" TargetMode="External"/><Relationship Id="rId35" Type="http://schemas.openxmlformats.org/officeDocument/2006/relationships/hyperlink" Target="http://www.benefits.va.gov/warms/docs/regs/38CFR/BOOKB/PART3/S3_103.DOC" TargetMode="External"/><Relationship Id="rId43" Type="http://schemas.openxmlformats.org/officeDocument/2006/relationships/hyperlink" Target="imi-internal:M21-1MRIV.ii.3.A.2" TargetMode="External"/><Relationship Id="rId48"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F957-97ED-4746-B7BF-EB84D6D777A0}">
  <ds:schemaRefs>
    <ds:schemaRef ds:uri="http://schemas.microsoft.com/office/2006/metadata/properties"/>
    <ds:schemaRef ds:uri="http://purl.org/dc/dcmitype/"/>
    <ds:schemaRef ds:uri="http://purl.org/dc/terms/"/>
    <ds:schemaRef ds:uri="http://purl.org/dc/elements/1.1/"/>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282665-F8AA-474F-9B2A-A6B2AE48F51B}">
  <ds:schemaRefs>
    <ds:schemaRef ds:uri="http://schemas.microsoft.com/sharepoint/v3/contenttype/forms"/>
  </ds:schemaRefs>
</ds:datastoreItem>
</file>

<file path=customXml/itemProps3.xml><?xml version="1.0" encoding="utf-8"?>
<ds:datastoreItem xmlns:ds="http://schemas.openxmlformats.org/officeDocument/2006/customXml" ds:itemID="{ECAA6B77-542E-44C6-B9D3-B90332B36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2A9F4-18E5-4F4B-A29B-0571E1C1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246</TotalTime>
  <Pages>10</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E. Other Due Process Concerns</vt:lpstr>
    </vt:vector>
  </TitlesOfParts>
  <Company>VA</Company>
  <LinksUpToDate>false</LinksUpToDate>
  <CharactersWithSpaces>18173</CharactersWithSpaces>
  <SharedDoc>false</SharedDoc>
  <HLinks>
    <vt:vector size="198" baseType="variant">
      <vt:variant>
        <vt:i4>131172</vt:i4>
      </vt:variant>
      <vt:variant>
        <vt:i4>111</vt:i4>
      </vt:variant>
      <vt:variant>
        <vt:i4>0</vt:i4>
      </vt:variant>
      <vt:variant>
        <vt:i4>5</vt:i4>
      </vt:variant>
      <vt:variant>
        <vt:lpwstr>http://www.benefits.va.gov/warms/docs/regs/38CFR/BOOKB/PART3/S3_105.DOC</vt:lpwstr>
      </vt:variant>
      <vt:variant>
        <vt:lpwstr/>
      </vt:variant>
      <vt:variant>
        <vt:i4>131172</vt:i4>
      </vt:variant>
      <vt:variant>
        <vt:i4>108</vt:i4>
      </vt:variant>
      <vt:variant>
        <vt:i4>0</vt:i4>
      </vt:variant>
      <vt:variant>
        <vt:i4>5</vt:i4>
      </vt:variant>
      <vt:variant>
        <vt:lpwstr>http://www.benefits.va.gov/warms/docs/regs/38CFR/BOOKB/PART3/S3_105.DOC</vt:lpwstr>
      </vt:variant>
      <vt:variant>
        <vt:lpwstr/>
      </vt:variant>
      <vt:variant>
        <vt:i4>6750266</vt:i4>
      </vt:variant>
      <vt:variant>
        <vt:i4>105</vt:i4>
      </vt:variant>
      <vt:variant>
        <vt:i4>0</vt:i4>
      </vt:variant>
      <vt:variant>
        <vt:i4>5</vt:i4>
      </vt:variant>
      <vt:variant>
        <vt:lpwstr>imi-internal:M21-1MRIV.ii.3.A.2</vt:lpwstr>
      </vt:variant>
      <vt:variant>
        <vt:lpwstr/>
      </vt:variant>
      <vt:variant>
        <vt:i4>4128864</vt:i4>
      </vt:variant>
      <vt:variant>
        <vt:i4>102</vt:i4>
      </vt:variant>
      <vt:variant>
        <vt:i4>0</vt:i4>
      </vt:variant>
      <vt:variant>
        <vt:i4>5</vt:i4>
      </vt:variant>
      <vt:variant>
        <vt:lpwstr>imi-internal:M21-1MRIII.v.1.A.2</vt:lpwstr>
      </vt:variant>
      <vt:variant>
        <vt:lpwstr/>
      </vt:variant>
      <vt:variant>
        <vt:i4>1114113</vt:i4>
      </vt:variant>
      <vt:variant>
        <vt:i4>99</vt:i4>
      </vt:variant>
      <vt:variant>
        <vt:i4>0</vt:i4>
      </vt:variant>
      <vt:variant>
        <vt:i4>5</vt:i4>
      </vt:variant>
      <vt:variant>
        <vt:lpwstr>imi-internal:M21-1MRIII.v.1.D</vt:lpwstr>
      </vt:variant>
      <vt:variant>
        <vt:lpwstr/>
      </vt:variant>
      <vt:variant>
        <vt:i4>393300</vt:i4>
      </vt:variant>
      <vt:variant>
        <vt:i4>96</vt:i4>
      </vt:variant>
      <vt:variant>
        <vt:i4>0</vt:i4>
      </vt:variant>
      <vt:variant>
        <vt:i4>5</vt:i4>
      </vt:variant>
      <vt:variant>
        <vt:lpwstr>imi-internal:M21-1MRIII.v.1.D.19</vt:lpwstr>
      </vt:variant>
      <vt:variant>
        <vt:lpwstr/>
      </vt:variant>
      <vt:variant>
        <vt:i4>1114113</vt:i4>
      </vt:variant>
      <vt:variant>
        <vt:i4>93</vt:i4>
      </vt:variant>
      <vt:variant>
        <vt:i4>0</vt:i4>
      </vt:variant>
      <vt:variant>
        <vt:i4>5</vt:i4>
      </vt:variant>
      <vt:variant>
        <vt:lpwstr>imi-internal:M21-1MRIII.v.1.B</vt:lpwstr>
      </vt:variant>
      <vt:variant>
        <vt:lpwstr/>
      </vt:variant>
      <vt:variant>
        <vt:i4>4128870</vt:i4>
      </vt:variant>
      <vt:variant>
        <vt:i4>90</vt:i4>
      </vt:variant>
      <vt:variant>
        <vt:i4>0</vt:i4>
      </vt:variant>
      <vt:variant>
        <vt:i4>5</vt:i4>
      </vt:variant>
      <vt:variant>
        <vt:lpwstr>http://vbaw.vba.va.gov/bl/21/advisory/CAVCDAD.htm</vt:lpwstr>
      </vt:variant>
      <vt:variant>
        <vt:lpwstr>bmv</vt:lpwstr>
      </vt:variant>
      <vt:variant>
        <vt:i4>4128870</vt:i4>
      </vt:variant>
      <vt:variant>
        <vt:i4>87</vt:i4>
      </vt:variant>
      <vt:variant>
        <vt:i4>0</vt:i4>
      </vt:variant>
      <vt:variant>
        <vt:i4>5</vt:i4>
      </vt:variant>
      <vt:variant>
        <vt:lpwstr>http://vbaw.vba.va.gov/bl/21/advisory/CAVCDAD.htm</vt:lpwstr>
      </vt:variant>
      <vt:variant>
        <vt:lpwstr>bms</vt:lpwstr>
      </vt:variant>
      <vt:variant>
        <vt:i4>4128870</vt:i4>
      </vt:variant>
      <vt:variant>
        <vt:i4>84</vt:i4>
      </vt:variant>
      <vt:variant>
        <vt:i4>0</vt:i4>
      </vt:variant>
      <vt:variant>
        <vt:i4>5</vt:i4>
      </vt:variant>
      <vt:variant>
        <vt:lpwstr>http://vbaw.vba.va.gov/bl/21/advisory/CAVCDAD.htm</vt:lpwstr>
      </vt:variant>
      <vt:variant>
        <vt:lpwstr>bma</vt:lpwstr>
      </vt:variant>
      <vt:variant>
        <vt:i4>131170</vt:i4>
      </vt:variant>
      <vt:variant>
        <vt:i4>81</vt:i4>
      </vt:variant>
      <vt:variant>
        <vt:i4>0</vt:i4>
      </vt:variant>
      <vt:variant>
        <vt:i4>5</vt:i4>
      </vt:variant>
      <vt:variant>
        <vt:lpwstr>http://www.benefits.va.gov/warms/docs/regs/38CFR/BOOKB/PART3/S3_103.DOC</vt:lpwstr>
      </vt:variant>
      <vt:variant>
        <vt:lpwstr/>
      </vt:variant>
      <vt:variant>
        <vt:i4>131172</vt:i4>
      </vt:variant>
      <vt:variant>
        <vt:i4>78</vt:i4>
      </vt:variant>
      <vt:variant>
        <vt:i4>0</vt:i4>
      </vt:variant>
      <vt:variant>
        <vt:i4>5</vt:i4>
      </vt:variant>
      <vt:variant>
        <vt:lpwstr>http://www.benefits.va.gov/warms/docs/regs/38CFR/BOOKB/PART3/S3_105.DOC</vt:lpwstr>
      </vt:variant>
      <vt:variant>
        <vt:lpwstr/>
      </vt:variant>
      <vt:variant>
        <vt:i4>131173</vt:i4>
      </vt:variant>
      <vt:variant>
        <vt:i4>72</vt:i4>
      </vt:variant>
      <vt:variant>
        <vt:i4>0</vt:i4>
      </vt:variant>
      <vt:variant>
        <vt:i4>5</vt:i4>
      </vt:variant>
      <vt:variant>
        <vt:lpwstr>http://www.benefits.va.gov/warms/docs/regs/38CFR/BOOKB/PART3/S3_500.DOC</vt:lpwstr>
      </vt:variant>
      <vt:variant>
        <vt:lpwstr/>
      </vt:variant>
      <vt:variant>
        <vt:i4>6750266</vt:i4>
      </vt:variant>
      <vt:variant>
        <vt:i4>69</vt:i4>
      </vt:variant>
      <vt:variant>
        <vt:i4>0</vt:i4>
      </vt:variant>
      <vt:variant>
        <vt:i4>5</vt:i4>
      </vt:variant>
      <vt:variant>
        <vt:lpwstr>imi-internal:M21-1MRIV.ii.3.A.2</vt:lpwstr>
      </vt:variant>
      <vt:variant>
        <vt:lpwstr/>
      </vt:variant>
      <vt:variant>
        <vt:i4>131172</vt:i4>
      </vt:variant>
      <vt:variant>
        <vt:i4>63</vt:i4>
      </vt:variant>
      <vt:variant>
        <vt:i4>0</vt:i4>
      </vt:variant>
      <vt:variant>
        <vt:i4>5</vt:i4>
      </vt:variant>
      <vt:variant>
        <vt:lpwstr>http://www.benefits.va.gov/warms/docs/regs/38CFR/BOOKB/PART3/S3_105.DOC</vt:lpwstr>
      </vt:variant>
      <vt:variant>
        <vt:lpwstr/>
      </vt:variant>
      <vt:variant>
        <vt:i4>655474</vt:i4>
      </vt:variant>
      <vt:variant>
        <vt:i4>60</vt:i4>
      </vt:variant>
      <vt:variant>
        <vt:i4>0</vt:i4>
      </vt:variant>
      <vt:variant>
        <vt:i4>5</vt:i4>
      </vt:variant>
      <vt:variant>
        <vt:lpwstr>http://www.law.cornell.edu/uscode/html/uscode38/usc_sec_38_00001702----000-.html</vt:lpwstr>
      </vt:variant>
      <vt:variant>
        <vt:lpwstr/>
      </vt:variant>
      <vt:variant>
        <vt:i4>131172</vt:i4>
      </vt:variant>
      <vt:variant>
        <vt:i4>57</vt:i4>
      </vt:variant>
      <vt:variant>
        <vt:i4>0</vt:i4>
      </vt:variant>
      <vt:variant>
        <vt:i4>5</vt:i4>
      </vt:variant>
      <vt:variant>
        <vt:lpwstr>http://www.benefits.va.gov/warms/docs/regs/38CFR/BOOKB/PART3/S3_105.DOC</vt:lpwstr>
      </vt:variant>
      <vt:variant>
        <vt:lpwstr/>
      </vt:variant>
      <vt:variant>
        <vt:i4>2424886</vt:i4>
      </vt:variant>
      <vt:variant>
        <vt:i4>51</vt:i4>
      </vt:variant>
      <vt:variant>
        <vt:i4>0</vt:i4>
      </vt:variant>
      <vt:variant>
        <vt:i4>5</vt:i4>
      </vt:variant>
      <vt:variant>
        <vt:lpwstr>imi-internal:M21-1MRIII.iv.8.E.17.i</vt:lpwstr>
      </vt:variant>
      <vt:variant>
        <vt:lpwstr/>
      </vt:variant>
      <vt:variant>
        <vt:i4>327681</vt:i4>
      </vt:variant>
      <vt:variant>
        <vt:i4>48</vt:i4>
      </vt:variant>
      <vt:variant>
        <vt:i4>0</vt:i4>
      </vt:variant>
      <vt:variant>
        <vt:i4>5</vt:i4>
      </vt:variant>
      <vt:variant>
        <vt:lpwstr>imi-internal:M21-1MRIII.iv.8.C.9</vt:lpwstr>
      </vt:variant>
      <vt:variant>
        <vt:lpwstr/>
      </vt:variant>
      <vt:variant>
        <vt:i4>4128870</vt:i4>
      </vt:variant>
      <vt:variant>
        <vt:i4>45</vt:i4>
      </vt:variant>
      <vt:variant>
        <vt:i4>0</vt:i4>
      </vt:variant>
      <vt:variant>
        <vt:i4>5</vt:i4>
      </vt:variant>
      <vt:variant>
        <vt:lpwstr>http://vbaw.vba.va.gov/bl/21/advisory/CAVCDAD.htm</vt:lpwstr>
      </vt:variant>
      <vt:variant>
        <vt:lpwstr>bma</vt:lpwstr>
      </vt:variant>
      <vt:variant>
        <vt:i4>131172</vt:i4>
      </vt:variant>
      <vt:variant>
        <vt:i4>42</vt:i4>
      </vt:variant>
      <vt:variant>
        <vt:i4>0</vt:i4>
      </vt:variant>
      <vt:variant>
        <vt:i4>5</vt:i4>
      </vt:variant>
      <vt:variant>
        <vt:lpwstr>http://www.benefits.va.gov/warms/docs/regs/38CFR/BOOKB/PART3/S3_105.DOC</vt:lpwstr>
      </vt:variant>
      <vt:variant>
        <vt:lpwstr/>
      </vt:variant>
      <vt:variant>
        <vt:i4>131172</vt:i4>
      </vt:variant>
      <vt:variant>
        <vt:i4>39</vt:i4>
      </vt:variant>
      <vt:variant>
        <vt:i4>0</vt:i4>
      </vt:variant>
      <vt:variant>
        <vt:i4>5</vt:i4>
      </vt:variant>
      <vt:variant>
        <vt:lpwstr>http://www.benefits.va.gov/warms/docs/regs/38CFR/BOOKB/PART3/S3_105.DOC</vt:lpwstr>
      </vt:variant>
      <vt:variant>
        <vt:lpwstr/>
      </vt:variant>
      <vt:variant>
        <vt:i4>131172</vt:i4>
      </vt:variant>
      <vt:variant>
        <vt:i4>36</vt:i4>
      </vt:variant>
      <vt:variant>
        <vt:i4>0</vt:i4>
      </vt:variant>
      <vt:variant>
        <vt:i4>5</vt:i4>
      </vt:variant>
      <vt:variant>
        <vt:lpwstr>http://www.benefits.va.gov/warms/docs/regs/38CFR/BOOKB/PART3/S3_105.DOC</vt:lpwstr>
      </vt:variant>
      <vt:variant>
        <vt:lpwstr/>
      </vt:variant>
      <vt:variant>
        <vt:i4>96</vt:i4>
      </vt:variant>
      <vt:variant>
        <vt:i4>33</vt:i4>
      </vt:variant>
      <vt:variant>
        <vt:i4>0</vt:i4>
      </vt:variant>
      <vt:variant>
        <vt:i4>5</vt:i4>
      </vt:variant>
      <vt:variant>
        <vt:lpwstr>http://www.benefits.va.gov/warms/docs/regs/38CFR/BOOKB/PART3/S3_323.DOC</vt:lpwstr>
      </vt:variant>
      <vt:variant>
        <vt:lpwstr/>
      </vt:variant>
      <vt:variant>
        <vt:i4>458851</vt:i4>
      </vt:variant>
      <vt:variant>
        <vt:i4>30</vt:i4>
      </vt:variant>
      <vt:variant>
        <vt:i4>0</vt:i4>
      </vt:variant>
      <vt:variant>
        <vt:i4>5</vt:i4>
      </vt:variant>
      <vt:variant>
        <vt:lpwstr>http://www.benefits.va.gov/warms/docs/regs/38CFR/BOOKB/PART3/S3_655.DOC</vt:lpwstr>
      </vt:variant>
      <vt:variant>
        <vt:lpwstr/>
      </vt:variant>
      <vt:variant>
        <vt:i4>4784219</vt:i4>
      </vt:variant>
      <vt:variant>
        <vt:i4>27</vt:i4>
      </vt:variant>
      <vt:variant>
        <vt:i4>0</vt:i4>
      </vt:variant>
      <vt:variant>
        <vt:i4>5</vt:i4>
      </vt:variant>
      <vt:variant>
        <vt:lpwstr>imi-internal:M21-1MRIV.ii.3.B</vt:lpwstr>
      </vt:variant>
      <vt:variant>
        <vt:lpwstr/>
      </vt:variant>
      <vt:variant>
        <vt:i4>2424887</vt:i4>
      </vt:variant>
      <vt:variant>
        <vt:i4>24</vt:i4>
      </vt:variant>
      <vt:variant>
        <vt:i4>0</vt:i4>
      </vt:variant>
      <vt:variant>
        <vt:i4>5</vt:i4>
      </vt:variant>
      <vt:variant>
        <vt:lpwstr>imi-internal:M21-1MRIII.iv.8.E.16.b</vt:lpwstr>
      </vt:variant>
      <vt:variant>
        <vt:lpwstr/>
      </vt:variant>
      <vt:variant>
        <vt:i4>458851</vt:i4>
      </vt:variant>
      <vt:variant>
        <vt:i4>18</vt:i4>
      </vt:variant>
      <vt:variant>
        <vt:i4>0</vt:i4>
      </vt:variant>
      <vt:variant>
        <vt:i4>5</vt:i4>
      </vt:variant>
      <vt:variant>
        <vt:lpwstr>http://www.benefits.va.gov/warms/docs/regs/38CFR/BOOKB/PART3/S3_655.DOC</vt:lpwstr>
      </vt:variant>
      <vt:variant>
        <vt:lpwstr/>
      </vt:variant>
      <vt:variant>
        <vt:i4>2687028</vt:i4>
      </vt:variant>
      <vt:variant>
        <vt:i4>15</vt:i4>
      </vt:variant>
      <vt:variant>
        <vt:i4>0</vt:i4>
      </vt:variant>
      <vt:variant>
        <vt:i4>5</vt:i4>
      </vt:variant>
      <vt:variant>
        <vt:lpwstr>imi-internal:M21-1MRIII.iv.3.B.15.e</vt:lpwstr>
      </vt:variant>
      <vt:variant>
        <vt:lpwstr/>
      </vt:variant>
      <vt:variant>
        <vt:i4>458859</vt:i4>
      </vt:variant>
      <vt:variant>
        <vt:i4>12</vt:i4>
      </vt:variant>
      <vt:variant>
        <vt:i4>0</vt:i4>
      </vt:variant>
      <vt:variant>
        <vt:i4>5</vt:i4>
      </vt:variant>
      <vt:variant>
        <vt:lpwstr>http://www.benefits.va.gov/warms/docs/regs/38CFR/BOOKB/PART3/S3_952.DOC</vt:lpwstr>
      </vt:variant>
      <vt:variant>
        <vt:lpwstr/>
      </vt:variant>
      <vt:variant>
        <vt:i4>458857</vt:i4>
      </vt:variant>
      <vt:variant>
        <vt:i4>9</vt:i4>
      </vt:variant>
      <vt:variant>
        <vt:i4>0</vt:i4>
      </vt:variant>
      <vt:variant>
        <vt:i4>5</vt:i4>
      </vt:variant>
      <vt:variant>
        <vt:lpwstr>http://www.benefits.va.gov/warms/docs/regs/38CFR/BOOKB/PART3/S3_950.DOC</vt:lpwstr>
      </vt:variant>
      <vt:variant>
        <vt:lpwstr/>
      </vt:variant>
      <vt:variant>
        <vt:i4>4128870</vt:i4>
      </vt:variant>
      <vt:variant>
        <vt:i4>3</vt:i4>
      </vt:variant>
      <vt:variant>
        <vt:i4>0</vt:i4>
      </vt:variant>
      <vt:variant>
        <vt:i4>5</vt:i4>
      </vt:variant>
      <vt:variant>
        <vt:lpwstr>http://vbaw.vba.va.gov/bl/21/Advisory/CAVCDAD.htm</vt:lpwstr>
      </vt:variant>
      <vt:variant>
        <vt:lpwstr>bmk</vt:lpwstr>
      </vt:variant>
      <vt:variant>
        <vt:i4>2687028</vt:i4>
      </vt:variant>
      <vt:variant>
        <vt:i4>0</vt:i4>
      </vt:variant>
      <vt:variant>
        <vt:i4>0</vt:i4>
      </vt:variant>
      <vt:variant>
        <vt:i4>5</vt:i4>
      </vt:variant>
      <vt:variant>
        <vt:lpwstr>imi-internal:M21-1MRIII.iv.3.B.15.e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Rating Due Process Issues</dc:subject>
  <dc:creator>Department of Veterans Affairs</dc:creator>
  <cp:keywords>Failure, Report, Examination, Good Cause, Severance, Character, Discharge, Line, Duty, Willful, Misconduct</cp:keywords>
  <dc:description>Topics on other due process concerns including failure to report for an examination, good cause severance of service connection and reversal of character of discharge, line of duty or willful misconduct determinations.</dc:description>
  <cp:lastModifiedBy>Mazar, Leah B., VBAVACO</cp:lastModifiedBy>
  <cp:revision>14</cp:revision>
  <cp:lastPrinted>2012-06-05T14:29:00Z</cp:lastPrinted>
  <dcterms:created xsi:type="dcterms:W3CDTF">2014-08-14T13:47:00Z</dcterms:created>
  <dcterms:modified xsi:type="dcterms:W3CDTF">2014-09-18T13:34:00Z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20040420</vt:lpwstr>
  </property>
  <property fmtid="{D5CDD505-2E9C-101B-9397-08002B2CF9AE}" pid="3" name="DateReviewed">
    <vt:lpwstr>20140814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vt:lpwstr>
  </property>
</Properties>
</file>