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8155" w14:textId="77777777" w:rsidR="00E82303" w:rsidRPr="00D21D64" w:rsidRDefault="00E82303" w:rsidP="00F548B6">
      <w:pPr>
        <w:pStyle w:val="Heading2"/>
      </w:pPr>
      <w:r w:rsidRPr="00D21D64">
        <w:t>Section A.  Evaluating Competency</w:t>
      </w:r>
    </w:p>
    <w:p w14:paraId="2A0F8156" w14:textId="77777777" w:rsidR="00E82303" w:rsidRPr="00D21D64" w:rsidRDefault="00E82303">
      <w:pPr>
        <w:pStyle w:val="Heading4"/>
      </w:pPr>
      <w:r w:rsidRPr="00D21D64">
        <w:fldChar w:fldCharType="begin"/>
      </w:r>
      <w:r w:rsidRPr="00D21D64">
        <w:instrText xml:space="preserve"> PRIVATE INFOTYPE="OTHER" </w:instrText>
      </w:r>
      <w:r w:rsidRPr="00D21D64">
        <w:fldChar w:fldCharType="end"/>
      </w:r>
      <w:r w:rsidRPr="00D21D64">
        <w:t>Overview</w:t>
      </w:r>
    </w:p>
    <w:p w14:paraId="2A0F8157" w14:textId="77777777" w:rsidR="00E82303" w:rsidRPr="00D21D64" w:rsidRDefault="00253101">
      <w:pPr>
        <w:pStyle w:val="BlockLine"/>
      </w:pPr>
      <w:r w:rsidRPr="00D21D64">
        <w:fldChar w:fldCharType="begin"/>
      </w:r>
      <w:r w:rsidRPr="00D21D64">
        <w:instrText xml:space="preserve"> PRIVATE INFOTYPE="OTHER"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15A" w14:textId="77777777">
        <w:trPr>
          <w:cantSplit/>
        </w:trPr>
        <w:tc>
          <w:tcPr>
            <w:tcW w:w="1728" w:type="dxa"/>
          </w:tcPr>
          <w:p w14:paraId="2A0F8158" w14:textId="77777777" w:rsidR="00E82303" w:rsidRPr="00D21D64" w:rsidRDefault="00E82303">
            <w:pPr>
              <w:pStyle w:val="Heading5"/>
            </w:pPr>
            <w:r w:rsidRPr="00D21D64">
              <w:t>In this Section</w:t>
            </w:r>
          </w:p>
        </w:tc>
        <w:tc>
          <w:tcPr>
            <w:tcW w:w="7740" w:type="dxa"/>
          </w:tcPr>
          <w:p w14:paraId="2A0F8159" w14:textId="77777777" w:rsidR="00E82303" w:rsidRPr="00D21D64" w:rsidRDefault="00E82303">
            <w:pPr>
              <w:pStyle w:val="BlockText"/>
            </w:pPr>
            <w:r w:rsidRPr="00D21D64">
              <w:t>This section contains the following topics:</w:t>
            </w:r>
          </w:p>
        </w:tc>
      </w:tr>
    </w:tbl>
    <w:p w14:paraId="2A0F815B" w14:textId="77777777" w:rsidR="00E82303" w:rsidRPr="00D21D64" w:rsidRDefault="00E82303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96"/>
        <w:gridCol w:w="4968"/>
        <w:gridCol w:w="1296"/>
      </w:tblGrid>
      <w:tr w:rsidR="00E82303" w:rsidRPr="00D21D64" w14:paraId="2A0F815F" w14:textId="77777777" w:rsidTr="00804509">
        <w:trPr>
          <w:cantSplit/>
          <w:trHeight w:val="345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5C" w14:textId="77777777" w:rsidR="00E82303" w:rsidRPr="00D21D64" w:rsidRDefault="00E82303">
            <w:pPr>
              <w:pStyle w:val="TableHeaderText"/>
            </w:pPr>
            <w:r w:rsidRPr="00D21D64">
              <w:t>Topic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5D" w14:textId="77777777" w:rsidR="00E82303" w:rsidRPr="00D21D64" w:rsidRDefault="00E82303">
            <w:pPr>
              <w:pStyle w:val="TableHeaderText"/>
            </w:pPr>
            <w:r w:rsidRPr="00D21D64">
              <w:t>Topic Name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5E" w14:textId="77777777" w:rsidR="00E82303" w:rsidRPr="00D21D64" w:rsidRDefault="00E82303">
            <w:pPr>
              <w:pStyle w:val="TableHeaderText"/>
            </w:pPr>
            <w:r w:rsidRPr="00D21D64">
              <w:t>See Page</w:t>
            </w:r>
          </w:p>
        </w:tc>
      </w:tr>
      <w:tr w:rsidR="00E82303" w:rsidRPr="00D21D64" w14:paraId="2A0F8163" w14:textId="77777777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60" w14:textId="060294CD" w:rsidR="00E82303" w:rsidRPr="00D21D64" w:rsidRDefault="00D21D64">
            <w:pPr>
              <w:pStyle w:val="TableText"/>
              <w:jc w:val="center"/>
            </w:pPr>
            <w:hyperlink w:anchor="Topic1" w:history="1">
              <w:r w:rsidR="00E82303" w:rsidRPr="00D21D64">
                <w:rPr>
                  <w:rStyle w:val="Hyperlink"/>
                </w:rPr>
                <w:t>1</w:t>
              </w:r>
            </w:hyperlink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61" w14:textId="77777777" w:rsidR="00E82303" w:rsidRPr="00D21D64" w:rsidRDefault="00E82303">
            <w:pPr>
              <w:pStyle w:val="TableText"/>
            </w:pPr>
            <w:r w:rsidRPr="00D21D64">
              <w:t>Guidelines for Evaluating Competency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62" w14:textId="77777777" w:rsidR="00E82303" w:rsidRPr="00D21D64" w:rsidRDefault="00E82303">
            <w:pPr>
              <w:pStyle w:val="TableText"/>
              <w:jc w:val="center"/>
            </w:pPr>
            <w:r w:rsidRPr="00D21D64">
              <w:t>8-A-2</w:t>
            </w:r>
          </w:p>
        </w:tc>
      </w:tr>
      <w:tr w:rsidR="00E82303" w:rsidRPr="00D21D64" w14:paraId="2A0F8167" w14:textId="77777777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64" w14:textId="64D22B7F" w:rsidR="00E82303" w:rsidRPr="00D21D64" w:rsidRDefault="00D21D64">
            <w:pPr>
              <w:pStyle w:val="TableText"/>
              <w:jc w:val="center"/>
            </w:pPr>
            <w:hyperlink w:anchor="Topic2" w:history="1">
              <w:r w:rsidR="00E82303" w:rsidRPr="00D21D64">
                <w:rPr>
                  <w:rStyle w:val="Hyperlink"/>
                </w:rPr>
                <w:t>2</w:t>
              </w:r>
            </w:hyperlink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65" w14:textId="77777777" w:rsidR="00E82303" w:rsidRPr="00D21D64" w:rsidRDefault="00E82303">
            <w:pPr>
              <w:pStyle w:val="TableText"/>
            </w:pPr>
            <w:r w:rsidRPr="00D21D64">
              <w:t>Considering Competency While Evaluating Evidence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66" w14:textId="77777777" w:rsidR="00E82303" w:rsidRPr="00D21D64" w:rsidRDefault="00E82303">
            <w:pPr>
              <w:pStyle w:val="TableText"/>
              <w:jc w:val="center"/>
            </w:pPr>
            <w:r w:rsidRPr="00D21D64">
              <w:t>8-A-4</w:t>
            </w:r>
          </w:p>
        </w:tc>
      </w:tr>
      <w:tr w:rsidR="00E82303" w:rsidRPr="00D21D64" w14:paraId="2A0F816B" w14:textId="77777777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68" w14:textId="6E9B5281" w:rsidR="00E82303" w:rsidRPr="00D21D64" w:rsidRDefault="00D21D64">
            <w:pPr>
              <w:pStyle w:val="TableText"/>
              <w:jc w:val="center"/>
            </w:pPr>
            <w:hyperlink w:anchor="Topic3" w:history="1">
              <w:r w:rsidR="00E82303" w:rsidRPr="00D21D64">
                <w:rPr>
                  <w:rStyle w:val="Hyperlink"/>
                </w:rPr>
                <w:t>3</w:t>
              </w:r>
            </w:hyperlink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69" w14:textId="77777777" w:rsidR="00E82303" w:rsidRPr="00D21D64" w:rsidRDefault="00E82303">
            <w:pPr>
              <w:pStyle w:val="TableText"/>
            </w:pPr>
            <w:r w:rsidRPr="00D21D64">
              <w:t>Process for Making Competency Determinations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6A" w14:textId="0AE28948" w:rsidR="00E82303" w:rsidRPr="00D21D64" w:rsidRDefault="00E82303">
            <w:pPr>
              <w:pStyle w:val="TableText"/>
              <w:jc w:val="center"/>
            </w:pPr>
            <w:r w:rsidRPr="00D21D64">
              <w:t>8-A-</w:t>
            </w:r>
            <w:r w:rsidR="0071468A" w:rsidRPr="00D21D64">
              <w:t>7</w:t>
            </w:r>
          </w:p>
        </w:tc>
      </w:tr>
      <w:tr w:rsidR="00E82303" w:rsidRPr="00D21D64" w14:paraId="2A0F816F" w14:textId="77777777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6C" w14:textId="2AF8B5BF" w:rsidR="00E82303" w:rsidRPr="00D21D64" w:rsidRDefault="00D21D64">
            <w:pPr>
              <w:pStyle w:val="TableText"/>
              <w:jc w:val="center"/>
            </w:pPr>
            <w:hyperlink w:anchor="Topic4" w:history="1">
              <w:r w:rsidR="00E82303" w:rsidRPr="00D21D64">
                <w:rPr>
                  <w:rStyle w:val="Hyperlink"/>
                </w:rPr>
                <w:t>4</w:t>
              </w:r>
            </w:hyperlink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6D" w14:textId="77777777" w:rsidR="00E82303" w:rsidRPr="00D21D64" w:rsidRDefault="00E82303">
            <w:pPr>
              <w:pStyle w:val="TableText"/>
            </w:pPr>
            <w:r w:rsidRPr="00D21D64">
              <w:t>Changing Competency Status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6E" w14:textId="6EF9C6C6" w:rsidR="00E82303" w:rsidRPr="00D21D64" w:rsidRDefault="00E82303" w:rsidP="0014461D">
            <w:pPr>
              <w:pStyle w:val="TableText"/>
              <w:jc w:val="center"/>
            </w:pPr>
            <w:r w:rsidRPr="00D21D64">
              <w:t>8-A-</w:t>
            </w:r>
            <w:r w:rsidR="0029156E" w:rsidRPr="00D21D64">
              <w:t>10</w:t>
            </w:r>
          </w:p>
        </w:tc>
      </w:tr>
      <w:tr w:rsidR="00E82303" w:rsidRPr="00D21D64" w14:paraId="2A0F8173" w14:textId="77777777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70" w14:textId="58E581B5" w:rsidR="00E82303" w:rsidRPr="00D21D64" w:rsidRDefault="00D21D64">
            <w:pPr>
              <w:pStyle w:val="TableText"/>
              <w:jc w:val="center"/>
            </w:pPr>
            <w:hyperlink w:anchor="Topic5" w:history="1">
              <w:r w:rsidR="00E82303" w:rsidRPr="00D21D64">
                <w:rPr>
                  <w:rStyle w:val="Hyperlink"/>
                </w:rPr>
                <w:t>5</w:t>
              </w:r>
            </w:hyperlink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71" w14:textId="77777777" w:rsidR="00E82303" w:rsidRPr="00D21D64" w:rsidRDefault="00E82303">
            <w:pPr>
              <w:pStyle w:val="TableText"/>
            </w:pPr>
            <w:r w:rsidRPr="00D21D64">
              <w:t>Evaluating Competency in Special Circumstances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72" w14:textId="074F04EE" w:rsidR="00E82303" w:rsidRPr="00D21D64" w:rsidRDefault="00E82303" w:rsidP="0014461D">
            <w:pPr>
              <w:pStyle w:val="TableText"/>
              <w:jc w:val="center"/>
            </w:pPr>
            <w:r w:rsidRPr="00D21D64">
              <w:t>8-A-1</w:t>
            </w:r>
            <w:r w:rsidR="005B46D1" w:rsidRPr="00D21D64">
              <w:t>2</w:t>
            </w:r>
          </w:p>
        </w:tc>
      </w:tr>
    </w:tbl>
    <w:p w14:paraId="2A0F8174" w14:textId="77777777" w:rsidR="00E82303" w:rsidRPr="00D21D64" w:rsidRDefault="00E82303">
      <w:pPr>
        <w:pStyle w:val="BlockLine"/>
      </w:pPr>
    </w:p>
    <w:p w14:paraId="2A0F8175" w14:textId="77777777" w:rsidR="00E82303" w:rsidRPr="00D21D64" w:rsidRDefault="00E82303">
      <w:pPr>
        <w:pStyle w:val="Heading4"/>
      </w:pPr>
      <w:r w:rsidRPr="00D21D64">
        <w:br w:type="page"/>
      </w:r>
      <w:r w:rsidRPr="00D21D64">
        <w:lastRenderedPageBreak/>
        <w:t xml:space="preserve">1.  </w:t>
      </w:r>
      <w:bookmarkStart w:id="0" w:name="Topic1"/>
      <w:bookmarkEnd w:id="0"/>
      <w:r w:rsidRPr="00D21D64">
        <w:t>Guidelines for Evaluating Competency</w:t>
      </w:r>
    </w:p>
    <w:p w14:paraId="2A0F8176" w14:textId="77777777" w:rsidR="00E82303" w:rsidRPr="00D21D64" w:rsidRDefault="00E82303">
      <w:pPr>
        <w:pStyle w:val="BlockLine"/>
      </w:pPr>
      <w:r w:rsidRPr="00D21D64">
        <w:fldChar w:fldCharType="begin"/>
      </w:r>
      <w:r w:rsidRPr="00D21D64">
        <w:instrText xml:space="preserve"> PRIVATE INFOTYPE="OTHER"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17F" w14:textId="77777777">
        <w:trPr>
          <w:cantSplit/>
        </w:trPr>
        <w:tc>
          <w:tcPr>
            <w:tcW w:w="1728" w:type="dxa"/>
          </w:tcPr>
          <w:p w14:paraId="2A0F8177" w14:textId="77777777" w:rsidR="00E82303" w:rsidRPr="00D21D64" w:rsidRDefault="00E82303">
            <w:pPr>
              <w:pStyle w:val="Heading5"/>
            </w:pPr>
            <w:r w:rsidRPr="00D21D64">
              <w:t>Introduction</w:t>
            </w:r>
          </w:p>
        </w:tc>
        <w:tc>
          <w:tcPr>
            <w:tcW w:w="7740" w:type="dxa"/>
          </w:tcPr>
          <w:p w14:paraId="2A0F8178" w14:textId="77777777" w:rsidR="00E82303" w:rsidRPr="00D21D64" w:rsidRDefault="00E82303">
            <w:pPr>
              <w:pStyle w:val="BlockText"/>
            </w:pPr>
            <w:r w:rsidRPr="00D21D64">
              <w:t>This topic contains information on the guidelines for evaluating competency, including</w:t>
            </w:r>
          </w:p>
          <w:p w14:paraId="2A0F8179" w14:textId="77777777" w:rsidR="00E82303" w:rsidRPr="00D21D64" w:rsidRDefault="00E82303">
            <w:pPr>
              <w:pStyle w:val="BlockText"/>
            </w:pPr>
          </w:p>
          <w:p w14:paraId="2A0F817A" w14:textId="13CB1ADC" w:rsidR="00E82303" w:rsidRPr="00D21D64" w:rsidRDefault="00D21D64">
            <w:pPr>
              <w:pStyle w:val="BulletText1"/>
            </w:pPr>
            <w:hyperlink w:anchor="_a.__Who" w:history="1">
              <w:r w:rsidR="00E82303" w:rsidRPr="00D21D64">
                <w:rPr>
                  <w:rStyle w:val="Hyperlink"/>
                </w:rPr>
                <w:t>who has the authority to determine competency</w:t>
              </w:r>
            </w:hyperlink>
          </w:p>
          <w:p w14:paraId="2A0F817B" w14:textId="6F13AB62" w:rsidR="00E82303" w:rsidRPr="00D21D64" w:rsidRDefault="00D21D64">
            <w:pPr>
              <w:pStyle w:val="BulletText1"/>
            </w:pPr>
            <w:hyperlink w:anchor="_b.__Effect" w:history="1">
              <w:r w:rsidR="00E82303" w:rsidRPr="00D21D64">
                <w:rPr>
                  <w:rStyle w:val="Hyperlink"/>
                </w:rPr>
                <w:t>the effect of judicial findings on the rating activity</w:t>
              </w:r>
            </w:hyperlink>
          </w:p>
          <w:p w14:paraId="2A0F817C" w14:textId="58ED1C07" w:rsidR="00E82303" w:rsidRPr="00D21D64" w:rsidRDefault="00D21D64">
            <w:pPr>
              <w:pStyle w:val="BulletText1"/>
            </w:pPr>
            <w:hyperlink w:anchor="_c.__Presuming" w:history="1">
              <w:r w:rsidR="00E82303" w:rsidRPr="00D21D64">
                <w:rPr>
                  <w:rStyle w:val="Hyperlink"/>
                </w:rPr>
                <w:t>presuming competency</w:t>
              </w:r>
            </w:hyperlink>
          </w:p>
          <w:p w14:paraId="2A0F817D" w14:textId="64A59E1E" w:rsidR="00E82303" w:rsidRPr="00D21D64" w:rsidRDefault="00D21D64">
            <w:pPr>
              <w:pStyle w:val="BulletText1"/>
            </w:pPr>
            <w:hyperlink w:anchor="_d.__Making" w:history="1">
              <w:r w:rsidR="00E82303" w:rsidRPr="00D21D64">
                <w:rPr>
                  <w:rStyle w:val="Hyperlink"/>
                </w:rPr>
                <w:t>making a finding of incompetency</w:t>
              </w:r>
            </w:hyperlink>
            <w:r w:rsidR="00E82303" w:rsidRPr="00D21D64">
              <w:t>, and</w:t>
            </w:r>
          </w:p>
          <w:p w14:paraId="2A0F817E" w14:textId="7F1F9215" w:rsidR="00E82303" w:rsidRPr="00D21D64" w:rsidRDefault="00D21D64">
            <w:pPr>
              <w:pStyle w:val="BulletText1"/>
            </w:pPr>
            <w:hyperlink w:anchor="_e.__Considering" w:history="1">
              <w:proofErr w:type="gramStart"/>
              <w:r w:rsidR="00E82303" w:rsidRPr="00D21D64">
                <w:rPr>
                  <w:rStyle w:val="Hyperlink"/>
                </w:rPr>
                <w:t>considering</w:t>
              </w:r>
              <w:proofErr w:type="gramEnd"/>
              <w:r w:rsidR="00E82303" w:rsidRPr="00D21D64">
                <w:rPr>
                  <w:rStyle w:val="Hyperlink"/>
                </w:rPr>
                <w:t xml:space="preserve"> the </w:t>
              </w:r>
              <w:r w:rsidR="00A65B2A" w:rsidRPr="00D21D64">
                <w:rPr>
                  <w:rStyle w:val="Hyperlink"/>
                </w:rPr>
                <w:t>Veteran</w:t>
              </w:r>
              <w:r w:rsidR="00E82303" w:rsidRPr="00D21D64">
                <w:rPr>
                  <w:rStyle w:val="Hyperlink"/>
                </w:rPr>
                <w:t>s Service Center Manager’s (VSCM’s) opinion</w:t>
              </w:r>
            </w:hyperlink>
            <w:r w:rsidR="00E82303" w:rsidRPr="00D21D64">
              <w:t>.</w:t>
            </w:r>
          </w:p>
        </w:tc>
      </w:tr>
    </w:tbl>
    <w:p w14:paraId="2A0F8180" w14:textId="77777777" w:rsidR="00E82303" w:rsidRPr="00D21D64" w:rsidRDefault="00E8230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183" w14:textId="77777777">
        <w:trPr>
          <w:cantSplit/>
        </w:trPr>
        <w:tc>
          <w:tcPr>
            <w:tcW w:w="1728" w:type="dxa"/>
          </w:tcPr>
          <w:p w14:paraId="2A0F8181" w14:textId="77777777" w:rsidR="00E82303" w:rsidRPr="00D21D64" w:rsidRDefault="00E82303">
            <w:pPr>
              <w:pStyle w:val="Heading5"/>
            </w:pPr>
            <w:r w:rsidRPr="00D21D64">
              <w:t>Change Date</w:t>
            </w:r>
          </w:p>
        </w:tc>
        <w:tc>
          <w:tcPr>
            <w:tcW w:w="7740" w:type="dxa"/>
          </w:tcPr>
          <w:p w14:paraId="2A0F8182" w14:textId="77777777" w:rsidR="00E82303" w:rsidRPr="00D21D64" w:rsidRDefault="00E82303">
            <w:pPr>
              <w:pStyle w:val="BlockText"/>
            </w:pPr>
            <w:r w:rsidRPr="00D21D64">
              <w:t>December 13, 2005</w:t>
            </w:r>
          </w:p>
        </w:tc>
      </w:tr>
    </w:tbl>
    <w:p w14:paraId="2A0F8184" w14:textId="77777777" w:rsidR="00E82303" w:rsidRPr="00D21D64" w:rsidRDefault="00253101">
      <w:pPr>
        <w:pStyle w:val="BlockLine"/>
      </w:pPr>
      <w:r w:rsidRPr="00D21D64">
        <w:fldChar w:fldCharType="begin"/>
      </w:r>
      <w:r w:rsidRPr="00D21D64">
        <w:instrText xml:space="preserve"> PRIVATE INFOTYPE="PRINCIPLE"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18B" w14:textId="77777777">
        <w:trPr>
          <w:cantSplit/>
        </w:trPr>
        <w:tc>
          <w:tcPr>
            <w:tcW w:w="1728" w:type="dxa"/>
          </w:tcPr>
          <w:p w14:paraId="2A0F8185" w14:textId="77777777" w:rsidR="00E82303" w:rsidRPr="00D21D64" w:rsidRDefault="00E82303">
            <w:pPr>
              <w:pStyle w:val="Heading5"/>
            </w:pPr>
            <w:bookmarkStart w:id="1" w:name="_a.__Who"/>
            <w:bookmarkEnd w:id="1"/>
            <w:proofErr w:type="gramStart"/>
            <w:r w:rsidRPr="00D21D64">
              <w:t>a.  Who</w:t>
            </w:r>
            <w:proofErr w:type="gramEnd"/>
            <w:r w:rsidRPr="00D21D64">
              <w:t xml:space="preserve"> Has Authority to Determine Competency</w:t>
            </w:r>
          </w:p>
        </w:tc>
        <w:tc>
          <w:tcPr>
            <w:tcW w:w="7740" w:type="dxa"/>
          </w:tcPr>
          <w:p w14:paraId="2A0F8186" w14:textId="77777777" w:rsidR="00E82303" w:rsidRPr="00D21D64" w:rsidRDefault="00E82303">
            <w:pPr>
              <w:pStyle w:val="BlockText"/>
            </w:pPr>
            <w:r w:rsidRPr="00D21D64">
              <w:t xml:space="preserve">The rating activity has sole authority to make determinations of competency and incompetency for Department of </w:t>
            </w:r>
            <w:r w:rsidR="00A65B2A" w:rsidRPr="00D21D64">
              <w:t>Veteran</w:t>
            </w:r>
            <w:r w:rsidRPr="00D21D64">
              <w:t>s Affairs (VA) purposes.</w:t>
            </w:r>
          </w:p>
          <w:p w14:paraId="2A0F8187" w14:textId="77777777" w:rsidR="00E82303" w:rsidRPr="00D21D64" w:rsidRDefault="00E82303">
            <w:pPr>
              <w:pStyle w:val="BlockText"/>
            </w:pPr>
          </w:p>
          <w:p w14:paraId="2A0F8188" w14:textId="77777777" w:rsidR="00E82303" w:rsidRPr="00D21D64" w:rsidRDefault="00E82303">
            <w:pPr>
              <w:pStyle w:val="BlockText"/>
            </w:pPr>
            <w:r w:rsidRPr="00D21D64">
              <w:rPr>
                <w:b/>
                <w:i/>
              </w:rPr>
              <w:t>Reference</w:t>
            </w:r>
            <w:r w:rsidRPr="00D21D64">
              <w:t>:  For more information determining incompetency, see</w:t>
            </w:r>
          </w:p>
          <w:p w14:paraId="2A0F8189" w14:textId="5606DA00" w:rsidR="00E82303" w:rsidRPr="00D21D64" w:rsidRDefault="00D21D64">
            <w:pPr>
              <w:pStyle w:val="BulletText1"/>
            </w:pPr>
            <w:hyperlink r:id="rId13" w:history="1">
              <w:r w:rsidR="0098486A" w:rsidRPr="00D21D64">
                <w:rPr>
                  <w:rStyle w:val="Hyperlink"/>
                </w:rPr>
                <w:t>M21-1MR, Part III, Subpart v, 9</w:t>
              </w:r>
            </w:hyperlink>
            <w:r w:rsidR="00E82303" w:rsidRPr="00D21D64">
              <w:t>, and</w:t>
            </w:r>
          </w:p>
          <w:p w14:paraId="2A0F818A" w14:textId="74A240A3" w:rsidR="00E82303" w:rsidRPr="00D21D64" w:rsidRDefault="00D21D64">
            <w:pPr>
              <w:pStyle w:val="BulletText1"/>
            </w:pPr>
            <w:hyperlink r:id="rId14" w:history="1">
              <w:r w:rsidR="00AD5BBE" w:rsidRPr="00D21D64">
                <w:rPr>
                  <w:rStyle w:val="Hyperlink"/>
                </w:rPr>
                <w:t>38 CFR</w:t>
              </w:r>
              <w:r w:rsidR="0098486A" w:rsidRPr="00D21D64">
                <w:rPr>
                  <w:rStyle w:val="Hyperlink"/>
                </w:rPr>
                <w:t xml:space="preserve"> 3</w:t>
              </w:r>
              <w:r w:rsidR="00E82303" w:rsidRPr="00D21D64">
                <w:rPr>
                  <w:rStyle w:val="Hyperlink"/>
                </w:rPr>
                <w:t>.353(b)</w:t>
              </w:r>
            </w:hyperlink>
            <w:r w:rsidR="00E82303" w:rsidRPr="00D21D64">
              <w:t>.</w:t>
            </w:r>
          </w:p>
        </w:tc>
      </w:tr>
    </w:tbl>
    <w:p w14:paraId="2A0F818C" w14:textId="77777777" w:rsidR="00E82303" w:rsidRPr="00D21D64" w:rsidRDefault="00253101">
      <w:pPr>
        <w:pStyle w:val="BlockLine"/>
      </w:pPr>
      <w:r w:rsidRPr="00D21D64">
        <w:fldChar w:fldCharType="begin"/>
      </w:r>
      <w:r w:rsidRPr="00D21D64">
        <w:instrText xml:space="preserve"> PRIVATE INFOTYPE="PRINCIPLE"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191" w14:textId="77777777">
        <w:trPr>
          <w:cantSplit/>
        </w:trPr>
        <w:tc>
          <w:tcPr>
            <w:tcW w:w="1728" w:type="dxa"/>
          </w:tcPr>
          <w:p w14:paraId="2A0F818D" w14:textId="77777777" w:rsidR="00E82303" w:rsidRPr="00D21D64" w:rsidRDefault="00E82303">
            <w:pPr>
              <w:pStyle w:val="Heading5"/>
            </w:pPr>
            <w:bookmarkStart w:id="2" w:name="_b.__Effect"/>
            <w:bookmarkEnd w:id="2"/>
            <w:proofErr w:type="gramStart"/>
            <w:r w:rsidRPr="00D21D64">
              <w:t>b.  Effect</w:t>
            </w:r>
            <w:proofErr w:type="gramEnd"/>
            <w:r w:rsidRPr="00D21D64">
              <w:t xml:space="preserve"> of Judicial Findings on Rating Activity</w:t>
            </w:r>
          </w:p>
        </w:tc>
        <w:tc>
          <w:tcPr>
            <w:tcW w:w="7740" w:type="dxa"/>
          </w:tcPr>
          <w:p w14:paraId="2A0F818E" w14:textId="77777777" w:rsidR="00E82303" w:rsidRPr="00D21D64" w:rsidRDefault="00E82303">
            <w:pPr>
              <w:pStyle w:val="BlockText"/>
            </w:pPr>
            <w:r w:rsidRPr="00D21D64">
              <w:t xml:space="preserve">Judicial findings of a court with respect to competency of a </w:t>
            </w:r>
            <w:r w:rsidR="00A65B2A" w:rsidRPr="00D21D64">
              <w:t>Veteran</w:t>
            </w:r>
            <w:r w:rsidRPr="00D21D64">
              <w:t xml:space="preserve"> are not binding on the rating activity.</w:t>
            </w:r>
          </w:p>
          <w:p w14:paraId="2A0F818F" w14:textId="77777777" w:rsidR="00E82303" w:rsidRPr="00D21D64" w:rsidRDefault="00E82303">
            <w:pPr>
              <w:pStyle w:val="BlockText"/>
            </w:pPr>
          </w:p>
          <w:p w14:paraId="2A0F8190" w14:textId="77777777" w:rsidR="00E82303" w:rsidRPr="00D21D64" w:rsidRDefault="00E82303">
            <w:pPr>
              <w:pStyle w:val="BlockText"/>
            </w:pPr>
            <w:r w:rsidRPr="00D21D64">
              <w:t xml:space="preserve">However, if a </w:t>
            </w:r>
            <w:r w:rsidR="00A65B2A" w:rsidRPr="00D21D64">
              <w:t>Veteran</w:t>
            </w:r>
            <w:r w:rsidRPr="00D21D64">
              <w:t xml:space="preserve"> is declared by a court to be incompetent, develop all necessary evidence for a rating determination.</w:t>
            </w:r>
          </w:p>
        </w:tc>
      </w:tr>
    </w:tbl>
    <w:p w14:paraId="2A0F8192" w14:textId="77777777" w:rsidR="00E82303" w:rsidRPr="00D21D64" w:rsidRDefault="00253101">
      <w:pPr>
        <w:pStyle w:val="BlockLine"/>
      </w:pPr>
      <w:r w:rsidRPr="00D21D64">
        <w:fldChar w:fldCharType="begin"/>
      </w:r>
      <w:r w:rsidRPr="00D21D64">
        <w:instrText xml:space="preserve"> PRIVATE INFOTYPE="PRINCIPLE"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197" w14:textId="77777777">
        <w:trPr>
          <w:cantSplit/>
        </w:trPr>
        <w:tc>
          <w:tcPr>
            <w:tcW w:w="1728" w:type="dxa"/>
          </w:tcPr>
          <w:p w14:paraId="2A0F8193" w14:textId="77777777" w:rsidR="00E82303" w:rsidRPr="00D21D64" w:rsidRDefault="00E82303">
            <w:pPr>
              <w:pStyle w:val="Heading5"/>
            </w:pPr>
            <w:bookmarkStart w:id="3" w:name="_c.__Presuming"/>
            <w:bookmarkEnd w:id="3"/>
            <w:proofErr w:type="gramStart"/>
            <w:r w:rsidRPr="00D21D64">
              <w:t>c.  Presuming</w:t>
            </w:r>
            <w:proofErr w:type="gramEnd"/>
            <w:r w:rsidRPr="00D21D64">
              <w:t xml:space="preserve"> Competency</w:t>
            </w:r>
          </w:p>
        </w:tc>
        <w:tc>
          <w:tcPr>
            <w:tcW w:w="7740" w:type="dxa"/>
          </w:tcPr>
          <w:p w14:paraId="2A0F8194" w14:textId="77777777" w:rsidR="00E82303" w:rsidRPr="00D21D64" w:rsidRDefault="00E82303">
            <w:pPr>
              <w:pStyle w:val="BlockText"/>
            </w:pPr>
            <w:r w:rsidRPr="00D21D64">
              <w:t>In the absence of clear and convincing evidence to the contrary, presume that a person is competent.</w:t>
            </w:r>
          </w:p>
          <w:p w14:paraId="2A0F8195" w14:textId="77777777" w:rsidR="00E82303" w:rsidRPr="00D21D64" w:rsidRDefault="00E82303">
            <w:pPr>
              <w:pStyle w:val="BlockText"/>
            </w:pPr>
          </w:p>
          <w:p w14:paraId="2A0F8196" w14:textId="0C399D38" w:rsidR="00E82303" w:rsidRPr="00D21D64" w:rsidRDefault="00E82303">
            <w:pPr>
              <w:pStyle w:val="BlockText"/>
            </w:pPr>
            <w:r w:rsidRPr="00D21D64">
              <w:rPr>
                <w:b/>
                <w:i/>
              </w:rPr>
              <w:t>Reference</w:t>
            </w:r>
            <w:r w:rsidRPr="00D21D64">
              <w:t xml:space="preserve">:  For more information on presuming competency, see </w:t>
            </w:r>
            <w:hyperlink r:id="rId15" w:history="1">
              <w:r w:rsidR="00AD5BBE" w:rsidRPr="00D21D64">
                <w:rPr>
                  <w:rStyle w:val="Hyperlink"/>
                </w:rPr>
                <w:t>38 CFR</w:t>
              </w:r>
              <w:r w:rsidR="0098486A" w:rsidRPr="00D21D64">
                <w:rPr>
                  <w:rStyle w:val="Hyperlink"/>
                </w:rPr>
                <w:t xml:space="preserve"> 3</w:t>
              </w:r>
              <w:r w:rsidRPr="00D21D64">
                <w:rPr>
                  <w:rStyle w:val="Hyperlink"/>
                </w:rPr>
                <w:t>.353(d)</w:t>
              </w:r>
            </w:hyperlink>
            <w:r w:rsidRPr="00D21D64">
              <w:t>.</w:t>
            </w:r>
          </w:p>
        </w:tc>
      </w:tr>
    </w:tbl>
    <w:p w14:paraId="2A0F8198" w14:textId="77777777" w:rsidR="00E82303" w:rsidRPr="00D21D64" w:rsidRDefault="00E82303">
      <w:pPr>
        <w:pStyle w:val="ContinuedOnNextPa"/>
      </w:pPr>
      <w:r w:rsidRPr="00D21D64">
        <w:t>Continued on next page</w:t>
      </w:r>
    </w:p>
    <w:p w14:paraId="2A0F8199" w14:textId="77777777" w:rsidR="00E82303" w:rsidRPr="00D21D64" w:rsidRDefault="00E82303">
      <w:pPr>
        <w:pStyle w:val="MapTitleContinued"/>
        <w:rPr>
          <w:b w:val="0"/>
          <w:sz w:val="24"/>
        </w:rPr>
      </w:pPr>
      <w:r w:rsidRPr="00D21D64">
        <w:br w:type="page"/>
      </w:r>
      <w:r w:rsidRPr="00D21D64">
        <w:lastRenderedPageBreak/>
        <w:fldChar w:fldCharType="begin"/>
      </w:r>
      <w:r w:rsidRPr="00D21D64">
        <w:instrText>styleref "Map Title"</w:instrText>
      </w:r>
      <w:r w:rsidRPr="00D21D64">
        <w:fldChar w:fldCharType="separate"/>
      </w:r>
      <w:r w:rsidR="00516E6F" w:rsidRPr="00D21D64">
        <w:rPr>
          <w:noProof/>
        </w:rPr>
        <w:t>1.  Guidelines for Evaluating Competency</w:t>
      </w:r>
      <w:r w:rsidRPr="00D21D64">
        <w:fldChar w:fldCharType="end"/>
      </w:r>
      <w:r w:rsidRPr="00D21D64">
        <w:t xml:space="preserve">, </w:t>
      </w:r>
      <w:r w:rsidRPr="00D21D64">
        <w:rPr>
          <w:b w:val="0"/>
          <w:sz w:val="24"/>
        </w:rPr>
        <w:t>Continued</w:t>
      </w:r>
    </w:p>
    <w:p w14:paraId="2A0F819A" w14:textId="77777777" w:rsidR="00E82303" w:rsidRPr="00D21D64" w:rsidRDefault="00253101">
      <w:pPr>
        <w:pStyle w:val="BlockLine"/>
      </w:pPr>
      <w:r w:rsidRPr="00D21D64">
        <w:fldChar w:fldCharType="begin"/>
      </w:r>
      <w:r w:rsidRPr="00D21D64">
        <w:instrText xml:space="preserve"> PRIVATE INFOTYPE="PRINCIPLE"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1A3" w14:textId="77777777">
        <w:trPr>
          <w:cantSplit/>
        </w:trPr>
        <w:tc>
          <w:tcPr>
            <w:tcW w:w="1728" w:type="dxa"/>
          </w:tcPr>
          <w:p w14:paraId="2A0F819B" w14:textId="77777777" w:rsidR="00E82303" w:rsidRPr="00D21D64" w:rsidRDefault="00E82303">
            <w:pPr>
              <w:pStyle w:val="Heading5"/>
            </w:pPr>
            <w:bookmarkStart w:id="4" w:name="_d.__Making"/>
            <w:bookmarkEnd w:id="4"/>
            <w:proofErr w:type="gramStart"/>
            <w:r w:rsidRPr="00D21D64">
              <w:t>d.  Making</w:t>
            </w:r>
            <w:proofErr w:type="gramEnd"/>
            <w:r w:rsidRPr="00D21D64">
              <w:t xml:space="preserve"> a Finding of Incompetency</w:t>
            </w:r>
          </w:p>
        </w:tc>
        <w:tc>
          <w:tcPr>
            <w:tcW w:w="7740" w:type="dxa"/>
          </w:tcPr>
          <w:p w14:paraId="2A0F819C" w14:textId="77777777" w:rsidR="00E82303" w:rsidRPr="00D21D64" w:rsidRDefault="00E82303">
            <w:pPr>
              <w:pStyle w:val="BlockText"/>
            </w:pPr>
            <w:r w:rsidRPr="00D21D64">
              <w:t xml:space="preserve">A finding of incompetency </w:t>
            </w:r>
            <w:r w:rsidRPr="00D21D64">
              <w:rPr>
                <w:iCs/>
              </w:rPr>
              <w:t>cannot</w:t>
            </w:r>
            <w:r w:rsidRPr="00D21D64">
              <w:t xml:space="preserve"> be made without a definite expression by a responsible medical authority, unless the medical evidence of record is</w:t>
            </w:r>
          </w:p>
          <w:p w14:paraId="2A0F819D" w14:textId="77777777" w:rsidR="00E82303" w:rsidRPr="00D21D64" w:rsidRDefault="00E82303">
            <w:pPr>
              <w:pStyle w:val="BlockText"/>
            </w:pPr>
          </w:p>
          <w:p w14:paraId="2A0F819E" w14:textId="77777777" w:rsidR="00E82303" w:rsidRPr="00D21D64" w:rsidRDefault="00E82303">
            <w:pPr>
              <w:pStyle w:val="BulletText1"/>
            </w:pPr>
            <w:r w:rsidRPr="00D21D64">
              <w:t>clear</w:t>
            </w:r>
          </w:p>
          <w:p w14:paraId="2A0F819F" w14:textId="77777777" w:rsidR="00E82303" w:rsidRPr="00D21D64" w:rsidRDefault="00E82303">
            <w:pPr>
              <w:pStyle w:val="BulletText1"/>
            </w:pPr>
            <w:r w:rsidRPr="00D21D64">
              <w:t>convincing, and</w:t>
            </w:r>
          </w:p>
          <w:p w14:paraId="2A0F81A0" w14:textId="77777777" w:rsidR="00E82303" w:rsidRPr="00D21D64" w:rsidRDefault="00E82303">
            <w:pPr>
              <w:pStyle w:val="BulletText1"/>
            </w:pPr>
            <w:proofErr w:type="gramStart"/>
            <w:r w:rsidRPr="00D21D64">
              <w:t>leaves</w:t>
            </w:r>
            <w:proofErr w:type="gramEnd"/>
            <w:r w:rsidRPr="00D21D64">
              <w:t xml:space="preserve"> no doubt as to the beneficiary’s incompetency.</w:t>
            </w:r>
          </w:p>
          <w:p w14:paraId="2A0F81A1" w14:textId="77777777" w:rsidR="00E82303" w:rsidRPr="00D21D64" w:rsidRDefault="00E82303">
            <w:pPr>
              <w:pStyle w:val="BlockText"/>
            </w:pPr>
          </w:p>
          <w:p w14:paraId="2A0F81A2" w14:textId="77777777" w:rsidR="00E82303" w:rsidRPr="00D21D64" w:rsidRDefault="00E82303">
            <w:pPr>
              <w:pStyle w:val="BlockText"/>
              <w:rPr>
                <w:b/>
                <w:u w:val="single"/>
              </w:rPr>
            </w:pPr>
            <w:r w:rsidRPr="00D21D64">
              <w:rPr>
                <w:b/>
                <w:i/>
              </w:rPr>
              <w:t>Reference</w:t>
            </w:r>
            <w:r w:rsidRPr="00D21D64">
              <w:t xml:space="preserve">:  For more information on medical authority in a finding of competency, see </w:t>
            </w:r>
            <w:hyperlink r:id="rId16" w:history="1">
              <w:r w:rsidR="00AD5BBE" w:rsidRPr="00D21D64">
                <w:rPr>
                  <w:rStyle w:val="Hyperlink"/>
                </w:rPr>
                <w:t>38 CFR</w:t>
              </w:r>
              <w:r w:rsidR="0098486A" w:rsidRPr="00D21D64">
                <w:rPr>
                  <w:rStyle w:val="Hyperlink"/>
                </w:rPr>
                <w:t xml:space="preserve"> 3</w:t>
              </w:r>
              <w:r w:rsidRPr="00D21D64">
                <w:rPr>
                  <w:rStyle w:val="Hyperlink"/>
                </w:rPr>
                <w:t>.353(c)</w:t>
              </w:r>
            </w:hyperlink>
            <w:r w:rsidRPr="00D21D64">
              <w:t>.</w:t>
            </w:r>
          </w:p>
        </w:tc>
      </w:tr>
    </w:tbl>
    <w:p w14:paraId="2A0F81A4" w14:textId="77777777" w:rsidR="00E82303" w:rsidRPr="00D21D64" w:rsidRDefault="00253101">
      <w:pPr>
        <w:pStyle w:val="BlockLine"/>
      </w:pPr>
      <w:r w:rsidRPr="00D21D64">
        <w:fldChar w:fldCharType="begin"/>
      </w:r>
      <w:r w:rsidRPr="00D21D64">
        <w:instrText xml:space="preserve"> PRIVATE INFOTYPE="PRINCIPLE"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1AB" w14:textId="77777777">
        <w:trPr>
          <w:cantSplit/>
        </w:trPr>
        <w:tc>
          <w:tcPr>
            <w:tcW w:w="1728" w:type="dxa"/>
          </w:tcPr>
          <w:p w14:paraId="2A0F81A5" w14:textId="77777777" w:rsidR="00E82303" w:rsidRPr="00D21D64" w:rsidRDefault="00E82303">
            <w:pPr>
              <w:pStyle w:val="Heading5"/>
            </w:pPr>
            <w:bookmarkStart w:id="5" w:name="_e.__Considering"/>
            <w:bookmarkEnd w:id="5"/>
            <w:proofErr w:type="gramStart"/>
            <w:r w:rsidRPr="00D21D64">
              <w:t>e.  Considering</w:t>
            </w:r>
            <w:proofErr w:type="gramEnd"/>
            <w:r w:rsidRPr="00D21D64">
              <w:t xml:space="preserve"> the VSCM’s Opinion</w:t>
            </w:r>
          </w:p>
        </w:tc>
        <w:tc>
          <w:tcPr>
            <w:tcW w:w="7740" w:type="dxa"/>
          </w:tcPr>
          <w:p w14:paraId="2A0F81A6" w14:textId="77777777" w:rsidR="00E82303" w:rsidRPr="00D21D64" w:rsidRDefault="00E82303">
            <w:pPr>
              <w:pStyle w:val="BlockText"/>
            </w:pPr>
            <w:r w:rsidRPr="00D21D64">
              <w:t xml:space="preserve">After development of information with regard to social, economic, and industrial adjustment, the </w:t>
            </w:r>
            <w:r w:rsidR="00A65B2A" w:rsidRPr="00D21D64">
              <w:t>Veteran</w:t>
            </w:r>
            <w:r w:rsidRPr="00D21D64">
              <w:t>s Service Center Manager (VSCM) may be of the opinion that a beneficiary rated, or proposed to be rated, incompetent is actually capable of handling, without limitation, the funds payable.  In this case, he/she will refer the evidence and finding to the rating activity.</w:t>
            </w:r>
          </w:p>
          <w:p w14:paraId="2A0F81A7" w14:textId="77777777" w:rsidR="00E82303" w:rsidRPr="00D21D64" w:rsidRDefault="00E82303">
            <w:pPr>
              <w:pStyle w:val="BlockText"/>
            </w:pPr>
          </w:p>
          <w:p w14:paraId="2A0F81A8" w14:textId="77777777" w:rsidR="00E82303" w:rsidRPr="00D21D64" w:rsidRDefault="00E82303">
            <w:pPr>
              <w:pStyle w:val="BlockText"/>
            </w:pPr>
            <w:r w:rsidRPr="00D21D64">
              <w:t>The rating activity should consider the VSCM’s finding as new evidence and, after any necessary additional development, prepare a rating based on the evidence of record.</w:t>
            </w:r>
          </w:p>
          <w:p w14:paraId="2A0F81A9" w14:textId="77777777" w:rsidR="00E82303" w:rsidRPr="00D21D64" w:rsidRDefault="00E82303">
            <w:pPr>
              <w:pStyle w:val="BlockText"/>
            </w:pPr>
          </w:p>
          <w:p w14:paraId="2A0F81AA" w14:textId="5F139FE7" w:rsidR="00E82303" w:rsidRPr="00D21D64" w:rsidRDefault="00E82303">
            <w:pPr>
              <w:pStyle w:val="BlockText"/>
            </w:pPr>
            <w:r w:rsidRPr="00D21D64">
              <w:rPr>
                <w:b/>
                <w:i/>
              </w:rPr>
              <w:t>Reference</w:t>
            </w:r>
            <w:r w:rsidRPr="00D21D64">
              <w:t xml:space="preserve">:  For more information on procedures related to evidence of incompetency, see </w:t>
            </w:r>
            <w:hyperlink r:id="rId17" w:history="1">
              <w:r w:rsidRPr="00D21D64">
                <w:rPr>
                  <w:rStyle w:val="Hyperlink"/>
                </w:rPr>
                <w:t>M21-1MR, Part III, Subpart v, 9.B</w:t>
              </w:r>
            </w:hyperlink>
            <w:r w:rsidRPr="00D21D64">
              <w:t>.</w:t>
            </w:r>
          </w:p>
        </w:tc>
      </w:tr>
    </w:tbl>
    <w:p w14:paraId="2A0F81AC" w14:textId="77777777" w:rsidR="00E82303" w:rsidRPr="00D21D64" w:rsidRDefault="00E82303">
      <w:pPr>
        <w:pStyle w:val="BlockLine"/>
      </w:pPr>
    </w:p>
    <w:p w14:paraId="2A0F81AD" w14:textId="77777777" w:rsidR="00E82303" w:rsidRPr="00D21D64" w:rsidRDefault="00E82303">
      <w:pPr>
        <w:pStyle w:val="Heading4"/>
      </w:pPr>
      <w:r w:rsidRPr="00D21D64">
        <w:br w:type="page"/>
      </w:r>
      <w:r w:rsidRPr="00D21D64">
        <w:lastRenderedPageBreak/>
        <w:t xml:space="preserve">2.  </w:t>
      </w:r>
      <w:bookmarkStart w:id="6" w:name="Topic2"/>
      <w:bookmarkEnd w:id="6"/>
      <w:r w:rsidRPr="00D21D64">
        <w:t>Considering Competency While Evaluating Evidence</w:t>
      </w:r>
    </w:p>
    <w:p w14:paraId="2A0F81AE" w14:textId="77777777" w:rsidR="00E82303" w:rsidRPr="00D21D64" w:rsidRDefault="00E82303">
      <w:pPr>
        <w:pStyle w:val="BlockLine"/>
      </w:pPr>
      <w:r w:rsidRPr="00D21D64">
        <w:fldChar w:fldCharType="begin"/>
      </w:r>
      <w:r w:rsidRPr="00D21D64">
        <w:instrText xml:space="preserve"> PRIVATE INFOTYPE="OTHER"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1B5" w14:textId="77777777">
        <w:trPr>
          <w:cantSplit/>
        </w:trPr>
        <w:tc>
          <w:tcPr>
            <w:tcW w:w="1728" w:type="dxa"/>
          </w:tcPr>
          <w:p w14:paraId="2A0F81AF" w14:textId="77777777" w:rsidR="00E82303" w:rsidRPr="00D21D64" w:rsidRDefault="00E82303">
            <w:pPr>
              <w:pStyle w:val="Heading5"/>
            </w:pPr>
            <w:r w:rsidRPr="00D21D64">
              <w:t>Introduction</w:t>
            </w:r>
          </w:p>
        </w:tc>
        <w:tc>
          <w:tcPr>
            <w:tcW w:w="7740" w:type="dxa"/>
          </w:tcPr>
          <w:p w14:paraId="2A0F81B0" w14:textId="77777777" w:rsidR="00E82303" w:rsidRPr="00D21D64" w:rsidRDefault="00E82303">
            <w:pPr>
              <w:pStyle w:val="BlockText"/>
            </w:pPr>
            <w:r w:rsidRPr="00D21D64">
              <w:t>This topic contains information about evaluating the evidence and considering the competency of</w:t>
            </w:r>
          </w:p>
          <w:p w14:paraId="2A0F81B1" w14:textId="77777777" w:rsidR="00E82303" w:rsidRPr="00D21D64" w:rsidRDefault="00E82303">
            <w:pPr>
              <w:pStyle w:val="BlockText"/>
            </w:pPr>
          </w:p>
          <w:p w14:paraId="2A0F81B2" w14:textId="3ABC5BEC" w:rsidR="00E82303" w:rsidRPr="00D21D64" w:rsidRDefault="00D21D64">
            <w:pPr>
              <w:pStyle w:val="BulletText1"/>
            </w:pPr>
            <w:hyperlink w:anchor="_a.__Considering" w:history="1">
              <w:r w:rsidR="00A65B2A" w:rsidRPr="00D21D64">
                <w:rPr>
                  <w:rStyle w:val="Hyperlink"/>
                </w:rPr>
                <w:t>Veteran</w:t>
              </w:r>
              <w:r w:rsidR="00E82303" w:rsidRPr="00D21D64">
                <w:rPr>
                  <w:rStyle w:val="Hyperlink"/>
                </w:rPr>
                <w:t>s</w:t>
              </w:r>
            </w:hyperlink>
          </w:p>
          <w:p w14:paraId="2A0F81B3" w14:textId="6B8A4E10" w:rsidR="00E82303" w:rsidRPr="00D21D64" w:rsidRDefault="00D21D64">
            <w:pPr>
              <w:pStyle w:val="BulletText1"/>
            </w:pPr>
            <w:hyperlink w:anchor="_b.__Considering" w:history="1">
              <w:r w:rsidR="00E82303" w:rsidRPr="00D21D64">
                <w:rPr>
                  <w:rStyle w:val="Hyperlink"/>
                </w:rPr>
                <w:t>helpless children</w:t>
              </w:r>
            </w:hyperlink>
            <w:r w:rsidR="00E82303" w:rsidRPr="00D21D64">
              <w:t>, and</w:t>
            </w:r>
          </w:p>
          <w:p w14:paraId="2A0F81B4" w14:textId="56424297" w:rsidR="00E82303" w:rsidRPr="00D21D64" w:rsidRDefault="00D21D64">
            <w:pPr>
              <w:pStyle w:val="BulletText1"/>
            </w:pPr>
            <w:hyperlink w:anchor="_c.__Considering" w:history="1">
              <w:proofErr w:type="gramStart"/>
              <w:r w:rsidR="00E82303" w:rsidRPr="00D21D64">
                <w:rPr>
                  <w:rStyle w:val="Hyperlink"/>
                </w:rPr>
                <w:t>other</w:t>
              </w:r>
              <w:proofErr w:type="gramEnd"/>
              <w:r w:rsidR="00E82303" w:rsidRPr="00D21D64">
                <w:rPr>
                  <w:rStyle w:val="Hyperlink"/>
                </w:rPr>
                <w:t xml:space="preserve"> beneficiaries</w:t>
              </w:r>
            </w:hyperlink>
            <w:r w:rsidR="00E82303" w:rsidRPr="00D21D64">
              <w:t>.</w:t>
            </w:r>
          </w:p>
        </w:tc>
      </w:tr>
    </w:tbl>
    <w:p w14:paraId="2A0F81B6" w14:textId="77777777" w:rsidR="00E82303" w:rsidRPr="00D21D64" w:rsidRDefault="00E8230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1B9" w14:textId="77777777">
        <w:trPr>
          <w:cantSplit/>
        </w:trPr>
        <w:tc>
          <w:tcPr>
            <w:tcW w:w="1728" w:type="dxa"/>
          </w:tcPr>
          <w:p w14:paraId="2A0F81B7" w14:textId="77777777" w:rsidR="00E82303" w:rsidRPr="00D21D64" w:rsidRDefault="00E82303">
            <w:pPr>
              <w:pStyle w:val="Heading5"/>
            </w:pPr>
            <w:r w:rsidRPr="00D21D64">
              <w:t>Change Date</w:t>
            </w:r>
          </w:p>
        </w:tc>
        <w:tc>
          <w:tcPr>
            <w:tcW w:w="7740" w:type="dxa"/>
          </w:tcPr>
          <w:p w14:paraId="2A0F81B8" w14:textId="0EE228A3" w:rsidR="00E82303" w:rsidRPr="00D21D64" w:rsidRDefault="00F830CE">
            <w:pPr>
              <w:pStyle w:val="BlockText"/>
            </w:pPr>
            <w:r w:rsidRPr="00D21D64">
              <w:t>September 22, 2014</w:t>
            </w:r>
          </w:p>
        </w:tc>
      </w:tr>
    </w:tbl>
    <w:p w14:paraId="2A0F81BA" w14:textId="77777777" w:rsidR="00E82303" w:rsidRPr="00D21D64" w:rsidRDefault="00253101">
      <w:pPr>
        <w:pStyle w:val="BlockLine"/>
      </w:pPr>
      <w:r w:rsidRPr="00D21D64">
        <w:fldChar w:fldCharType="begin"/>
      </w:r>
      <w:r w:rsidRPr="00D21D64">
        <w:instrText xml:space="preserve"> PRIVATE INFOTYPE="PROCEDURE"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32"/>
        <w:gridCol w:w="8"/>
      </w:tblGrid>
      <w:tr w:rsidR="00E82303" w:rsidRPr="00D21D64" w14:paraId="2A0F81CB" w14:textId="77777777" w:rsidTr="004E2DB2">
        <w:trPr>
          <w:cantSplit/>
          <w:trHeight w:val="240"/>
        </w:trPr>
        <w:tc>
          <w:tcPr>
            <w:tcW w:w="1728" w:type="dxa"/>
          </w:tcPr>
          <w:p w14:paraId="2A0F81BB" w14:textId="77777777" w:rsidR="00E82303" w:rsidRPr="00D21D64" w:rsidRDefault="00E82303">
            <w:pPr>
              <w:pStyle w:val="Heading5"/>
            </w:pPr>
            <w:bookmarkStart w:id="7" w:name="_a.__Considering"/>
            <w:bookmarkEnd w:id="7"/>
            <w:proofErr w:type="gramStart"/>
            <w:r w:rsidRPr="00D21D64">
              <w:t>a.  Considering</w:t>
            </w:r>
            <w:proofErr w:type="gramEnd"/>
            <w:r w:rsidRPr="00D21D64">
              <w:t xml:space="preserve"> the Competency of a </w:t>
            </w:r>
            <w:r w:rsidR="00A65B2A" w:rsidRPr="00D21D64">
              <w:t>Veteran</w:t>
            </w:r>
          </w:p>
        </w:tc>
        <w:tc>
          <w:tcPr>
            <w:tcW w:w="7740" w:type="dxa"/>
            <w:gridSpan w:val="2"/>
          </w:tcPr>
          <w:p w14:paraId="2A0F81BC" w14:textId="365B2812" w:rsidR="00E82303" w:rsidRPr="00D21D64" w:rsidRDefault="00E82303" w:rsidP="00222FC8">
            <w:pPr>
              <w:pStyle w:val="BlockText"/>
            </w:pPr>
            <w:r w:rsidRPr="00D21D64">
              <w:t xml:space="preserve">If the claimant is a </w:t>
            </w:r>
            <w:r w:rsidR="00A65B2A" w:rsidRPr="00D21D64">
              <w:t>Veteran</w:t>
            </w:r>
            <w:r w:rsidRPr="00D21D64">
              <w:t xml:space="preserve">, consider </w:t>
            </w:r>
            <w:r w:rsidR="00505E2F" w:rsidRPr="00D21D64">
              <w:t>whether to put competency at</w:t>
            </w:r>
            <w:r w:rsidR="00222FC8" w:rsidRPr="00D21D64">
              <w:t xml:space="preserve"> </w:t>
            </w:r>
            <w:r w:rsidRPr="00D21D64">
              <w:t>issue</w:t>
            </w:r>
            <w:r w:rsidR="00505E2F" w:rsidRPr="00D21D64">
              <w:t xml:space="preserve"> in a decision </w:t>
            </w:r>
            <w:r w:rsidR="002E3129" w:rsidRPr="00D21D64">
              <w:t>whenever</w:t>
            </w:r>
            <w:r w:rsidR="00830E89" w:rsidRPr="00D21D64">
              <w:t xml:space="preserve"> qualifying</w:t>
            </w:r>
            <w:r w:rsidR="00505E2F" w:rsidRPr="00D21D64">
              <w:t xml:space="preserve"> evidence raises a question as to the mental capacity to contract or to manage his/her own affairs, including disbursement of funds without limitation.</w:t>
            </w:r>
          </w:p>
          <w:p w14:paraId="6144BB59" w14:textId="77777777" w:rsidR="004E2DB2" w:rsidRPr="00D21D64" w:rsidRDefault="004E2DB2" w:rsidP="00222FC8">
            <w:pPr>
              <w:pStyle w:val="BlockText"/>
            </w:pPr>
          </w:p>
          <w:p w14:paraId="6EDC425A" w14:textId="77777777" w:rsidR="009748AD" w:rsidRPr="00D21D64" w:rsidRDefault="002E3129" w:rsidP="00061D41">
            <w:pPr>
              <w:pStyle w:val="BlockText"/>
            </w:pPr>
            <w:r w:rsidRPr="00D21D64">
              <w:t>The table below provides guidance on what action, if any, to take on the matter of competency:</w:t>
            </w:r>
          </w:p>
          <w:p w14:paraId="57D34417" w14:textId="77777777" w:rsidR="004E2DB2" w:rsidRPr="00D21D64" w:rsidRDefault="004E2DB2" w:rsidP="004E2DB2">
            <w:pPr>
              <w:pStyle w:val="BlockText"/>
            </w:pPr>
          </w:p>
          <w:tbl>
            <w:tblPr>
              <w:tblStyle w:val="TableGrid"/>
              <w:tblW w:w="75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  <w:gridCol w:w="3750"/>
            </w:tblGrid>
            <w:tr w:rsidR="004E2DB2" w:rsidRPr="00D21D64" w14:paraId="6E7730DE" w14:textId="77777777" w:rsidTr="004E2DB2">
              <w:trPr>
                <w:trHeight w:val="144"/>
              </w:trPr>
              <w:tc>
                <w:tcPr>
                  <w:tcW w:w="2500" w:type="pct"/>
                  <w:shd w:val="clear" w:color="auto" w:fill="auto"/>
                </w:tcPr>
                <w:p w14:paraId="054AA7EA" w14:textId="5EE81D1E" w:rsidR="004E2DB2" w:rsidRPr="00D21D64" w:rsidRDefault="004E2DB2" w:rsidP="004E2DB2">
                  <w:pPr>
                    <w:pStyle w:val="TableHeaderText"/>
                    <w:jc w:val="left"/>
                  </w:pPr>
                  <w:r w:rsidRPr="00D21D64">
                    <w:t>If ...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1C186213" w14:textId="09B1DDEB" w:rsidR="004E2DB2" w:rsidRPr="00D21D64" w:rsidRDefault="004E2DB2" w:rsidP="004E2DB2">
                  <w:pPr>
                    <w:pStyle w:val="TableHeaderText"/>
                    <w:jc w:val="left"/>
                  </w:pPr>
                  <w:r w:rsidRPr="00D21D64">
                    <w:t>Then ...</w:t>
                  </w:r>
                </w:p>
              </w:tc>
            </w:tr>
            <w:tr w:rsidR="004E2DB2" w:rsidRPr="00D21D64" w14:paraId="102B9FF6" w14:textId="77777777" w:rsidTr="004E2DB2">
              <w:trPr>
                <w:trHeight w:val="144"/>
              </w:trPr>
              <w:tc>
                <w:tcPr>
                  <w:tcW w:w="2500" w:type="pct"/>
                  <w:shd w:val="clear" w:color="auto" w:fill="auto"/>
                </w:tcPr>
                <w:p w14:paraId="6D9A96CD" w14:textId="1875BD42" w:rsidR="004E2DB2" w:rsidRPr="00D21D64" w:rsidRDefault="004E2DB2" w:rsidP="004E2DB2">
                  <w:pPr>
                    <w:pStyle w:val="TableText"/>
                  </w:pPr>
                  <w:r w:rsidRPr="00D21D64">
                    <w:t>The evidence suggests but does not clearly and convincingly show that the person is incapable of managing the VA benefit payment without limitation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2FC69662" w14:textId="77777777" w:rsidR="004E2DB2" w:rsidRPr="00D21D64" w:rsidRDefault="004E2DB2" w:rsidP="004E2DB2">
                  <w:pPr>
                    <w:pStyle w:val="BulletText1"/>
                  </w:pPr>
                  <w:r w:rsidRPr="00D21D64">
                    <w:t>Do not develop.</w:t>
                  </w:r>
                </w:p>
                <w:p w14:paraId="34AF54B6" w14:textId="77777777" w:rsidR="00186E74" w:rsidRPr="00D21D64" w:rsidRDefault="004E2DB2" w:rsidP="00186E74">
                  <w:pPr>
                    <w:pStyle w:val="BulletText1"/>
                  </w:pPr>
                  <w:r w:rsidRPr="00D21D64">
                    <w:t>Do not propose incompetency</w:t>
                  </w:r>
                  <w:r w:rsidR="005A1F3E" w:rsidRPr="00D21D64">
                    <w:t>.</w:t>
                  </w:r>
                </w:p>
                <w:p w14:paraId="5E9834BA" w14:textId="4551A861" w:rsidR="004E2DB2" w:rsidRPr="00D21D64" w:rsidRDefault="004E2DB2" w:rsidP="00186E74">
                  <w:pPr>
                    <w:pStyle w:val="BulletText1"/>
                  </w:pPr>
                  <w:r w:rsidRPr="00D21D64">
                    <w:t>State in the rating decision that there was no clear and convincing evidence of incompetency.</w:t>
                  </w:r>
                </w:p>
              </w:tc>
            </w:tr>
            <w:tr w:rsidR="004E2DB2" w:rsidRPr="00D21D64" w14:paraId="53AEFD9E" w14:textId="77777777" w:rsidTr="004E2DB2">
              <w:trPr>
                <w:trHeight w:val="144"/>
              </w:trPr>
              <w:tc>
                <w:tcPr>
                  <w:tcW w:w="2500" w:type="pct"/>
                  <w:shd w:val="clear" w:color="auto" w:fill="auto"/>
                </w:tcPr>
                <w:p w14:paraId="74A4526B" w14:textId="79B99417" w:rsidR="004E2DB2" w:rsidRPr="00D21D64" w:rsidRDefault="004E2DB2" w:rsidP="004E2DB2">
                  <w:pPr>
                    <w:pStyle w:val="TableText"/>
                  </w:pPr>
                  <w:r w:rsidRPr="00D21D64">
                    <w:t>The evidence</w:t>
                  </w:r>
                  <w:r w:rsidR="00F1102C" w:rsidRPr="00D21D64">
                    <w:t xml:space="preserve"> </w:t>
                  </w:r>
                  <w:r w:rsidRPr="00D21D64">
                    <w:t>clearly and convincingly shows that the person is incapable of managing the VA benefit payment without limitation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5EFAB999" w14:textId="42F58560" w:rsidR="004E2DB2" w:rsidRPr="00D21D64" w:rsidRDefault="004E2DB2" w:rsidP="004E2DB2">
                  <w:pPr>
                    <w:pStyle w:val="TableText"/>
                  </w:pPr>
                  <w:r w:rsidRPr="00D21D64">
                    <w:t>Propose incompetency.</w:t>
                  </w:r>
                </w:p>
              </w:tc>
            </w:tr>
          </w:tbl>
          <w:p w14:paraId="2A0F81CA" w14:textId="7BA9FFF8" w:rsidR="004E2DB2" w:rsidRPr="00D21D64" w:rsidRDefault="004E2DB2" w:rsidP="00061D41">
            <w:pPr>
              <w:pStyle w:val="BlockText"/>
            </w:pPr>
          </w:p>
        </w:tc>
      </w:tr>
      <w:tr w:rsidR="002E3129" w:rsidRPr="00D21D64" w14:paraId="3AF703B7" w14:textId="77777777" w:rsidTr="004E2DB2">
        <w:trPr>
          <w:gridBefore w:val="1"/>
          <w:gridAfter w:val="1"/>
          <w:wBefore w:w="1728" w:type="dxa"/>
          <w:wAfter w:w="8" w:type="dxa"/>
        </w:trPr>
        <w:tc>
          <w:tcPr>
            <w:tcW w:w="7732" w:type="dxa"/>
            <w:shd w:val="clear" w:color="auto" w:fill="auto"/>
          </w:tcPr>
          <w:p w14:paraId="7957DE45" w14:textId="03BFDE42" w:rsidR="00D47A97" w:rsidRPr="00D21D64" w:rsidRDefault="00D47A97" w:rsidP="006A0F7E">
            <w:pPr>
              <w:pStyle w:val="NoteText"/>
            </w:pPr>
          </w:p>
        </w:tc>
      </w:tr>
    </w:tbl>
    <w:p w14:paraId="2A0F81CC" w14:textId="43CDC8F3" w:rsidR="00E82303" w:rsidRPr="00D21D64" w:rsidRDefault="00E82303" w:rsidP="002E3129">
      <w:pPr>
        <w:pStyle w:val="ContinuedOnNextPa"/>
      </w:pPr>
      <w:r w:rsidRPr="00D21D64">
        <w:t>Continued on next page</w:t>
      </w:r>
    </w:p>
    <w:p w14:paraId="48A2F5DB" w14:textId="2EBEBBC2" w:rsidR="008A5377" w:rsidRPr="00D21D64" w:rsidRDefault="008A5377">
      <w:r w:rsidRPr="00D21D64">
        <w:br w:type="page"/>
      </w:r>
    </w:p>
    <w:p w14:paraId="6635DC36" w14:textId="5979CFF0" w:rsidR="008A5377" w:rsidRPr="00D21D64" w:rsidRDefault="00804509" w:rsidP="008A5377">
      <w:pPr>
        <w:pStyle w:val="MapTitleContinued"/>
        <w:rPr>
          <w:b w:val="0"/>
          <w:sz w:val="24"/>
        </w:rPr>
      </w:pPr>
      <w:fldSimple w:instr=" STYLEREF &quot;Map Title&quot; ">
        <w:r w:rsidR="008A5377" w:rsidRPr="00D21D64">
          <w:rPr>
            <w:noProof/>
          </w:rPr>
          <w:t>2.  Considering Competency While Evaluating Evidence</w:t>
        </w:r>
      </w:fldSimple>
      <w:r w:rsidR="008A5377" w:rsidRPr="00D21D64">
        <w:t xml:space="preserve">, </w:t>
      </w:r>
      <w:r w:rsidR="008A5377" w:rsidRPr="00D21D64">
        <w:rPr>
          <w:b w:val="0"/>
          <w:sz w:val="24"/>
        </w:rPr>
        <w:t>Continued</w:t>
      </w:r>
    </w:p>
    <w:p w14:paraId="312B18EF" w14:textId="5D685998" w:rsidR="008A5377" w:rsidRPr="00D21D64" w:rsidRDefault="008A5377" w:rsidP="008A537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A5377" w:rsidRPr="00D21D64" w14:paraId="28B1F829" w14:textId="77777777" w:rsidTr="008A5377">
        <w:tc>
          <w:tcPr>
            <w:tcW w:w="1728" w:type="dxa"/>
            <w:shd w:val="clear" w:color="auto" w:fill="auto"/>
          </w:tcPr>
          <w:p w14:paraId="5A7975D6" w14:textId="346616E8" w:rsidR="008A5377" w:rsidRPr="00D21D64" w:rsidRDefault="00804509" w:rsidP="008A5377">
            <w:pPr>
              <w:pStyle w:val="ContinuedBlockLabel"/>
            </w:pPr>
            <w:fldSimple w:instr=" STYLEREF &quot;Block Label&quot; ">
              <w:r w:rsidR="008A5377" w:rsidRPr="00D21D64">
                <w:rPr>
                  <w:noProof/>
                </w:rPr>
                <w:t>a.  Considering the Competency of a Veteran</w:t>
              </w:r>
            </w:fldSimple>
            <w:r w:rsidR="008A5377" w:rsidRPr="00D21D64">
              <w:t xml:space="preserve"> </w:t>
            </w:r>
            <w:r w:rsidR="008A5377" w:rsidRPr="00D21D64">
              <w:rPr>
                <w:b w:val="0"/>
              </w:rPr>
              <w:t>(continued)</w:t>
            </w:r>
          </w:p>
        </w:tc>
        <w:tc>
          <w:tcPr>
            <w:tcW w:w="7740" w:type="dxa"/>
            <w:shd w:val="clear" w:color="auto" w:fill="auto"/>
          </w:tcPr>
          <w:p w14:paraId="40AF8A27" w14:textId="77777777" w:rsidR="008A5377" w:rsidRPr="00D21D64" w:rsidRDefault="008A5377" w:rsidP="00B52863">
            <w:pPr>
              <w:pStyle w:val="NoteText"/>
            </w:pPr>
            <w:r w:rsidRPr="00D21D64">
              <w:rPr>
                <w:b/>
                <w:i/>
              </w:rPr>
              <w:t>Note</w:t>
            </w:r>
            <w:r w:rsidRPr="00D21D64">
              <w:t>: In cases of mental disorders many of the specified symptoms for the 100 percent evaluation in the general rating formula – such as gross impairment in thought processes and communication – could cause inability to manage the VA benefit payment without limitation.  However, the mere existence of a 100 percent disability from a mental disorder will not necessarily cause such inability.  Carefully consider the facts in these cases to determine whether the regulatory standard warrants a proposal of incompetency, but do not automatically put competency at issue.</w:t>
            </w:r>
          </w:p>
          <w:p w14:paraId="2953E325" w14:textId="77777777" w:rsidR="008A5377" w:rsidRPr="00D21D64" w:rsidRDefault="008A5377" w:rsidP="00B52863">
            <w:pPr>
              <w:pStyle w:val="NoteText"/>
            </w:pPr>
          </w:p>
          <w:p w14:paraId="123DC847" w14:textId="77777777" w:rsidR="008A5377" w:rsidRPr="00D21D64" w:rsidRDefault="008A5377" w:rsidP="00B52863">
            <w:pPr>
              <w:pStyle w:val="NoteText"/>
            </w:pPr>
            <w:r w:rsidRPr="00D21D64">
              <w:rPr>
                <w:b/>
                <w:i/>
              </w:rPr>
              <w:t>Exception:</w:t>
            </w:r>
            <w:r w:rsidRPr="00D21D64">
              <w:t xml:space="preserve"> Exclude temporary total evaluations assigned during a qualifying hospitalization for a mental disorder under </w:t>
            </w:r>
            <w:hyperlink r:id="rId18" w:history="1">
              <w:r w:rsidRPr="00D21D64">
                <w:rPr>
                  <w:rStyle w:val="Hyperlink"/>
                </w:rPr>
                <w:t>38 CFR 4.29</w:t>
              </w:r>
            </w:hyperlink>
            <w:r w:rsidRPr="00D21D64">
              <w:rPr>
                <w:rStyle w:val="Hyperlink"/>
              </w:rPr>
              <w:t xml:space="preserve"> </w:t>
            </w:r>
            <w:r w:rsidRPr="00D21D64">
              <w:t xml:space="preserve"> during which the total evaluation is assigned for hospitalization, not rating schedule symptoms, and the disability is expected to return to baseline.</w:t>
            </w:r>
          </w:p>
          <w:p w14:paraId="67390A5B" w14:textId="77777777" w:rsidR="008A5377" w:rsidRPr="00D21D64" w:rsidRDefault="008A5377" w:rsidP="00B52863">
            <w:pPr>
              <w:pStyle w:val="NoteText"/>
            </w:pPr>
          </w:p>
          <w:p w14:paraId="124F389A" w14:textId="77777777" w:rsidR="008A5377" w:rsidRPr="00D21D64" w:rsidRDefault="008A5377" w:rsidP="00B52863">
            <w:pPr>
              <w:pStyle w:val="NoteText"/>
              <w:rPr>
                <w:b/>
                <w:bCs/>
                <w:i/>
                <w:iCs/>
              </w:rPr>
            </w:pPr>
          </w:p>
          <w:p w14:paraId="043B22DF" w14:textId="77777777" w:rsidR="008A5377" w:rsidRPr="00D21D64" w:rsidRDefault="008A5377" w:rsidP="00B52863">
            <w:pPr>
              <w:pStyle w:val="NoteText"/>
            </w:pPr>
            <w:r w:rsidRPr="00D21D64">
              <w:rPr>
                <w:b/>
                <w:bCs/>
                <w:i/>
                <w:iCs/>
              </w:rPr>
              <w:t>References</w:t>
            </w:r>
            <w:r w:rsidRPr="00D21D64">
              <w:t>:  For more information on</w:t>
            </w:r>
          </w:p>
          <w:p w14:paraId="6BB57DF4" w14:textId="77777777" w:rsidR="008A5377" w:rsidRPr="00D21D64" w:rsidRDefault="008A5377" w:rsidP="00B52863">
            <w:pPr>
              <w:pStyle w:val="BulletText1"/>
            </w:pPr>
            <w:r w:rsidRPr="00D21D64">
              <w:t xml:space="preserve">the presumption of competency see </w:t>
            </w:r>
            <w:hyperlink r:id="rId19" w:history="1">
              <w:r w:rsidRPr="00D21D64">
                <w:rPr>
                  <w:rStyle w:val="Hyperlink"/>
                </w:rPr>
                <w:t>M21-1MR, Part III, Subpart iv, 8.A.1.c</w:t>
              </w:r>
            </w:hyperlink>
          </w:p>
          <w:p w14:paraId="2CADFBA5" w14:textId="77777777" w:rsidR="008A5377" w:rsidRPr="00D21D64" w:rsidRDefault="008A5377" w:rsidP="00B52863">
            <w:pPr>
              <w:pStyle w:val="BulletText1"/>
            </w:pPr>
            <w:r w:rsidRPr="00D21D64">
              <w:t xml:space="preserve">the evidentiary standard for proposing incompetency, see </w:t>
            </w:r>
            <w:hyperlink r:id="rId20" w:history="1">
              <w:r w:rsidRPr="00D21D64">
                <w:rPr>
                  <w:rStyle w:val="Hyperlink"/>
                </w:rPr>
                <w:t>M21-1MR, Part III, Subpart iv, 8.A.1.d</w:t>
              </w:r>
            </w:hyperlink>
            <w:r w:rsidRPr="00D21D64">
              <w:rPr>
                <w:rStyle w:val="Hyperlink"/>
              </w:rPr>
              <w:t>, and</w:t>
            </w:r>
          </w:p>
          <w:p w14:paraId="299BA21D" w14:textId="77777777" w:rsidR="008A5377" w:rsidRPr="00D21D64" w:rsidRDefault="008A5377" w:rsidP="00B52863">
            <w:pPr>
              <w:pStyle w:val="BulletText1"/>
            </w:pPr>
            <w:proofErr w:type="gramStart"/>
            <w:r w:rsidRPr="00D21D64">
              <w:t>subordinate</w:t>
            </w:r>
            <w:proofErr w:type="gramEnd"/>
            <w:r w:rsidRPr="00D21D64">
              <w:t xml:space="preserve"> issues and ancillary benefits, see </w:t>
            </w:r>
            <w:hyperlink r:id="rId21" w:history="1">
              <w:r w:rsidRPr="00D21D64">
                <w:rPr>
                  <w:rStyle w:val="Hyperlink"/>
                </w:rPr>
                <w:t>M21-1MR, Part III, Subpart iv, 6.B.3</w:t>
              </w:r>
            </w:hyperlink>
            <w:r w:rsidRPr="00D21D64">
              <w:t>.</w:t>
            </w:r>
          </w:p>
          <w:p w14:paraId="00AA84B6" w14:textId="77777777" w:rsidR="008A5377" w:rsidRPr="00D21D64" w:rsidRDefault="008A5377" w:rsidP="008A5377">
            <w:pPr>
              <w:pStyle w:val="BlockText"/>
            </w:pPr>
          </w:p>
        </w:tc>
      </w:tr>
    </w:tbl>
    <w:p w14:paraId="07421515" w14:textId="4B898F62" w:rsidR="008A5377" w:rsidRPr="00D21D64" w:rsidRDefault="008A5377" w:rsidP="008A5377">
      <w:pPr>
        <w:pStyle w:val="ContinuedOnNextPa"/>
      </w:pPr>
      <w:r w:rsidRPr="00D21D64">
        <w:t>Continued on next page</w:t>
      </w:r>
    </w:p>
    <w:p w14:paraId="2A0F81CD" w14:textId="77777777" w:rsidR="00E82303" w:rsidRPr="00D21D64" w:rsidRDefault="00E82303">
      <w:pPr>
        <w:pStyle w:val="MapTitleContinued"/>
        <w:rPr>
          <w:b w:val="0"/>
          <w:sz w:val="24"/>
        </w:rPr>
      </w:pPr>
      <w:r w:rsidRPr="00D21D64">
        <w:br w:type="page"/>
      </w:r>
      <w:r w:rsidRPr="00D21D64">
        <w:lastRenderedPageBreak/>
        <w:fldChar w:fldCharType="begin"/>
      </w:r>
      <w:r w:rsidRPr="00D21D64">
        <w:instrText>styleref "Map Title"</w:instrText>
      </w:r>
      <w:r w:rsidRPr="00D21D64">
        <w:fldChar w:fldCharType="separate"/>
      </w:r>
      <w:r w:rsidR="00516E6F" w:rsidRPr="00D21D64">
        <w:rPr>
          <w:noProof/>
        </w:rPr>
        <w:t>2.  Considering Competency While Evaluating Evidence</w:t>
      </w:r>
      <w:r w:rsidRPr="00D21D64">
        <w:fldChar w:fldCharType="end"/>
      </w:r>
      <w:r w:rsidRPr="00D21D64">
        <w:t xml:space="preserve">, </w:t>
      </w:r>
      <w:r w:rsidRPr="00D21D64">
        <w:rPr>
          <w:b w:val="0"/>
          <w:sz w:val="24"/>
        </w:rPr>
        <w:t>Continued</w:t>
      </w:r>
    </w:p>
    <w:p w14:paraId="2A0F81CE" w14:textId="77777777" w:rsidR="00E82303" w:rsidRPr="00D21D64" w:rsidRDefault="00253101">
      <w:pPr>
        <w:pStyle w:val="BlockLine"/>
      </w:pPr>
      <w:r w:rsidRPr="00D21D64">
        <w:fldChar w:fldCharType="begin"/>
      </w:r>
      <w:r w:rsidRPr="00D21D64">
        <w:instrText xml:space="preserve"> PRIVATE INFOTYPE="PROCEDURE"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1DD" w14:textId="77777777">
        <w:trPr>
          <w:cantSplit/>
        </w:trPr>
        <w:tc>
          <w:tcPr>
            <w:tcW w:w="1728" w:type="dxa"/>
          </w:tcPr>
          <w:p w14:paraId="2A0F81CF" w14:textId="77777777" w:rsidR="00E82303" w:rsidRPr="00D21D64" w:rsidRDefault="00E82303">
            <w:pPr>
              <w:pStyle w:val="Heading5"/>
            </w:pPr>
            <w:bookmarkStart w:id="8" w:name="_b.__Considering"/>
            <w:bookmarkEnd w:id="8"/>
            <w:proofErr w:type="gramStart"/>
            <w:r w:rsidRPr="00D21D64">
              <w:t>b.  Considering</w:t>
            </w:r>
            <w:proofErr w:type="gramEnd"/>
            <w:r w:rsidRPr="00D21D64">
              <w:t xml:space="preserve"> the Competency of a Helpless Child</w:t>
            </w:r>
          </w:p>
        </w:tc>
        <w:tc>
          <w:tcPr>
            <w:tcW w:w="7740" w:type="dxa"/>
          </w:tcPr>
          <w:p w14:paraId="2A0F81D0" w14:textId="77777777" w:rsidR="00E82303" w:rsidRPr="00D21D64" w:rsidRDefault="00E82303">
            <w:pPr>
              <w:pStyle w:val="BlockText"/>
            </w:pPr>
            <w:r w:rsidRPr="00D21D64">
              <w:t xml:space="preserve">If the claimant is a helpless child, the rating activity must resolve the issue of competency for a child over age 18, because entitlement depends upon permanent incapacity for self-support due to physical or mental disability.  </w:t>
            </w:r>
          </w:p>
          <w:p w14:paraId="2A0F81D1" w14:textId="77777777" w:rsidR="00E82303" w:rsidRPr="00D21D64" w:rsidRDefault="00E82303">
            <w:pPr>
              <w:pStyle w:val="BlockText"/>
            </w:pPr>
          </w:p>
          <w:p w14:paraId="2A0F81D2" w14:textId="77777777" w:rsidR="00E82303" w:rsidRPr="00D21D64" w:rsidRDefault="00E82303">
            <w:pPr>
              <w:pStyle w:val="BlockText"/>
            </w:pPr>
            <w:r w:rsidRPr="00D21D64">
              <w:t>If incapacity is due to mental disability</w:t>
            </w:r>
          </w:p>
          <w:p w14:paraId="2A0F81D3" w14:textId="77777777" w:rsidR="00E82303" w:rsidRPr="00D21D64" w:rsidRDefault="00E82303">
            <w:pPr>
              <w:pStyle w:val="BlockText"/>
            </w:pPr>
          </w:p>
          <w:p w14:paraId="2A0F81D4" w14:textId="77777777" w:rsidR="00E82303" w:rsidRPr="00D21D64" w:rsidRDefault="00E82303">
            <w:pPr>
              <w:pStyle w:val="BulletText1"/>
            </w:pPr>
            <w:r w:rsidRPr="00D21D64">
              <w:t>consider competency a factor in determining whether the child is permanently incapable of self-support</w:t>
            </w:r>
          </w:p>
          <w:p w14:paraId="2A0F81D5" w14:textId="77777777" w:rsidR="00E82303" w:rsidRPr="00D21D64" w:rsidRDefault="00E82303">
            <w:pPr>
              <w:pStyle w:val="BulletText1"/>
            </w:pPr>
            <w:r w:rsidRPr="00D21D64">
              <w:t xml:space="preserve">determine competency under the same criteria applicable to </w:t>
            </w:r>
            <w:r w:rsidR="00A65B2A" w:rsidRPr="00D21D64">
              <w:t>Veteran</w:t>
            </w:r>
            <w:r w:rsidRPr="00D21D64">
              <w:t>s, and</w:t>
            </w:r>
          </w:p>
          <w:p w14:paraId="2A0F81D6" w14:textId="77777777" w:rsidR="00E82303" w:rsidRPr="00D21D64" w:rsidRDefault="00E82303">
            <w:pPr>
              <w:pStyle w:val="BulletText1"/>
            </w:pPr>
            <w:proofErr w:type="gramStart"/>
            <w:r w:rsidRPr="00D21D64">
              <w:t>record</w:t>
            </w:r>
            <w:proofErr w:type="gramEnd"/>
            <w:r w:rsidRPr="00D21D64">
              <w:t xml:space="preserve"> the determination in a rating.</w:t>
            </w:r>
          </w:p>
          <w:p w14:paraId="2A0F81D7" w14:textId="77777777" w:rsidR="00E82303" w:rsidRPr="00D21D64" w:rsidRDefault="00E82303">
            <w:pPr>
              <w:pStyle w:val="BlockText"/>
            </w:pPr>
          </w:p>
          <w:p w14:paraId="2A0F81D8" w14:textId="77777777" w:rsidR="00E82303" w:rsidRPr="00D21D64" w:rsidRDefault="00E82303">
            <w:pPr>
              <w:pStyle w:val="BlockText"/>
            </w:pPr>
            <w:r w:rsidRPr="00D21D64">
              <w:rPr>
                <w:b/>
                <w:i/>
              </w:rPr>
              <w:t>References</w:t>
            </w:r>
            <w:r w:rsidRPr="00D21D64">
              <w:t>:  For information on</w:t>
            </w:r>
          </w:p>
          <w:p w14:paraId="2A0F81D9" w14:textId="688D2C2F" w:rsidR="00E82303" w:rsidRPr="00D21D64" w:rsidRDefault="00E82303">
            <w:pPr>
              <w:pStyle w:val="BulletText1"/>
            </w:pPr>
            <w:r w:rsidRPr="00D21D64">
              <w:t xml:space="preserve">due process procedures in incompetency cases, see </w:t>
            </w:r>
            <w:hyperlink r:id="rId22" w:history="1">
              <w:r w:rsidRPr="00D21D64">
                <w:rPr>
                  <w:rStyle w:val="Hyperlink"/>
                </w:rPr>
                <w:t>M21-1MR, Part III, Subpart v, 9.B.6</w:t>
              </w:r>
            </w:hyperlink>
            <w:r w:rsidRPr="00D21D64">
              <w:t>, and</w:t>
            </w:r>
          </w:p>
          <w:p w14:paraId="2A0F81DA" w14:textId="77777777" w:rsidR="00E82303" w:rsidRPr="00D21D64" w:rsidRDefault="00E82303">
            <w:pPr>
              <w:pStyle w:val="BulletText1"/>
            </w:pPr>
            <w:proofErr w:type="gramStart"/>
            <w:r w:rsidRPr="00D21D64">
              <w:t>conditions</w:t>
            </w:r>
            <w:proofErr w:type="gramEnd"/>
            <w:r w:rsidRPr="00D21D64">
              <w:t xml:space="preserve"> which determine permanent incapacity for self-support, see </w:t>
            </w:r>
            <w:hyperlink r:id="rId23" w:history="1">
              <w:r w:rsidR="00AD5BBE" w:rsidRPr="00D21D64">
                <w:rPr>
                  <w:rStyle w:val="Hyperlink"/>
                </w:rPr>
                <w:t>38 CFR</w:t>
              </w:r>
              <w:r w:rsidR="0098486A" w:rsidRPr="00D21D64">
                <w:rPr>
                  <w:rStyle w:val="Hyperlink"/>
                </w:rPr>
                <w:t xml:space="preserve"> 3</w:t>
              </w:r>
              <w:r w:rsidRPr="00D21D64">
                <w:rPr>
                  <w:rStyle w:val="Hyperlink"/>
                </w:rPr>
                <w:t>.356</w:t>
              </w:r>
            </w:hyperlink>
            <w:r w:rsidRPr="00D21D64">
              <w:t>.</w:t>
            </w:r>
          </w:p>
          <w:p w14:paraId="2A0F81DB" w14:textId="77777777" w:rsidR="00E82303" w:rsidRPr="00D21D64" w:rsidRDefault="00E82303">
            <w:pPr>
              <w:pStyle w:val="BlockText"/>
            </w:pPr>
          </w:p>
          <w:p w14:paraId="2A0F81DC" w14:textId="7B9E438C" w:rsidR="00E82303" w:rsidRPr="00D21D64" w:rsidRDefault="00E82303">
            <w:pPr>
              <w:pStyle w:val="BlockText"/>
            </w:pPr>
            <w:r w:rsidRPr="00D21D64">
              <w:rPr>
                <w:b/>
                <w:i/>
              </w:rPr>
              <w:t>Note</w:t>
            </w:r>
            <w:r w:rsidRPr="00D21D64">
              <w:t xml:space="preserve">:  Since the incompetency procedures referred to in </w:t>
            </w:r>
            <w:hyperlink r:id="rId24" w:history="1">
              <w:r w:rsidRPr="00D21D64">
                <w:rPr>
                  <w:rStyle w:val="Hyperlink"/>
                </w:rPr>
                <w:t>M21-1MR, Part III, Subpart v, 9.B.6</w:t>
              </w:r>
            </w:hyperlink>
            <w:r w:rsidRPr="00D21D64">
              <w:t xml:space="preserve"> are for payment purposes, do not apply those procedures except in cases where the child would receive direct payment in his/her own right.</w:t>
            </w:r>
          </w:p>
        </w:tc>
      </w:tr>
    </w:tbl>
    <w:p w14:paraId="2A0F81DE" w14:textId="77777777" w:rsidR="00E82303" w:rsidRPr="00D21D64" w:rsidRDefault="00253101">
      <w:pPr>
        <w:pStyle w:val="BlockLine"/>
      </w:pPr>
      <w:r w:rsidRPr="00D21D64">
        <w:fldChar w:fldCharType="begin"/>
      </w:r>
      <w:r w:rsidRPr="00D21D64">
        <w:instrText xml:space="preserve"> PRIVATE INFOTYPE="PROCEDURE"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1E8" w14:textId="77777777">
        <w:trPr>
          <w:cantSplit/>
        </w:trPr>
        <w:tc>
          <w:tcPr>
            <w:tcW w:w="1728" w:type="dxa"/>
          </w:tcPr>
          <w:p w14:paraId="2A0F81DF" w14:textId="77777777" w:rsidR="00E82303" w:rsidRPr="00D21D64" w:rsidRDefault="00E82303">
            <w:pPr>
              <w:pStyle w:val="Heading5"/>
            </w:pPr>
            <w:bookmarkStart w:id="9" w:name="_c.__Considering"/>
            <w:bookmarkEnd w:id="9"/>
            <w:proofErr w:type="gramStart"/>
            <w:r w:rsidRPr="00D21D64">
              <w:t>c.  Considering</w:t>
            </w:r>
            <w:proofErr w:type="gramEnd"/>
            <w:r w:rsidRPr="00D21D64">
              <w:t xml:space="preserve"> the Competency of Other Beneficiaries</w:t>
            </w:r>
          </w:p>
        </w:tc>
        <w:tc>
          <w:tcPr>
            <w:tcW w:w="7740" w:type="dxa"/>
          </w:tcPr>
          <w:p w14:paraId="2A0F81E0" w14:textId="77777777" w:rsidR="00E82303" w:rsidRPr="00D21D64" w:rsidRDefault="00E82303">
            <w:pPr>
              <w:pStyle w:val="BlockText"/>
            </w:pPr>
            <w:r w:rsidRPr="00D21D64">
              <w:t>If there is evidence of incompetency and the claimant is another beneficiary, such as a surviving spouse, parent, or VA insurance beneficiary</w:t>
            </w:r>
          </w:p>
          <w:p w14:paraId="2A0F81E1" w14:textId="77777777" w:rsidR="00E82303" w:rsidRPr="00D21D64" w:rsidRDefault="00E82303">
            <w:pPr>
              <w:pStyle w:val="BlockText"/>
            </w:pPr>
          </w:p>
          <w:p w14:paraId="2A0F81E2" w14:textId="77777777" w:rsidR="00E82303" w:rsidRPr="00D21D64" w:rsidRDefault="00E82303">
            <w:pPr>
              <w:pStyle w:val="BulletText1"/>
            </w:pPr>
            <w:r w:rsidRPr="00D21D64">
              <w:t xml:space="preserve">consider competency a rating issue under </w:t>
            </w:r>
            <w:hyperlink r:id="rId25" w:history="1">
              <w:r w:rsidR="00AD5BBE" w:rsidRPr="00D21D64">
                <w:rPr>
                  <w:rStyle w:val="Hyperlink"/>
                </w:rPr>
                <w:t>38 CFR</w:t>
              </w:r>
              <w:r w:rsidR="0098486A" w:rsidRPr="00D21D64">
                <w:rPr>
                  <w:rStyle w:val="Hyperlink"/>
                </w:rPr>
                <w:t xml:space="preserve"> 3</w:t>
              </w:r>
              <w:r w:rsidRPr="00D21D64">
                <w:rPr>
                  <w:rStyle w:val="Hyperlink"/>
                </w:rPr>
                <w:t>.353</w:t>
              </w:r>
            </w:hyperlink>
            <w:r w:rsidRPr="00D21D64">
              <w:t xml:space="preserve"> </w:t>
            </w:r>
            <w:r w:rsidRPr="00D21D64">
              <w:rPr>
                <w:i/>
              </w:rPr>
              <w:t>except</w:t>
            </w:r>
            <w:r w:rsidRPr="00D21D64">
              <w:t xml:space="preserve"> when there has been a judicial determination of incompetency, and</w:t>
            </w:r>
          </w:p>
          <w:p w14:paraId="2A0F81E3" w14:textId="77777777" w:rsidR="00E82303" w:rsidRPr="00D21D64" w:rsidRDefault="00E82303">
            <w:pPr>
              <w:pStyle w:val="BulletText1"/>
            </w:pPr>
            <w:proofErr w:type="gramStart"/>
            <w:r w:rsidRPr="00D21D64">
              <w:t>propose</w:t>
            </w:r>
            <w:proofErr w:type="gramEnd"/>
            <w:r w:rsidRPr="00D21D64">
              <w:t xml:space="preserve"> a rating on the issue or undertake any required development.</w:t>
            </w:r>
          </w:p>
          <w:p w14:paraId="2A0F81E4" w14:textId="77777777" w:rsidR="00E82303" w:rsidRPr="00D21D64" w:rsidRDefault="00E82303">
            <w:pPr>
              <w:pStyle w:val="BlockText"/>
            </w:pPr>
          </w:p>
          <w:p w14:paraId="2A0F81E5" w14:textId="77777777" w:rsidR="00E82303" w:rsidRPr="00D21D64" w:rsidRDefault="00E82303">
            <w:pPr>
              <w:pStyle w:val="BlockText"/>
            </w:pPr>
            <w:r w:rsidRPr="00D21D64">
              <w:rPr>
                <w:b/>
                <w:i/>
              </w:rPr>
              <w:t>References</w:t>
            </w:r>
            <w:r w:rsidRPr="00D21D64">
              <w:t>:  For more information on</w:t>
            </w:r>
          </w:p>
          <w:p w14:paraId="2A0F81E6" w14:textId="14A99689" w:rsidR="00E82303" w:rsidRPr="00D21D64" w:rsidRDefault="00E82303">
            <w:pPr>
              <w:pStyle w:val="BulletText1"/>
            </w:pPr>
            <w:r w:rsidRPr="00D21D64">
              <w:t xml:space="preserve">rating actions required after judicial determinations of incompetency, see </w:t>
            </w:r>
            <w:hyperlink r:id="rId26" w:history="1">
              <w:r w:rsidRPr="00D21D64">
                <w:rPr>
                  <w:rStyle w:val="Hyperlink"/>
                </w:rPr>
                <w:t>M21-1MR, Part III, Subpart v, 9.B.5.g</w:t>
              </w:r>
            </w:hyperlink>
            <w:r w:rsidRPr="00D21D64">
              <w:t>, and</w:t>
            </w:r>
          </w:p>
          <w:p w14:paraId="2A0F81E7" w14:textId="606EC2E2" w:rsidR="00E82303" w:rsidRPr="00D21D64" w:rsidRDefault="00E82303">
            <w:pPr>
              <w:pStyle w:val="BulletText1"/>
            </w:pPr>
            <w:r w:rsidRPr="00D21D64">
              <w:t xml:space="preserve">development required with different determinations of competency, see </w:t>
            </w:r>
            <w:hyperlink r:id="rId27" w:history="1">
              <w:r w:rsidRPr="00D21D64">
                <w:rPr>
                  <w:rStyle w:val="Hyperlink"/>
                </w:rPr>
                <w:t>M21-1MR, Part III, Subpart v, 9.B.5.f</w:t>
              </w:r>
            </w:hyperlink>
            <w:r w:rsidRPr="00D21D64">
              <w:t xml:space="preserve"> and </w:t>
            </w:r>
            <w:hyperlink r:id="rId28" w:history="1">
              <w:r w:rsidRPr="00D21D64">
                <w:rPr>
                  <w:rStyle w:val="Hyperlink"/>
                </w:rPr>
                <w:t>M21-1MR, Part III, Subpart v, 9.B.6</w:t>
              </w:r>
            </w:hyperlink>
            <w:r w:rsidRPr="00D21D64">
              <w:t>.</w:t>
            </w:r>
          </w:p>
        </w:tc>
      </w:tr>
    </w:tbl>
    <w:p w14:paraId="2A0F81E9" w14:textId="77777777" w:rsidR="00E82303" w:rsidRPr="00D21D64" w:rsidRDefault="00E82303">
      <w:pPr>
        <w:pStyle w:val="BlockLine"/>
      </w:pPr>
    </w:p>
    <w:p w14:paraId="2A0F81EA" w14:textId="77777777" w:rsidR="00E82303" w:rsidRPr="00D21D64" w:rsidRDefault="00E82303">
      <w:pPr>
        <w:pStyle w:val="Heading4"/>
      </w:pPr>
      <w:r w:rsidRPr="00D21D64">
        <w:br w:type="page"/>
      </w:r>
      <w:r w:rsidRPr="00D21D64">
        <w:lastRenderedPageBreak/>
        <w:t xml:space="preserve">3.  </w:t>
      </w:r>
      <w:bookmarkStart w:id="10" w:name="Topic3"/>
      <w:bookmarkEnd w:id="10"/>
      <w:r w:rsidRPr="00D21D64">
        <w:t>Process for Making Competency Determinations</w:t>
      </w:r>
    </w:p>
    <w:p w14:paraId="2A0F81EB" w14:textId="77777777" w:rsidR="00E82303" w:rsidRPr="00D21D64" w:rsidRDefault="00E8230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1EE" w14:textId="77777777">
        <w:trPr>
          <w:cantSplit/>
        </w:trPr>
        <w:tc>
          <w:tcPr>
            <w:tcW w:w="1728" w:type="dxa"/>
          </w:tcPr>
          <w:p w14:paraId="2A0F81EC" w14:textId="77777777" w:rsidR="00E82303" w:rsidRPr="00D21D64" w:rsidRDefault="00E82303">
            <w:pPr>
              <w:pStyle w:val="Heading5"/>
            </w:pPr>
            <w:r w:rsidRPr="00D21D64">
              <w:t>Change Date</w:t>
            </w:r>
          </w:p>
        </w:tc>
        <w:tc>
          <w:tcPr>
            <w:tcW w:w="7740" w:type="dxa"/>
          </w:tcPr>
          <w:p w14:paraId="2A0F81ED" w14:textId="153D9D61" w:rsidR="00E82303" w:rsidRPr="00D21D64" w:rsidRDefault="00F830CE">
            <w:pPr>
              <w:pStyle w:val="BlockText"/>
            </w:pPr>
            <w:r w:rsidRPr="00D21D64">
              <w:t>September 22, 2014</w:t>
            </w:r>
          </w:p>
        </w:tc>
      </w:tr>
    </w:tbl>
    <w:p w14:paraId="2A0F81EF" w14:textId="77777777" w:rsidR="00E82303" w:rsidRPr="00D21D64" w:rsidRDefault="00253101">
      <w:pPr>
        <w:pStyle w:val="BlockLine"/>
      </w:pPr>
      <w:r w:rsidRPr="00D21D64">
        <w:fldChar w:fldCharType="begin"/>
      </w:r>
      <w:r w:rsidRPr="00D21D64">
        <w:instrText xml:space="preserve"> PRIVATE INFOTYPE="PROCESS"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1F4" w14:textId="77777777">
        <w:trPr>
          <w:cantSplit/>
        </w:trPr>
        <w:tc>
          <w:tcPr>
            <w:tcW w:w="1728" w:type="dxa"/>
          </w:tcPr>
          <w:p w14:paraId="2A0F81F0" w14:textId="77777777" w:rsidR="00E82303" w:rsidRPr="00D21D64" w:rsidRDefault="00E82303">
            <w:pPr>
              <w:pStyle w:val="Heading5"/>
            </w:pPr>
            <w:proofErr w:type="gramStart"/>
            <w:r w:rsidRPr="00D21D64">
              <w:t>a.  Process</w:t>
            </w:r>
            <w:proofErr w:type="gramEnd"/>
            <w:r w:rsidRPr="00D21D64">
              <w:t xml:space="preserve"> for Making Competency Determinations</w:t>
            </w:r>
          </w:p>
        </w:tc>
        <w:tc>
          <w:tcPr>
            <w:tcW w:w="7740" w:type="dxa"/>
          </w:tcPr>
          <w:p w14:paraId="2A0F81F1" w14:textId="77777777" w:rsidR="00E82303" w:rsidRPr="00D21D64" w:rsidRDefault="00E82303">
            <w:pPr>
              <w:pStyle w:val="BlockText"/>
            </w:pPr>
            <w:r w:rsidRPr="00D21D64">
              <w:t>The table below describes the actions involved in making competency determinations.</w:t>
            </w:r>
          </w:p>
          <w:p w14:paraId="2A0F81F2" w14:textId="77777777" w:rsidR="00E82303" w:rsidRPr="00D21D64" w:rsidRDefault="00E82303">
            <w:pPr>
              <w:pStyle w:val="BlockText"/>
            </w:pPr>
          </w:p>
          <w:p w14:paraId="2A0F81F3" w14:textId="01C8B579" w:rsidR="00E82303" w:rsidRPr="00D21D64" w:rsidRDefault="00E82303">
            <w:pPr>
              <w:pStyle w:val="BlockText"/>
            </w:pPr>
            <w:r w:rsidRPr="00D21D64">
              <w:rPr>
                <w:b/>
                <w:i/>
              </w:rPr>
              <w:t>Reference</w:t>
            </w:r>
            <w:r w:rsidRPr="00D21D64">
              <w:t xml:space="preserve">:  For more information on due process in incompetency determinations, see </w:t>
            </w:r>
            <w:hyperlink r:id="rId29" w:history="1">
              <w:r w:rsidRPr="00D21D64">
                <w:rPr>
                  <w:rStyle w:val="Hyperlink"/>
                </w:rPr>
                <w:t>M21-1MR, Part III, Subpart v, 9.B.6</w:t>
              </w:r>
            </w:hyperlink>
            <w:r w:rsidRPr="00D21D64">
              <w:t>.</w:t>
            </w:r>
          </w:p>
        </w:tc>
      </w:tr>
    </w:tbl>
    <w:p w14:paraId="2A0F81F5" w14:textId="77777777" w:rsidR="00E82303" w:rsidRPr="00D21D64" w:rsidRDefault="00E82303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1620"/>
        <w:gridCol w:w="5040"/>
      </w:tblGrid>
      <w:tr w:rsidR="00E82303" w:rsidRPr="00D21D64" w14:paraId="2A0F81F9" w14:textId="77777777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F6" w14:textId="77777777" w:rsidR="00E82303" w:rsidRPr="00D21D64" w:rsidRDefault="00E82303">
            <w:pPr>
              <w:pStyle w:val="TableHeaderText"/>
            </w:pPr>
            <w:r w:rsidRPr="00D21D64">
              <w:t>Stage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F7" w14:textId="77777777" w:rsidR="00E82303" w:rsidRPr="00D21D64" w:rsidRDefault="00E82303">
            <w:pPr>
              <w:pStyle w:val="TableHeaderText"/>
            </w:pPr>
            <w:r w:rsidRPr="00D21D64">
              <w:t>Who Is Responsible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F8" w14:textId="77777777" w:rsidR="00E82303" w:rsidRPr="00D21D64" w:rsidRDefault="00E82303">
            <w:pPr>
              <w:pStyle w:val="TableHeaderText"/>
            </w:pPr>
            <w:r w:rsidRPr="00D21D64">
              <w:t>Action</w:t>
            </w:r>
          </w:p>
        </w:tc>
      </w:tr>
      <w:tr w:rsidR="00E82303" w:rsidRPr="00D21D64" w14:paraId="2A0F81FF" w14:textId="77777777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FA" w14:textId="77777777" w:rsidR="00E82303" w:rsidRPr="00D21D64" w:rsidRDefault="00E82303">
            <w:pPr>
              <w:pStyle w:val="TableText"/>
              <w:jc w:val="center"/>
            </w:pPr>
            <w:r w:rsidRPr="00D21D64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FB" w14:textId="77777777" w:rsidR="00E82303" w:rsidRPr="00D21D64" w:rsidRDefault="00E82303">
            <w:pPr>
              <w:pStyle w:val="TableText"/>
            </w:pPr>
            <w:r w:rsidRPr="00D21D64">
              <w:t xml:space="preserve">Rating </w:t>
            </w:r>
            <w:r w:rsidR="00A65B2A" w:rsidRPr="00D21D64">
              <w:t>Veteran</w:t>
            </w:r>
            <w:r w:rsidRPr="00D21D64">
              <w:t>s Service Representative (RVSR)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1FC" w14:textId="77777777" w:rsidR="00E82303" w:rsidRPr="00D21D64" w:rsidRDefault="00E82303">
            <w:pPr>
              <w:pStyle w:val="TableText"/>
            </w:pPr>
            <w:r w:rsidRPr="00D21D64">
              <w:t>Prepares a rating decision proposing a finding of incompetency after receiving clear and convincing evidence that the payee is incapable of managing his/her own affairs, including disbursement of funds without limitation.</w:t>
            </w:r>
          </w:p>
          <w:p w14:paraId="2A0F81FD" w14:textId="77777777" w:rsidR="00E82303" w:rsidRPr="00D21D64" w:rsidRDefault="00E82303">
            <w:pPr>
              <w:pStyle w:val="TableText"/>
            </w:pPr>
          </w:p>
          <w:p w14:paraId="2A0F81FE" w14:textId="77777777" w:rsidR="00E82303" w:rsidRPr="00D21D64" w:rsidRDefault="00E82303">
            <w:pPr>
              <w:pStyle w:val="TableText"/>
            </w:pPr>
            <w:r w:rsidRPr="00D21D64">
              <w:rPr>
                <w:b/>
                <w:bCs/>
                <w:i/>
                <w:iCs/>
              </w:rPr>
              <w:t>Note</w:t>
            </w:r>
            <w:r w:rsidRPr="00D21D64">
              <w:t xml:space="preserve">:  A rating is not necessary for any payee besides a </w:t>
            </w:r>
            <w:r w:rsidR="00A65B2A" w:rsidRPr="00D21D64">
              <w:t>Veteran</w:t>
            </w:r>
            <w:r w:rsidRPr="00D21D64">
              <w:t xml:space="preserve">, if there is a finding of incompetency by a court.  For all payees, however, </w:t>
            </w:r>
            <w:proofErr w:type="gramStart"/>
            <w:r w:rsidRPr="00D21D64">
              <w:t>a court</w:t>
            </w:r>
            <w:proofErr w:type="gramEnd"/>
            <w:r w:rsidRPr="00D21D64">
              <w:t xml:space="preserve"> adjudication waives the due process requirement.</w:t>
            </w:r>
          </w:p>
        </w:tc>
      </w:tr>
    </w:tbl>
    <w:p w14:paraId="2A0F8200" w14:textId="77777777" w:rsidR="00054C82" w:rsidRPr="00D21D64" w:rsidRDefault="00054C82" w:rsidP="00054C82">
      <w:pPr>
        <w:pStyle w:val="ContinuedOnNextPa"/>
      </w:pPr>
      <w:r w:rsidRPr="00D21D64">
        <w:t>Continued on next page</w:t>
      </w:r>
    </w:p>
    <w:p w14:paraId="2A0F8201" w14:textId="77777777" w:rsidR="00054C82" w:rsidRPr="00D21D64" w:rsidRDefault="00054C82" w:rsidP="00054C82">
      <w:pPr>
        <w:pStyle w:val="MapTitleContinued"/>
        <w:rPr>
          <w:b w:val="0"/>
          <w:sz w:val="24"/>
        </w:rPr>
      </w:pPr>
      <w:r w:rsidRPr="00D21D64">
        <w:br w:type="page"/>
      </w:r>
      <w:fldSimple w:instr=" STYLEREF &quot;Map Title&quot; ">
        <w:r w:rsidR="00516E6F" w:rsidRPr="00D21D64">
          <w:rPr>
            <w:noProof/>
          </w:rPr>
          <w:t>3.  Process for Making Competency Determinations</w:t>
        </w:r>
      </w:fldSimple>
      <w:r w:rsidRPr="00D21D64">
        <w:t xml:space="preserve">, </w:t>
      </w:r>
      <w:r w:rsidRPr="00D21D64">
        <w:rPr>
          <w:b w:val="0"/>
          <w:sz w:val="24"/>
        </w:rPr>
        <w:t>Continued</w:t>
      </w:r>
    </w:p>
    <w:p w14:paraId="2A0F8202" w14:textId="77777777" w:rsidR="00054C82" w:rsidRPr="00D21D64" w:rsidRDefault="00054C82" w:rsidP="00054C82">
      <w:pPr>
        <w:pStyle w:val="BlockLine"/>
      </w:pPr>
      <w:r w:rsidRPr="00D21D64"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054C82" w:rsidRPr="00D21D64" w14:paraId="2A0F8204" w14:textId="77777777" w:rsidTr="00054C82">
        <w:tc>
          <w:tcPr>
            <w:tcW w:w="5000" w:type="pct"/>
            <w:shd w:val="clear" w:color="auto" w:fill="auto"/>
          </w:tcPr>
          <w:p w14:paraId="2A0F8203" w14:textId="77777777" w:rsidR="00054C82" w:rsidRPr="00D21D64" w:rsidRDefault="00804509" w:rsidP="00054C82">
            <w:pPr>
              <w:pStyle w:val="ContinuedTableLabe"/>
            </w:pPr>
            <w:fldSimple w:instr=" STYLEREF &quot;Block Label&quot; ">
              <w:r w:rsidR="00516E6F" w:rsidRPr="00D21D64">
                <w:rPr>
                  <w:noProof/>
                </w:rPr>
                <w:t>a.  Process for Making Competency Determinations</w:t>
              </w:r>
            </w:fldSimple>
            <w:r w:rsidR="00054C82" w:rsidRPr="00D21D64">
              <w:t xml:space="preserve"> </w:t>
            </w:r>
            <w:r w:rsidR="00054C82" w:rsidRPr="00D21D64">
              <w:rPr>
                <w:b w:val="0"/>
              </w:rPr>
              <w:t>(continued)</w:t>
            </w:r>
          </w:p>
        </w:tc>
      </w:tr>
    </w:tbl>
    <w:p w14:paraId="2A0F8205" w14:textId="77777777" w:rsidR="00054C82" w:rsidRPr="00D21D64" w:rsidRDefault="00054C82" w:rsidP="00054C82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1620"/>
        <w:gridCol w:w="5040"/>
      </w:tblGrid>
      <w:tr w:rsidR="00054C82" w:rsidRPr="00D21D64" w14:paraId="2A0F8209" w14:textId="77777777" w:rsidTr="00054C82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06" w14:textId="77777777" w:rsidR="00054C82" w:rsidRPr="00D21D64" w:rsidRDefault="00054C82" w:rsidP="00054C82">
            <w:pPr>
              <w:pStyle w:val="TableHeaderText"/>
            </w:pPr>
            <w:r w:rsidRPr="00D21D64">
              <w:t>Stage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07" w14:textId="77777777" w:rsidR="00054C82" w:rsidRPr="00D21D64" w:rsidRDefault="00054C82" w:rsidP="00054C82">
            <w:pPr>
              <w:pStyle w:val="TableHeaderText"/>
            </w:pPr>
            <w:r w:rsidRPr="00D21D64">
              <w:t>Who Is Responsible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08" w14:textId="77777777" w:rsidR="00054C82" w:rsidRPr="00D21D64" w:rsidRDefault="00054C82" w:rsidP="00054C82">
            <w:pPr>
              <w:pStyle w:val="TableHeaderText"/>
            </w:pPr>
            <w:r w:rsidRPr="00D21D64">
              <w:t>Action</w:t>
            </w:r>
          </w:p>
        </w:tc>
      </w:tr>
      <w:tr w:rsidR="00E82303" w:rsidRPr="00D21D64" w14:paraId="2A0F8217" w14:textId="77777777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0A" w14:textId="77777777" w:rsidR="00E82303" w:rsidRPr="00D21D64" w:rsidRDefault="00E82303">
            <w:pPr>
              <w:pStyle w:val="TableText"/>
              <w:jc w:val="center"/>
            </w:pPr>
            <w:r w:rsidRPr="00D21D64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0B" w14:textId="77777777" w:rsidR="00E82303" w:rsidRPr="00D21D64" w:rsidRDefault="00A65B2A">
            <w:pPr>
              <w:pStyle w:val="TableText"/>
            </w:pPr>
            <w:r w:rsidRPr="00D21D64">
              <w:t>Veteran</w:t>
            </w:r>
            <w:r w:rsidR="00E82303" w:rsidRPr="00D21D64">
              <w:t>s Service Representative (VSR)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0C" w14:textId="77777777" w:rsidR="00E82303" w:rsidRPr="00D21D64" w:rsidRDefault="00E82303">
            <w:pPr>
              <w:pStyle w:val="BulletText1"/>
            </w:pPr>
            <w:r w:rsidRPr="00D21D64">
              <w:t>Provides the payee notice of</w:t>
            </w:r>
          </w:p>
          <w:p w14:paraId="2A0F820D" w14:textId="77777777" w:rsidR="00E82303" w:rsidRPr="00D21D64" w:rsidRDefault="00E82303">
            <w:pPr>
              <w:pStyle w:val="BulletText2"/>
            </w:pPr>
            <w:r w:rsidRPr="00D21D64">
              <w:t>the proposed incompetency rating, and</w:t>
            </w:r>
          </w:p>
          <w:p w14:paraId="2A0F820E" w14:textId="77777777" w:rsidR="00E82303" w:rsidRPr="00D21D64" w:rsidRDefault="00E82303">
            <w:pPr>
              <w:pStyle w:val="BulletText2"/>
            </w:pPr>
            <w:r w:rsidRPr="00D21D64">
              <w:t>the opportunity for a hearing</w:t>
            </w:r>
          </w:p>
          <w:p w14:paraId="2A0F820F" w14:textId="77777777" w:rsidR="00E82303" w:rsidRPr="00D21D64" w:rsidRDefault="00E82303">
            <w:pPr>
              <w:pStyle w:val="BulletText1"/>
            </w:pPr>
            <w:r w:rsidRPr="00D21D64">
              <w:t>clears any pending end product (EP) that would normally be taken at this point</w:t>
            </w:r>
          </w:p>
          <w:p w14:paraId="2A0F8210" w14:textId="77777777" w:rsidR="00E82303" w:rsidRPr="00D21D64" w:rsidRDefault="00E82303">
            <w:pPr>
              <w:pStyle w:val="BulletText1"/>
            </w:pPr>
            <w:r w:rsidRPr="00D21D64">
              <w:t>establishes EP 600 to control the proposal of incompetency, and</w:t>
            </w:r>
          </w:p>
          <w:p w14:paraId="2A0F8211" w14:textId="77777777" w:rsidR="00E82303" w:rsidRPr="00D21D64" w:rsidRDefault="00E82303">
            <w:pPr>
              <w:pStyle w:val="BulletText1"/>
            </w:pPr>
            <w:proofErr w:type="gramStart"/>
            <w:r w:rsidRPr="00D21D64">
              <w:t>allows</w:t>
            </w:r>
            <w:proofErr w:type="gramEnd"/>
            <w:r w:rsidRPr="00D21D64">
              <w:t xml:space="preserve"> 65 days for a response.</w:t>
            </w:r>
          </w:p>
          <w:p w14:paraId="2A0F8212" w14:textId="77777777" w:rsidR="00E82303" w:rsidRPr="00D21D64" w:rsidRDefault="00E82303">
            <w:pPr>
              <w:pStyle w:val="TableText"/>
            </w:pPr>
          </w:p>
          <w:p w14:paraId="2A0F8213" w14:textId="77777777" w:rsidR="00E82303" w:rsidRPr="00D21D64" w:rsidRDefault="00E82303">
            <w:pPr>
              <w:pStyle w:val="TableText"/>
            </w:pPr>
            <w:r w:rsidRPr="00D21D64">
              <w:rPr>
                <w:b/>
                <w:bCs/>
                <w:i/>
                <w:iCs/>
              </w:rPr>
              <w:t>Notes</w:t>
            </w:r>
            <w:r w:rsidRPr="00D21D64">
              <w:t xml:space="preserve">:  </w:t>
            </w:r>
          </w:p>
          <w:p w14:paraId="2A0F8214" w14:textId="77777777" w:rsidR="00E82303" w:rsidRPr="00D21D64" w:rsidRDefault="00E82303">
            <w:pPr>
              <w:pStyle w:val="BulletText1"/>
            </w:pPr>
            <w:r w:rsidRPr="00D21D64">
              <w:t>EP 600 controls the incompetency proposal in any claim, including an original claim for benefits.</w:t>
            </w:r>
          </w:p>
          <w:p w14:paraId="2A0F8215" w14:textId="1552278A" w:rsidR="006820E1" w:rsidRPr="00D21D64" w:rsidRDefault="00E82303">
            <w:pPr>
              <w:pStyle w:val="BulletText1"/>
            </w:pPr>
            <w:r w:rsidRPr="00D21D64">
              <w:t>If a request fo</w:t>
            </w:r>
            <w:r w:rsidR="00910F81" w:rsidRPr="00D21D64">
              <w:t xml:space="preserve">r a hearing is received </w:t>
            </w:r>
            <w:r w:rsidR="00091CA5" w:rsidRPr="00D21D64">
              <w:t>at any time before the final decision is prepared</w:t>
            </w:r>
            <w:r w:rsidR="004E2DB2" w:rsidRPr="00D21D64">
              <w:t>,</w:t>
            </w:r>
            <w:r w:rsidR="00091CA5" w:rsidRPr="00D21D64">
              <w:t xml:space="preserve"> it</w:t>
            </w:r>
            <w:r w:rsidR="00675C18" w:rsidRPr="00D21D64">
              <w:t xml:space="preserve"> must be held prior to </w:t>
            </w:r>
            <w:r w:rsidR="00091CA5" w:rsidRPr="00D21D64">
              <w:t>a rating</w:t>
            </w:r>
            <w:r w:rsidR="00675C18" w:rsidRPr="00D21D64">
              <w:t xml:space="preserve"> decision</w:t>
            </w:r>
            <w:r w:rsidR="00091CA5" w:rsidRPr="00D21D64">
              <w:t xml:space="preserve"> of incompetency</w:t>
            </w:r>
            <w:r w:rsidR="00675C18" w:rsidRPr="00D21D64">
              <w:t>.</w:t>
            </w:r>
          </w:p>
          <w:p w14:paraId="2A0F8216" w14:textId="77777777" w:rsidR="00E82303" w:rsidRPr="00D21D64" w:rsidRDefault="00E82303" w:rsidP="00054C82">
            <w:pPr>
              <w:pStyle w:val="BulletText2"/>
            </w:pPr>
            <w:r w:rsidRPr="00D21D64">
              <w:t>At the hearing, allow the next of kin or any other person of the payee’s choice to participate and assist the payee.</w:t>
            </w:r>
          </w:p>
        </w:tc>
      </w:tr>
    </w:tbl>
    <w:p w14:paraId="2A0F8218" w14:textId="77777777" w:rsidR="0014461D" w:rsidRPr="00D21D64" w:rsidRDefault="0014461D" w:rsidP="0014461D">
      <w:pPr>
        <w:pStyle w:val="ContinuedOnNextPa"/>
      </w:pPr>
      <w:r w:rsidRPr="00D21D64">
        <w:t>Continued on next page</w:t>
      </w:r>
    </w:p>
    <w:p w14:paraId="2A0F8219" w14:textId="39FB633C" w:rsidR="0014461D" w:rsidRPr="00D21D64" w:rsidRDefault="0014461D" w:rsidP="0014461D">
      <w:pPr>
        <w:pStyle w:val="MapTitleContinued"/>
        <w:rPr>
          <w:b w:val="0"/>
          <w:sz w:val="24"/>
        </w:rPr>
      </w:pPr>
      <w:r w:rsidRPr="00D21D64">
        <w:br w:type="page"/>
      </w:r>
      <w:fldSimple w:instr=" STYLEREF &quot;Map Title&quot; ">
        <w:r w:rsidR="00516E6F" w:rsidRPr="00D21D64">
          <w:rPr>
            <w:noProof/>
          </w:rPr>
          <w:t>3.  Process for Making Competency Determinations</w:t>
        </w:r>
      </w:fldSimple>
      <w:r w:rsidR="009B2810" w:rsidRPr="00D21D64">
        <w:rPr>
          <w:noProof/>
        </w:rPr>
        <w:t xml:space="preserve">, </w:t>
      </w:r>
      <w:r w:rsidR="009B2810" w:rsidRPr="00D21D64">
        <w:rPr>
          <w:b w:val="0"/>
          <w:sz w:val="24"/>
        </w:rPr>
        <w:t>Continued</w:t>
      </w:r>
    </w:p>
    <w:p w14:paraId="2A0F821A" w14:textId="77777777" w:rsidR="0014461D" w:rsidRPr="00D21D64" w:rsidRDefault="0014461D" w:rsidP="0014461D">
      <w:pPr>
        <w:pStyle w:val="BlockLine"/>
      </w:pPr>
      <w:r w:rsidRPr="00D21D64"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14461D" w:rsidRPr="00D21D64" w14:paraId="2A0F821C" w14:textId="77777777" w:rsidTr="0014461D">
        <w:tc>
          <w:tcPr>
            <w:tcW w:w="5000" w:type="pct"/>
            <w:shd w:val="clear" w:color="auto" w:fill="auto"/>
          </w:tcPr>
          <w:p w14:paraId="2A0F821B" w14:textId="77777777" w:rsidR="0014461D" w:rsidRPr="00D21D64" w:rsidRDefault="00804509" w:rsidP="0014461D">
            <w:pPr>
              <w:pStyle w:val="ContinuedTableLabe"/>
            </w:pPr>
            <w:fldSimple w:instr=" STYLEREF &quot;Block Label&quot; ">
              <w:r w:rsidR="00516E6F" w:rsidRPr="00D21D64">
                <w:rPr>
                  <w:noProof/>
                </w:rPr>
                <w:t>a.  Process for Making Competency Determinations</w:t>
              </w:r>
            </w:fldSimple>
            <w:r w:rsidR="0014461D" w:rsidRPr="00D21D64">
              <w:t xml:space="preserve"> </w:t>
            </w:r>
            <w:r w:rsidR="0014461D" w:rsidRPr="00D21D64">
              <w:rPr>
                <w:b w:val="0"/>
              </w:rPr>
              <w:t>(continued)</w:t>
            </w:r>
          </w:p>
        </w:tc>
      </w:tr>
    </w:tbl>
    <w:p w14:paraId="2A0F821D" w14:textId="77777777" w:rsidR="0014461D" w:rsidRPr="00D21D64" w:rsidRDefault="0014461D" w:rsidP="0014461D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1620"/>
        <w:gridCol w:w="5040"/>
      </w:tblGrid>
      <w:tr w:rsidR="0014461D" w:rsidRPr="00D21D64" w14:paraId="2A0F8221" w14:textId="77777777" w:rsidTr="0014461D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1E" w14:textId="77777777" w:rsidR="0014461D" w:rsidRPr="00D21D64" w:rsidRDefault="0014461D" w:rsidP="001B3183">
            <w:pPr>
              <w:pStyle w:val="TableHeaderText"/>
            </w:pPr>
            <w:r w:rsidRPr="00D21D64">
              <w:t>Stage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1F" w14:textId="77777777" w:rsidR="0014461D" w:rsidRPr="00D21D64" w:rsidRDefault="0014461D" w:rsidP="001B3183">
            <w:pPr>
              <w:pStyle w:val="TableHeaderText"/>
            </w:pPr>
            <w:r w:rsidRPr="00D21D64">
              <w:t>Who Is Responsible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20" w14:textId="77777777" w:rsidR="0014461D" w:rsidRPr="00D21D64" w:rsidRDefault="0014461D" w:rsidP="001B3183">
            <w:pPr>
              <w:pStyle w:val="TableHeaderText"/>
            </w:pPr>
            <w:r w:rsidRPr="00D21D64">
              <w:t>Action</w:t>
            </w:r>
          </w:p>
        </w:tc>
      </w:tr>
      <w:tr w:rsidR="00054C82" w:rsidRPr="00D21D64" w14:paraId="2A0F8228" w14:textId="77777777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22" w14:textId="77777777" w:rsidR="00054C82" w:rsidRPr="00D21D64" w:rsidRDefault="00054C82" w:rsidP="00054C82">
            <w:pPr>
              <w:pStyle w:val="TableText"/>
              <w:jc w:val="center"/>
            </w:pPr>
            <w:r w:rsidRPr="00D21D64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23" w14:textId="77777777" w:rsidR="00054C82" w:rsidRPr="00D21D64" w:rsidRDefault="00054C82" w:rsidP="00054C82">
            <w:pPr>
              <w:pStyle w:val="TableText"/>
            </w:pPr>
            <w:r w:rsidRPr="00D21D64">
              <w:t>RVSR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24" w14:textId="77777777" w:rsidR="0014461D" w:rsidRPr="00D21D64" w:rsidRDefault="00054C82" w:rsidP="0014461D">
            <w:pPr>
              <w:pStyle w:val="TableText"/>
            </w:pPr>
            <w:r w:rsidRPr="00D21D64">
              <w:t>Makes a final decision based on all of the evidence of record.</w:t>
            </w:r>
            <w:r w:rsidR="0014461D" w:rsidRPr="00D21D64">
              <w:t xml:space="preserve"> </w:t>
            </w:r>
          </w:p>
          <w:p w14:paraId="2A0F8225" w14:textId="77777777" w:rsidR="0014461D" w:rsidRPr="00D21D64" w:rsidRDefault="0014461D" w:rsidP="0014461D">
            <w:pPr>
              <w:pStyle w:val="TableText"/>
            </w:pPr>
          </w:p>
          <w:p w14:paraId="2A0F8226" w14:textId="77777777" w:rsidR="00054C82" w:rsidRPr="00D21D64" w:rsidRDefault="0014461D" w:rsidP="0014461D">
            <w:pPr>
              <w:pStyle w:val="TableText"/>
            </w:pPr>
            <w:r w:rsidRPr="00D21D64">
              <w:rPr>
                <w:b/>
                <w:i/>
              </w:rPr>
              <w:t>Reference</w:t>
            </w:r>
            <w:r w:rsidRPr="00D21D64">
              <w:t>:  For more information on the effect</w:t>
            </w:r>
            <w:r w:rsidR="00AC427F" w:rsidRPr="00D21D64">
              <w:t>ive</w:t>
            </w:r>
            <w:r w:rsidRPr="00D21D64">
              <w:t xml:space="preserve"> date of a determination of incompetency, see </w:t>
            </w:r>
            <w:hyperlink r:id="rId30" w:history="1">
              <w:r w:rsidRPr="00D21D64">
                <w:rPr>
                  <w:rStyle w:val="Hyperlink"/>
                </w:rPr>
                <w:t>38 CFR 3.400(x)</w:t>
              </w:r>
            </w:hyperlink>
            <w:r w:rsidRPr="00D21D64">
              <w:t>.</w:t>
            </w:r>
          </w:p>
          <w:p w14:paraId="2A0F8227" w14:textId="77777777" w:rsidR="00EF0B27" w:rsidRPr="00D21D64" w:rsidRDefault="00EF0B27" w:rsidP="0014461D">
            <w:pPr>
              <w:pStyle w:val="TableText"/>
            </w:pPr>
          </w:p>
        </w:tc>
      </w:tr>
      <w:tr w:rsidR="00054C82" w:rsidRPr="00D21D64" w14:paraId="2A0F822F" w14:textId="77777777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29" w14:textId="77777777" w:rsidR="00054C82" w:rsidRPr="00D21D64" w:rsidRDefault="00054C82" w:rsidP="00054C82">
            <w:pPr>
              <w:pStyle w:val="TableText"/>
              <w:jc w:val="center"/>
            </w:pPr>
            <w:r w:rsidRPr="00D21D64"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2A" w14:textId="77777777" w:rsidR="00054C82" w:rsidRPr="00D21D64" w:rsidRDefault="00054C82" w:rsidP="00054C82">
            <w:pPr>
              <w:pStyle w:val="TableText"/>
            </w:pPr>
            <w:r w:rsidRPr="00D21D64">
              <w:t>VSR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2B" w14:textId="77777777" w:rsidR="00054C82" w:rsidRPr="00D21D64" w:rsidRDefault="00054C82" w:rsidP="00054C82">
            <w:pPr>
              <w:pStyle w:val="BulletText1"/>
            </w:pPr>
            <w:r w:rsidRPr="00D21D64">
              <w:t>Clears EP 600 upon completing action on the final rating decision and notification on the competency issue</w:t>
            </w:r>
          </w:p>
          <w:p w14:paraId="2A0F822C" w14:textId="77777777" w:rsidR="00054C82" w:rsidRPr="00D21D64" w:rsidRDefault="00054C82" w:rsidP="00054C82">
            <w:pPr>
              <w:pStyle w:val="BulletText1"/>
            </w:pPr>
            <w:r w:rsidRPr="00D21D64">
              <w:t>establishes EP 290 to control the appointment of a fiduciary, and</w:t>
            </w:r>
          </w:p>
          <w:p w14:paraId="2A0F822D" w14:textId="77777777" w:rsidR="00054C82" w:rsidRPr="00D21D64" w:rsidRDefault="00054C82" w:rsidP="00054C82">
            <w:pPr>
              <w:pStyle w:val="BulletText1"/>
            </w:pPr>
            <w:proofErr w:type="gramStart"/>
            <w:r w:rsidRPr="00D21D64">
              <w:t>prepares</w:t>
            </w:r>
            <w:proofErr w:type="gramEnd"/>
            <w:r w:rsidRPr="00D21D64">
              <w:t xml:space="preserve"> </w:t>
            </w:r>
            <w:r w:rsidRPr="00D21D64">
              <w:rPr>
                <w:i/>
                <w:iCs/>
              </w:rPr>
              <w:t>VA Form 21-592, Request for Appointment of a Fiduciary, Custodian, or Guardian</w:t>
            </w:r>
            <w:r w:rsidRPr="00D21D64">
              <w:t>, for use by the fiduciary activity.</w:t>
            </w:r>
          </w:p>
          <w:p w14:paraId="2A0F822E" w14:textId="77777777" w:rsidR="001C0E30" w:rsidRPr="00D21D64" w:rsidRDefault="001C0E30" w:rsidP="001C0E30">
            <w:pPr>
              <w:pStyle w:val="TableText"/>
            </w:pPr>
          </w:p>
        </w:tc>
      </w:tr>
    </w:tbl>
    <w:p w14:paraId="2A0F8230" w14:textId="77777777" w:rsidR="00EF0B27" w:rsidRPr="00D21D64" w:rsidRDefault="00EF0B27" w:rsidP="00EF0B27"/>
    <w:tbl>
      <w:tblPr>
        <w:tblW w:w="7740" w:type="dxa"/>
        <w:tblInd w:w="1720" w:type="dxa"/>
        <w:tblLayout w:type="fixed"/>
        <w:tblLook w:val="0000" w:firstRow="0" w:lastRow="0" w:firstColumn="0" w:lastColumn="0" w:noHBand="0" w:noVBand="0"/>
      </w:tblPr>
      <w:tblGrid>
        <w:gridCol w:w="7740"/>
      </w:tblGrid>
      <w:tr w:rsidR="00EF0B27" w:rsidRPr="00D21D64" w14:paraId="2A0F8232" w14:textId="77777777" w:rsidTr="00EF0B27">
        <w:tc>
          <w:tcPr>
            <w:tcW w:w="5000" w:type="pct"/>
            <w:shd w:val="clear" w:color="auto" w:fill="auto"/>
          </w:tcPr>
          <w:p w14:paraId="2A0F8231" w14:textId="77777777" w:rsidR="00EF0B27" w:rsidRPr="00D21D64" w:rsidRDefault="00EF0B27" w:rsidP="00844670">
            <w:pPr>
              <w:pStyle w:val="NoteText"/>
            </w:pPr>
            <w:r w:rsidRPr="00D21D64">
              <w:rPr>
                <w:b/>
                <w:i/>
              </w:rPr>
              <w:t>Note</w:t>
            </w:r>
            <w:r w:rsidRPr="00D21D64">
              <w:t>:  Stages 3 and 4 must both be completed within 21 calendar da</w:t>
            </w:r>
            <w:r w:rsidR="00844670" w:rsidRPr="00D21D64">
              <w:t>ys</w:t>
            </w:r>
            <w:r w:rsidRPr="00D21D64">
              <w:t xml:space="preserve"> </w:t>
            </w:r>
            <w:r w:rsidR="00844670" w:rsidRPr="00D21D64">
              <w:t xml:space="preserve">following </w:t>
            </w:r>
            <w:r w:rsidRPr="00D21D64">
              <w:t>expiration of the due process period (60 days from the date of the due process notification except when a timely hearing request results in extension of that period as specified</w:t>
            </w:r>
            <w:r w:rsidR="00457108" w:rsidRPr="00D21D64">
              <w:t xml:space="preserve"> </w:t>
            </w:r>
            <w:r w:rsidR="00844670" w:rsidRPr="00D21D64">
              <w:t>in Stage 2 above</w:t>
            </w:r>
            <w:r w:rsidRPr="00D21D64">
              <w:t xml:space="preserve">).  </w:t>
            </w:r>
          </w:p>
        </w:tc>
      </w:tr>
    </w:tbl>
    <w:p w14:paraId="2A0F8233" w14:textId="77777777" w:rsidR="00E82303" w:rsidRPr="00D21D64" w:rsidRDefault="00E82303">
      <w:pPr>
        <w:pStyle w:val="ContinuedOnNextPa"/>
      </w:pPr>
      <w:r w:rsidRPr="00D21D64">
        <w:t>Continued on next page</w:t>
      </w:r>
    </w:p>
    <w:p w14:paraId="2A0F8234" w14:textId="399965B5" w:rsidR="00E82303" w:rsidRPr="00D21D64" w:rsidRDefault="00E82303" w:rsidP="00054C82">
      <w:pPr>
        <w:pStyle w:val="MapTitleContinued"/>
      </w:pPr>
      <w:r w:rsidRPr="00D21D64">
        <w:br w:type="page"/>
      </w:r>
      <w:r w:rsidRPr="00D21D64">
        <w:lastRenderedPageBreak/>
        <w:t xml:space="preserve">4.  </w:t>
      </w:r>
      <w:bookmarkStart w:id="11" w:name="Topic4"/>
      <w:bookmarkEnd w:id="11"/>
      <w:r w:rsidRPr="00D21D64">
        <w:t>Changing Competency Status</w:t>
      </w:r>
    </w:p>
    <w:p w14:paraId="2A0F8235" w14:textId="77777777" w:rsidR="00E82303" w:rsidRPr="00D21D64" w:rsidRDefault="00E82303">
      <w:pPr>
        <w:pStyle w:val="BlockLine"/>
      </w:pPr>
      <w:r w:rsidRPr="00D21D64">
        <w:fldChar w:fldCharType="begin"/>
      </w:r>
      <w:r w:rsidRPr="00D21D64">
        <w:instrText xml:space="preserve"> PRIVATE INFOTYPE="OTHER"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23D" w14:textId="77777777">
        <w:trPr>
          <w:cantSplit/>
        </w:trPr>
        <w:tc>
          <w:tcPr>
            <w:tcW w:w="1728" w:type="dxa"/>
          </w:tcPr>
          <w:p w14:paraId="2A0F8236" w14:textId="77777777" w:rsidR="00E82303" w:rsidRPr="00D21D64" w:rsidRDefault="00E82303">
            <w:pPr>
              <w:pStyle w:val="Heading5"/>
            </w:pPr>
            <w:r w:rsidRPr="00D21D64">
              <w:t>Introduction</w:t>
            </w:r>
          </w:p>
        </w:tc>
        <w:tc>
          <w:tcPr>
            <w:tcW w:w="7740" w:type="dxa"/>
          </w:tcPr>
          <w:p w14:paraId="2A0F8237" w14:textId="77777777" w:rsidR="00E82303" w:rsidRPr="00D21D64" w:rsidRDefault="00E82303">
            <w:pPr>
              <w:pStyle w:val="BlockText"/>
            </w:pPr>
            <w:r w:rsidRPr="00D21D64">
              <w:t>This topic contains information about changing competency status, including</w:t>
            </w:r>
          </w:p>
          <w:p w14:paraId="2A0F8238" w14:textId="77777777" w:rsidR="00E82303" w:rsidRPr="00D21D64" w:rsidRDefault="00E82303">
            <w:pPr>
              <w:pStyle w:val="BlockText"/>
            </w:pPr>
          </w:p>
          <w:p w14:paraId="2A0F8239" w14:textId="2F3A543D" w:rsidR="00E82303" w:rsidRPr="00D21D64" w:rsidRDefault="00D21D64">
            <w:pPr>
              <w:pStyle w:val="BulletText1"/>
            </w:pPr>
            <w:hyperlink w:anchor="_a.__Proposing" w:history="1">
              <w:r w:rsidR="00E82303" w:rsidRPr="00D21D64">
                <w:rPr>
                  <w:rStyle w:val="Hyperlink"/>
                </w:rPr>
                <w:t>proposing a loss of competency</w:t>
              </w:r>
            </w:hyperlink>
          </w:p>
          <w:p w14:paraId="2A0F823A" w14:textId="6474279F" w:rsidR="00E82303" w:rsidRPr="00D21D64" w:rsidRDefault="00D21D64">
            <w:pPr>
              <w:pStyle w:val="BulletText1"/>
            </w:pPr>
            <w:hyperlink w:anchor="_b.__Determining" w:history="1">
              <w:r w:rsidR="00E82303" w:rsidRPr="00D21D64">
                <w:rPr>
                  <w:rStyle w:val="Hyperlink"/>
                </w:rPr>
                <w:t>determining restored competency</w:t>
              </w:r>
            </w:hyperlink>
          </w:p>
          <w:p w14:paraId="2A0F823B" w14:textId="189F148A" w:rsidR="00E82303" w:rsidRPr="00D21D64" w:rsidRDefault="00D21D64">
            <w:pPr>
              <w:pStyle w:val="BulletText1"/>
            </w:pPr>
            <w:hyperlink w:anchor="_c.__Limitations" w:history="1">
              <w:r w:rsidR="00E82303" w:rsidRPr="00D21D64">
                <w:rPr>
                  <w:rStyle w:val="Hyperlink"/>
                </w:rPr>
                <w:t>limitations after competency is restored</w:t>
              </w:r>
            </w:hyperlink>
            <w:r w:rsidR="00E82303" w:rsidRPr="00D21D64">
              <w:t>, and</w:t>
            </w:r>
          </w:p>
          <w:p w14:paraId="2A0F823C" w14:textId="2B61E3F4" w:rsidR="00E82303" w:rsidRPr="00D21D64" w:rsidRDefault="00D21D64">
            <w:pPr>
              <w:pStyle w:val="BulletText1"/>
            </w:pPr>
            <w:hyperlink w:anchor="_d.__Evidence" w:history="1">
              <w:proofErr w:type="gramStart"/>
              <w:r w:rsidR="00E82303" w:rsidRPr="00D21D64">
                <w:rPr>
                  <w:rStyle w:val="Hyperlink"/>
                </w:rPr>
                <w:t>evidence</w:t>
              </w:r>
              <w:proofErr w:type="gramEnd"/>
              <w:r w:rsidR="00E82303" w:rsidRPr="00D21D64">
                <w:rPr>
                  <w:rStyle w:val="Hyperlink"/>
                </w:rPr>
                <w:t xml:space="preserve"> required to restore competency</w:t>
              </w:r>
            </w:hyperlink>
            <w:r w:rsidR="00E82303" w:rsidRPr="00D21D64">
              <w:t>.</w:t>
            </w:r>
          </w:p>
        </w:tc>
      </w:tr>
    </w:tbl>
    <w:p w14:paraId="2A0F823E" w14:textId="77777777" w:rsidR="00E82303" w:rsidRPr="00D21D64" w:rsidRDefault="00E8230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241" w14:textId="77777777">
        <w:trPr>
          <w:cantSplit/>
        </w:trPr>
        <w:tc>
          <w:tcPr>
            <w:tcW w:w="1728" w:type="dxa"/>
          </w:tcPr>
          <w:p w14:paraId="2A0F823F" w14:textId="77777777" w:rsidR="00E82303" w:rsidRPr="00D21D64" w:rsidRDefault="00E82303">
            <w:pPr>
              <w:pStyle w:val="Heading5"/>
            </w:pPr>
            <w:r w:rsidRPr="00D21D64">
              <w:t>Change Date</w:t>
            </w:r>
          </w:p>
        </w:tc>
        <w:tc>
          <w:tcPr>
            <w:tcW w:w="7740" w:type="dxa"/>
          </w:tcPr>
          <w:p w14:paraId="2A0F8240" w14:textId="19FD1FEF" w:rsidR="00E82303" w:rsidRPr="00D21D64" w:rsidRDefault="00461C30">
            <w:pPr>
              <w:pStyle w:val="BlockText"/>
            </w:pPr>
            <w:r w:rsidRPr="00D21D64">
              <w:t>August 3, 2009</w:t>
            </w:r>
          </w:p>
        </w:tc>
      </w:tr>
    </w:tbl>
    <w:p w14:paraId="2A0F8242" w14:textId="77777777" w:rsidR="00E82303" w:rsidRPr="00D21D64" w:rsidRDefault="00253101">
      <w:pPr>
        <w:pStyle w:val="BlockLine"/>
      </w:pPr>
      <w:r w:rsidRPr="00D21D64">
        <w:fldChar w:fldCharType="begin"/>
      </w:r>
      <w:r w:rsidRPr="00D21D64">
        <w:instrText xml:space="preserve"> PRIVATE INFOTYPE="PROCEDURE"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249" w14:textId="77777777">
        <w:trPr>
          <w:cantSplit/>
        </w:trPr>
        <w:tc>
          <w:tcPr>
            <w:tcW w:w="1728" w:type="dxa"/>
          </w:tcPr>
          <w:p w14:paraId="2A0F8243" w14:textId="77777777" w:rsidR="00E82303" w:rsidRPr="00D21D64" w:rsidRDefault="00E82303">
            <w:pPr>
              <w:pStyle w:val="Heading5"/>
            </w:pPr>
            <w:bookmarkStart w:id="12" w:name="_a.__Proposing"/>
            <w:bookmarkEnd w:id="12"/>
            <w:proofErr w:type="gramStart"/>
            <w:r w:rsidRPr="00D21D64">
              <w:t>a.  Proposing</w:t>
            </w:r>
            <w:proofErr w:type="gramEnd"/>
            <w:r w:rsidRPr="00D21D64">
              <w:t xml:space="preserve"> a Loss of Competency</w:t>
            </w:r>
          </w:p>
        </w:tc>
        <w:tc>
          <w:tcPr>
            <w:tcW w:w="7740" w:type="dxa"/>
          </w:tcPr>
          <w:p w14:paraId="2A0F8244" w14:textId="77777777" w:rsidR="00E82303" w:rsidRPr="00D21D64" w:rsidRDefault="00E82303">
            <w:pPr>
              <w:pStyle w:val="BlockText"/>
            </w:pPr>
            <w:r w:rsidRPr="00D21D64">
              <w:t>Issue a rating proposing a change in competency status if the evidence of record will result in a change in competency status from competent to incompetent.</w:t>
            </w:r>
          </w:p>
          <w:p w14:paraId="2A0F8245" w14:textId="77777777" w:rsidR="00E82303" w:rsidRPr="00D21D64" w:rsidRDefault="00E82303">
            <w:pPr>
              <w:pStyle w:val="BlockText"/>
            </w:pPr>
          </w:p>
          <w:p w14:paraId="2A0F8246" w14:textId="77777777" w:rsidR="00E82303" w:rsidRPr="00D21D64" w:rsidRDefault="00E82303">
            <w:pPr>
              <w:pStyle w:val="BlockText"/>
            </w:pPr>
            <w:r w:rsidRPr="00D21D64">
              <w:t>This proposal may be included in a rating addressing other issues, such as evaluation of a mental disorder.</w:t>
            </w:r>
          </w:p>
          <w:p w14:paraId="2A0F8247" w14:textId="77777777" w:rsidR="00E82303" w:rsidRPr="00D21D64" w:rsidRDefault="00E82303">
            <w:pPr>
              <w:pStyle w:val="BlockText"/>
            </w:pPr>
          </w:p>
          <w:p w14:paraId="2A0F8248" w14:textId="68920313" w:rsidR="00E82303" w:rsidRPr="00D21D64" w:rsidRDefault="00E82303">
            <w:pPr>
              <w:pStyle w:val="BlockText"/>
            </w:pPr>
            <w:r w:rsidRPr="00D21D64">
              <w:rPr>
                <w:b/>
                <w:i/>
              </w:rPr>
              <w:t>Reference</w:t>
            </w:r>
            <w:r w:rsidRPr="00D21D64">
              <w:t xml:space="preserve">:  For more information on procedures to follow upon receipt of evidence of incompetency, see </w:t>
            </w:r>
            <w:hyperlink r:id="rId31" w:history="1">
              <w:r w:rsidRPr="00D21D64">
                <w:rPr>
                  <w:rStyle w:val="Hyperlink"/>
                </w:rPr>
                <w:t>M21-1MR, Part III, Subpart v, 9.B</w:t>
              </w:r>
            </w:hyperlink>
            <w:r w:rsidRPr="00D21D64">
              <w:t>.</w:t>
            </w:r>
          </w:p>
        </w:tc>
      </w:tr>
    </w:tbl>
    <w:p w14:paraId="2A0F824A" w14:textId="77777777" w:rsidR="00E82303" w:rsidRPr="00D21D64" w:rsidRDefault="00253101">
      <w:pPr>
        <w:pStyle w:val="BlockLine"/>
      </w:pPr>
      <w:r w:rsidRPr="00D21D64">
        <w:fldChar w:fldCharType="begin"/>
      </w:r>
      <w:r w:rsidRPr="00D21D64">
        <w:instrText xml:space="preserve"> PRIVATE INFOTYPE="PROCEDURE"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251" w14:textId="77777777">
        <w:trPr>
          <w:cantSplit/>
        </w:trPr>
        <w:tc>
          <w:tcPr>
            <w:tcW w:w="1728" w:type="dxa"/>
          </w:tcPr>
          <w:p w14:paraId="2A0F824B" w14:textId="77777777" w:rsidR="00E82303" w:rsidRPr="00D21D64" w:rsidRDefault="00E82303">
            <w:pPr>
              <w:pStyle w:val="Heading5"/>
            </w:pPr>
            <w:bookmarkStart w:id="13" w:name="_b.__Determining"/>
            <w:bookmarkEnd w:id="13"/>
            <w:proofErr w:type="gramStart"/>
            <w:r w:rsidRPr="00D21D64">
              <w:t>b.  Determining</w:t>
            </w:r>
            <w:proofErr w:type="gramEnd"/>
            <w:r w:rsidRPr="00D21D64">
              <w:t xml:space="preserve"> Restored Competency</w:t>
            </w:r>
          </w:p>
        </w:tc>
        <w:tc>
          <w:tcPr>
            <w:tcW w:w="7740" w:type="dxa"/>
          </w:tcPr>
          <w:p w14:paraId="2A0F824C" w14:textId="77777777" w:rsidR="00E82303" w:rsidRPr="00D21D64" w:rsidRDefault="00E82303">
            <w:pPr>
              <w:pStyle w:val="BlockText"/>
            </w:pPr>
            <w:r w:rsidRPr="00D21D64">
              <w:t xml:space="preserve">In any case in which the beneficiary has been rated incompetent, take necessary development and rating action to determine whether competency has been regained if so indicated in a </w:t>
            </w:r>
          </w:p>
          <w:p w14:paraId="2A0F824D" w14:textId="77777777" w:rsidR="00E82303" w:rsidRPr="00D21D64" w:rsidRDefault="00E82303">
            <w:pPr>
              <w:pStyle w:val="BlockText"/>
            </w:pPr>
          </w:p>
          <w:p w14:paraId="2A0F824E" w14:textId="77777777" w:rsidR="00E82303" w:rsidRPr="00D21D64" w:rsidRDefault="00E82303">
            <w:pPr>
              <w:pStyle w:val="BulletText1"/>
            </w:pPr>
            <w:r w:rsidRPr="00D21D64">
              <w:t>hospital summary</w:t>
            </w:r>
          </w:p>
          <w:p w14:paraId="2A0F824F" w14:textId="77777777" w:rsidR="00E82303" w:rsidRPr="00D21D64" w:rsidRDefault="00E82303">
            <w:pPr>
              <w:pStyle w:val="BulletText1"/>
            </w:pPr>
            <w:r w:rsidRPr="00D21D64">
              <w:t>report of release to or discharge from non-bed care, or</w:t>
            </w:r>
          </w:p>
          <w:p w14:paraId="2A0F8250" w14:textId="77777777" w:rsidR="00E82303" w:rsidRPr="00D21D64" w:rsidRDefault="00E82303">
            <w:pPr>
              <w:pStyle w:val="BulletText1"/>
            </w:pPr>
            <w:proofErr w:type="gramStart"/>
            <w:r w:rsidRPr="00D21D64">
              <w:t>report</w:t>
            </w:r>
            <w:proofErr w:type="gramEnd"/>
            <w:r w:rsidRPr="00D21D64">
              <w:t xml:space="preserve"> of other material change in condition.</w:t>
            </w:r>
          </w:p>
        </w:tc>
      </w:tr>
    </w:tbl>
    <w:p w14:paraId="2A0F8252" w14:textId="77777777" w:rsidR="00E82303" w:rsidRPr="00D21D64" w:rsidRDefault="00253101">
      <w:pPr>
        <w:pStyle w:val="BlockLine"/>
      </w:pPr>
      <w:r w:rsidRPr="00D21D64">
        <w:fldChar w:fldCharType="begin"/>
      </w:r>
      <w:r w:rsidRPr="00D21D64">
        <w:instrText xml:space="preserve"> PRIVATE INFOTYPE="PRINCIPLE"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258" w14:textId="77777777">
        <w:trPr>
          <w:cantSplit/>
        </w:trPr>
        <w:tc>
          <w:tcPr>
            <w:tcW w:w="1728" w:type="dxa"/>
          </w:tcPr>
          <w:p w14:paraId="2A0F8253" w14:textId="77777777" w:rsidR="00E82303" w:rsidRPr="00D21D64" w:rsidRDefault="00E82303">
            <w:pPr>
              <w:pStyle w:val="Heading5"/>
            </w:pPr>
            <w:bookmarkStart w:id="14" w:name="_c.__Limitations"/>
            <w:bookmarkEnd w:id="14"/>
            <w:proofErr w:type="gramStart"/>
            <w:r w:rsidRPr="00D21D64">
              <w:t>c.  Limitations</w:t>
            </w:r>
            <w:proofErr w:type="gramEnd"/>
            <w:r w:rsidRPr="00D21D64">
              <w:t xml:space="preserve"> After Competency Is Restored</w:t>
            </w:r>
          </w:p>
        </w:tc>
        <w:tc>
          <w:tcPr>
            <w:tcW w:w="7740" w:type="dxa"/>
          </w:tcPr>
          <w:p w14:paraId="2A0F8254" w14:textId="77777777" w:rsidR="00E82303" w:rsidRPr="00D21D64" w:rsidRDefault="00E82303">
            <w:pPr>
              <w:pStyle w:val="BlockText"/>
            </w:pPr>
            <w:r w:rsidRPr="00D21D64">
              <w:t>Restored competency does not of itself</w:t>
            </w:r>
          </w:p>
          <w:p w14:paraId="2A0F8255" w14:textId="77777777" w:rsidR="00E82303" w:rsidRPr="00D21D64" w:rsidRDefault="00E82303">
            <w:pPr>
              <w:pStyle w:val="BlockText"/>
            </w:pPr>
          </w:p>
          <w:p w14:paraId="2A0F8256" w14:textId="77777777" w:rsidR="00E82303" w:rsidRPr="00D21D64" w:rsidRDefault="00E82303">
            <w:pPr>
              <w:pStyle w:val="BulletText1"/>
            </w:pPr>
            <w:r w:rsidRPr="00D21D64">
              <w:t xml:space="preserve">warrant a reduction in the evaluation of a </w:t>
            </w:r>
            <w:r w:rsidR="00A65B2A" w:rsidRPr="00D21D64">
              <w:t>Veteran</w:t>
            </w:r>
            <w:r w:rsidRPr="00D21D64">
              <w:t>’s disability, or</w:t>
            </w:r>
          </w:p>
          <w:p w14:paraId="2A0F8257" w14:textId="77777777" w:rsidR="00E82303" w:rsidRPr="00D21D64" w:rsidRDefault="00E82303">
            <w:pPr>
              <w:pStyle w:val="BulletText1"/>
            </w:pPr>
            <w:proofErr w:type="gramStart"/>
            <w:r w:rsidRPr="00D21D64">
              <w:t>establish</w:t>
            </w:r>
            <w:proofErr w:type="gramEnd"/>
            <w:r w:rsidRPr="00D21D64">
              <w:t xml:space="preserve"> that a parent or surviving spouse is no longer entitled to Aid and Attendance (A&amp;A).</w:t>
            </w:r>
          </w:p>
        </w:tc>
      </w:tr>
    </w:tbl>
    <w:p w14:paraId="2A0F8259" w14:textId="77777777" w:rsidR="00E82303" w:rsidRPr="00D21D64" w:rsidRDefault="00E82303">
      <w:pPr>
        <w:pStyle w:val="ContinuedOnNextPa"/>
      </w:pPr>
      <w:r w:rsidRPr="00D21D64">
        <w:t>Continued on next page</w:t>
      </w:r>
    </w:p>
    <w:p w14:paraId="2A0F825A" w14:textId="2BF48F33" w:rsidR="00E82303" w:rsidRPr="00D21D64" w:rsidRDefault="00E82303">
      <w:pPr>
        <w:pStyle w:val="MapTitleContinued"/>
        <w:rPr>
          <w:b w:val="0"/>
          <w:sz w:val="24"/>
        </w:rPr>
      </w:pPr>
      <w:r w:rsidRPr="00D21D64">
        <w:br w:type="page"/>
      </w:r>
      <w:r w:rsidRPr="00D21D64">
        <w:lastRenderedPageBreak/>
        <w:fldChar w:fldCharType="begin"/>
      </w:r>
      <w:r w:rsidRPr="00D21D64">
        <w:instrText>styleref "Map Title"</w:instrText>
      </w:r>
      <w:r w:rsidRPr="00D21D64">
        <w:fldChar w:fldCharType="separate"/>
      </w:r>
      <w:r w:rsidR="009B2810" w:rsidRPr="00D21D64">
        <w:rPr>
          <w:noProof/>
        </w:rPr>
        <w:t>4</w:t>
      </w:r>
      <w:r w:rsidR="00516E6F" w:rsidRPr="00D21D64">
        <w:rPr>
          <w:noProof/>
        </w:rPr>
        <w:t xml:space="preserve">.  </w:t>
      </w:r>
      <w:r w:rsidR="009B2810" w:rsidRPr="00D21D64">
        <w:rPr>
          <w:noProof/>
        </w:rPr>
        <w:t>Changing Competency Status</w:t>
      </w:r>
      <w:r w:rsidRPr="00D21D64">
        <w:fldChar w:fldCharType="end"/>
      </w:r>
      <w:r w:rsidR="009B2810" w:rsidRPr="00D21D64">
        <w:t xml:space="preserve">, </w:t>
      </w:r>
      <w:r w:rsidR="009B2810" w:rsidRPr="00D21D64">
        <w:rPr>
          <w:b w:val="0"/>
          <w:sz w:val="24"/>
        </w:rPr>
        <w:t>Continued</w:t>
      </w:r>
      <w:r w:rsidR="009B2810" w:rsidRPr="00D21D64">
        <w:t xml:space="preserve"> </w:t>
      </w:r>
    </w:p>
    <w:p w14:paraId="2A0F825B" w14:textId="77777777" w:rsidR="00E82303" w:rsidRPr="00D21D64" w:rsidRDefault="00253101">
      <w:pPr>
        <w:pStyle w:val="BlockLine"/>
      </w:pPr>
      <w:r w:rsidRPr="00D21D64">
        <w:fldChar w:fldCharType="begin"/>
      </w:r>
      <w:r w:rsidRPr="00D21D64">
        <w:instrText xml:space="preserve"> PRIVATE INFOTYPE="PRINCIPLE"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260" w14:textId="77777777">
        <w:trPr>
          <w:cantSplit/>
        </w:trPr>
        <w:tc>
          <w:tcPr>
            <w:tcW w:w="1728" w:type="dxa"/>
          </w:tcPr>
          <w:p w14:paraId="2A0F825C" w14:textId="77777777" w:rsidR="00E82303" w:rsidRPr="00D21D64" w:rsidRDefault="00E82303">
            <w:pPr>
              <w:pStyle w:val="Heading5"/>
            </w:pPr>
            <w:bookmarkStart w:id="15" w:name="_d.__Evidence"/>
            <w:bookmarkEnd w:id="15"/>
            <w:proofErr w:type="gramStart"/>
            <w:r w:rsidRPr="00D21D64">
              <w:t>d.  Evidence</w:t>
            </w:r>
            <w:proofErr w:type="gramEnd"/>
            <w:r w:rsidRPr="00D21D64">
              <w:t xml:space="preserve"> Required to Restore Competency</w:t>
            </w:r>
          </w:p>
        </w:tc>
        <w:tc>
          <w:tcPr>
            <w:tcW w:w="7740" w:type="dxa"/>
          </w:tcPr>
          <w:p w14:paraId="2A0F825D" w14:textId="7DA21F78" w:rsidR="00E82303" w:rsidRPr="00D21D64" w:rsidRDefault="00E82303">
            <w:pPr>
              <w:pStyle w:val="BlockText"/>
            </w:pPr>
            <w:r w:rsidRPr="00D21D64">
              <w:t xml:space="preserve">Any evidence showing the beneficiary </w:t>
            </w:r>
            <w:r w:rsidR="00A332E2" w:rsidRPr="00D21D64">
              <w:t xml:space="preserve">may be capable of handling </w:t>
            </w:r>
            <w:r w:rsidR="004F4DD5" w:rsidRPr="00D21D64">
              <w:t>funds</w:t>
            </w:r>
            <w:r w:rsidRPr="00D21D64">
              <w:t xml:space="preserve"> should be referred to the rating activity.  The rating activity will consider this evidence, along with all other evidence of record, to determine whether competency should be restored.</w:t>
            </w:r>
          </w:p>
          <w:p w14:paraId="2A0F825E" w14:textId="77777777" w:rsidR="00E82303" w:rsidRPr="00D21D64" w:rsidRDefault="00E82303">
            <w:pPr>
              <w:pStyle w:val="BlockText"/>
            </w:pPr>
          </w:p>
          <w:p w14:paraId="2A0F825F" w14:textId="3135A91F" w:rsidR="00E82303" w:rsidRPr="00D21D64" w:rsidRDefault="00E82303" w:rsidP="004F4DD5">
            <w:pPr>
              <w:pStyle w:val="BlockText"/>
            </w:pPr>
            <w:r w:rsidRPr="00D21D64">
              <w:t xml:space="preserve">Under </w:t>
            </w:r>
            <w:hyperlink r:id="rId32" w:history="1">
              <w:r w:rsidR="00AD5BBE" w:rsidRPr="00D21D64">
                <w:rPr>
                  <w:rStyle w:val="Hyperlink"/>
                </w:rPr>
                <w:t>38 CFR</w:t>
              </w:r>
              <w:r w:rsidR="0098486A" w:rsidRPr="00D21D64">
                <w:rPr>
                  <w:rStyle w:val="Hyperlink"/>
                </w:rPr>
                <w:t xml:space="preserve"> 3</w:t>
              </w:r>
              <w:r w:rsidRPr="00D21D64">
                <w:rPr>
                  <w:rStyle w:val="Hyperlink"/>
                </w:rPr>
                <w:t>.353(b</w:t>
              </w:r>
              <w:proofErr w:type="gramStart"/>
              <w:r w:rsidRPr="00D21D64">
                <w:rPr>
                  <w:rStyle w:val="Hyperlink"/>
                </w:rPr>
                <w:t>)(</w:t>
              </w:r>
              <w:proofErr w:type="gramEnd"/>
              <w:r w:rsidRPr="00D21D64">
                <w:rPr>
                  <w:rStyle w:val="Hyperlink"/>
                </w:rPr>
                <w:t>3)</w:t>
              </w:r>
            </w:hyperlink>
            <w:r w:rsidRPr="00D21D64">
              <w:t>, a beneficiary is not required to undergo a psychiatric examination and/or field examination before his/her competency may be restored.  However, a current psychiatric examination and/or field examination may be requested if needed to properly evaluate the beneficiary’s mental capa</w:t>
            </w:r>
            <w:r w:rsidR="00A332E2" w:rsidRPr="00D21D64">
              <w:t xml:space="preserve">city to handle his/her own </w:t>
            </w:r>
            <w:r w:rsidR="004F4DD5" w:rsidRPr="00D21D64">
              <w:t>funds</w:t>
            </w:r>
            <w:r w:rsidRPr="00D21D64">
              <w:t xml:space="preserve">. </w:t>
            </w:r>
          </w:p>
        </w:tc>
      </w:tr>
    </w:tbl>
    <w:p w14:paraId="2A0F8261" w14:textId="77777777" w:rsidR="00E82303" w:rsidRPr="00D21D64" w:rsidRDefault="00E82303">
      <w:pPr>
        <w:pStyle w:val="BlockLine"/>
      </w:pPr>
    </w:p>
    <w:p w14:paraId="2A0F8262" w14:textId="77777777" w:rsidR="00E82303" w:rsidRPr="00D21D64" w:rsidRDefault="00E82303">
      <w:pPr>
        <w:pStyle w:val="Heading4"/>
      </w:pPr>
      <w:r w:rsidRPr="00D21D64">
        <w:br w:type="page"/>
      </w:r>
      <w:r w:rsidRPr="00D21D64">
        <w:lastRenderedPageBreak/>
        <w:t xml:space="preserve">5.  </w:t>
      </w:r>
      <w:bookmarkStart w:id="16" w:name="Topic5"/>
      <w:bookmarkEnd w:id="16"/>
      <w:r w:rsidRPr="00D21D64">
        <w:t>Evaluating Competency in Special Circumstances</w:t>
      </w:r>
    </w:p>
    <w:p w14:paraId="2A0F8263" w14:textId="77777777" w:rsidR="00E82303" w:rsidRPr="00D21D64" w:rsidRDefault="00E82303">
      <w:pPr>
        <w:pStyle w:val="BlockLine"/>
      </w:pPr>
      <w:r w:rsidRPr="00D21D64">
        <w:fldChar w:fldCharType="begin"/>
      </w:r>
      <w:r w:rsidRPr="00D21D64">
        <w:instrText xml:space="preserve"> PRIVATE INFOTYPE="OTHER"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269" w14:textId="77777777">
        <w:trPr>
          <w:cantSplit/>
        </w:trPr>
        <w:tc>
          <w:tcPr>
            <w:tcW w:w="1728" w:type="dxa"/>
          </w:tcPr>
          <w:p w14:paraId="2A0F8264" w14:textId="77777777" w:rsidR="00E82303" w:rsidRPr="00D21D64" w:rsidRDefault="00E82303">
            <w:pPr>
              <w:pStyle w:val="Heading5"/>
            </w:pPr>
            <w:r w:rsidRPr="00D21D64">
              <w:t>Introduction</w:t>
            </w:r>
          </w:p>
        </w:tc>
        <w:tc>
          <w:tcPr>
            <w:tcW w:w="7740" w:type="dxa"/>
          </w:tcPr>
          <w:p w14:paraId="2A0F8265" w14:textId="77777777" w:rsidR="00E82303" w:rsidRPr="00D21D64" w:rsidRDefault="00E82303">
            <w:pPr>
              <w:pStyle w:val="BlockText"/>
            </w:pPr>
            <w:r w:rsidRPr="00D21D64">
              <w:t>This topic contains information about evaluating competency in special circumstances, including</w:t>
            </w:r>
          </w:p>
          <w:p w14:paraId="2A0F8266" w14:textId="77777777" w:rsidR="00E82303" w:rsidRPr="00D21D64" w:rsidRDefault="00E82303">
            <w:pPr>
              <w:pStyle w:val="BlockText"/>
            </w:pPr>
          </w:p>
          <w:p w14:paraId="2A0F8267" w14:textId="1DDC8040" w:rsidR="00E82303" w:rsidRPr="00D21D64" w:rsidRDefault="00D21D64">
            <w:pPr>
              <w:pStyle w:val="BulletText1"/>
            </w:pPr>
            <w:hyperlink w:anchor="_a.__Competency" w:history="1">
              <w:r w:rsidR="00E82303" w:rsidRPr="00D21D64">
                <w:rPr>
                  <w:rStyle w:val="Hyperlink"/>
                </w:rPr>
                <w:t>a competency rating after a decree by a court</w:t>
              </w:r>
            </w:hyperlink>
            <w:r w:rsidR="00E82303" w:rsidRPr="00D21D64">
              <w:t>, and</w:t>
            </w:r>
          </w:p>
          <w:p w14:paraId="2A0F8268" w14:textId="5D9E0390" w:rsidR="00E82303" w:rsidRPr="00D21D64" w:rsidRDefault="00D21D64">
            <w:pPr>
              <w:pStyle w:val="BulletText1"/>
            </w:pPr>
            <w:hyperlink w:anchor="_b.__Appropriate" w:history="1">
              <w:proofErr w:type="gramStart"/>
              <w:r w:rsidR="00E82303" w:rsidRPr="00D21D64">
                <w:rPr>
                  <w:rStyle w:val="Hyperlink"/>
                </w:rPr>
                <w:t>appropriate</w:t>
              </w:r>
              <w:proofErr w:type="gramEnd"/>
              <w:r w:rsidR="00E82303" w:rsidRPr="00D21D64">
                <w:rPr>
                  <w:rStyle w:val="Hyperlink"/>
                </w:rPr>
                <w:t xml:space="preserve"> action after court adjudication</w:t>
              </w:r>
            </w:hyperlink>
            <w:r w:rsidR="00E82303" w:rsidRPr="00D21D64">
              <w:t>.</w:t>
            </w:r>
          </w:p>
        </w:tc>
      </w:tr>
    </w:tbl>
    <w:p w14:paraId="2A0F826A" w14:textId="77777777" w:rsidR="00E82303" w:rsidRPr="00D21D64" w:rsidRDefault="00E8230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26D" w14:textId="77777777">
        <w:trPr>
          <w:cantSplit/>
        </w:trPr>
        <w:tc>
          <w:tcPr>
            <w:tcW w:w="1728" w:type="dxa"/>
          </w:tcPr>
          <w:p w14:paraId="2A0F826B" w14:textId="77777777" w:rsidR="00E82303" w:rsidRPr="00D21D64" w:rsidRDefault="00E82303">
            <w:pPr>
              <w:pStyle w:val="Heading5"/>
            </w:pPr>
            <w:r w:rsidRPr="00D21D64">
              <w:t>Change Date</w:t>
            </w:r>
          </w:p>
        </w:tc>
        <w:tc>
          <w:tcPr>
            <w:tcW w:w="7740" w:type="dxa"/>
          </w:tcPr>
          <w:p w14:paraId="2A0F826C" w14:textId="77CB537F" w:rsidR="00E82303" w:rsidRPr="00D21D64" w:rsidRDefault="00F830CE">
            <w:pPr>
              <w:pStyle w:val="BlockText"/>
            </w:pPr>
            <w:r w:rsidRPr="00D21D64">
              <w:t>September 22, 2014</w:t>
            </w:r>
          </w:p>
        </w:tc>
      </w:tr>
    </w:tbl>
    <w:p w14:paraId="2A0F826E" w14:textId="77777777" w:rsidR="00E82303" w:rsidRPr="00D21D64" w:rsidRDefault="00253101">
      <w:pPr>
        <w:pStyle w:val="BlockLine"/>
      </w:pPr>
      <w:r w:rsidRPr="00D21D64">
        <w:fldChar w:fldCharType="begin"/>
      </w:r>
      <w:r w:rsidRPr="00D21D64">
        <w:instrText xml:space="preserve"> PRIVATE INFOTYPE="PROCEDURE"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273" w14:textId="77777777">
        <w:trPr>
          <w:cantSplit/>
        </w:trPr>
        <w:tc>
          <w:tcPr>
            <w:tcW w:w="1728" w:type="dxa"/>
          </w:tcPr>
          <w:p w14:paraId="2A0F826F" w14:textId="77777777" w:rsidR="00E82303" w:rsidRPr="00D21D64" w:rsidRDefault="00E82303">
            <w:pPr>
              <w:pStyle w:val="Heading5"/>
            </w:pPr>
            <w:bookmarkStart w:id="17" w:name="_a.__Competency"/>
            <w:bookmarkEnd w:id="17"/>
            <w:proofErr w:type="gramStart"/>
            <w:r w:rsidRPr="00D21D64">
              <w:t>a.  Competency</w:t>
            </w:r>
            <w:proofErr w:type="gramEnd"/>
            <w:r w:rsidRPr="00D21D64">
              <w:t xml:space="preserve"> Rating After a Decree by a Court</w:t>
            </w:r>
          </w:p>
        </w:tc>
        <w:tc>
          <w:tcPr>
            <w:tcW w:w="7740" w:type="dxa"/>
          </w:tcPr>
          <w:p w14:paraId="2A0F8270" w14:textId="77777777" w:rsidR="00E82303" w:rsidRPr="00D21D64" w:rsidRDefault="00E82303">
            <w:pPr>
              <w:pStyle w:val="BlockText"/>
            </w:pPr>
            <w:r w:rsidRPr="00D21D64">
              <w:t xml:space="preserve">Use the table below to decide how to proceed with a competency rating of payees who have been found incompetent by a court. </w:t>
            </w:r>
          </w:p>
          <w:p w14:paraId="2A0F8271" w14:textId="77777777" w:rsidR="00E82303" w:rsidRPr="00D21D64" w:rsidRDefault="00E82303">
            <w:pPr>
              <w:pStyle w:val="BlockText"/>
            </w:pPr>
          </w:p>
          <w:p w14:paraId="2A0F8272" w14:textId="77777777" w:rsidR="00E82303" w:rsidRPr="00D21D64" w:rsidRDefault="00E82303">
            <w:pPr>
              <w:pStyle w:val="BlockText"/>
              <w:rPr>
                <w:b/>
              </w:rPr>
            </w:pPr>
            <w:r w:rsidRPr="00D21D64">
              <w:rPr>
                <w:b/>
                <w:i/>
              </w:rPr>
              <w:t>Note</w:t>
            </w:r>
            <w:r w:rsidRPr="00D21D64">
              <w:t xml:space="preserve">:  Judicial findings of a court with respect to the competency of a </w:t>
            </w:r>
            <w:r w:rsidR="00A65B2A" w:rsidRPr="00D21D64">
              <w:t>Veteran</w:t>
            </w:r>
            <w:r w:rsidRPr="00D21D64">
              <w:t xml:space="preserve"> are not binding on the rating activity.</w:t>
            </w:r>
          </w:p>
        </w:tc>
      </w:tr>
    </w:tbl>
    <w:p w14:paraId="2A0F8274" w14:textId="77777777" w:rsidR="00E82303" w:rsidRPr="00D21D64" w:rsidRDefault="00E82303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0"/>
        <w:gridCol w:w="5500"/>
      </w:tblGrid>
      <w:tr w:rsidR="00E82303" w:rsidRPr="00D21D64" w14:paraId="2A0F8277" w14:textId="77777777"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75" w14:textId="77777777" w:rsidR="00E82303" w:rsidRPr="00D21D64" w:rsidRDefault="00E82303">
            <w:pPr>
              <w:pStyle w:val="TableHeaderText"/>
              <w:jc w:val="left"/>
            </w:pPr>
            <w:r w:rsidRPr="00D21D64">
              <w:t>If determining the competency of …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76" w14:textId="77777777" w:rsidR="00E82303" w:rsidRPr="00D21D64" w:rsidRDefault="00E82303">
            <w:pPr>
              <w:pStyle w:val="TableHeaderText"/>
              <w:jc w:val="left"/>
            </w:pPr>
            <w:r w:rsidRPr="00D21D64">
              <w:t>Then …</w:t>
            </w:r>
          </w:p>
        </w:tc>
      </w:tr>
      <w:tr w:rsidR="00E82303" w:rsidRPr="00D21D64" w14:paraId="2A0F8280" w14:textId="77777777"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78" w14:textId="77777777" w:rsidR="00E82303" w:rsidRPr="00D21D64" w:rsidRDefault="00E82303">
            <w:pPr>
              <w:pStyle w:val="TableText"/>
            </w:pPr>
            <w:r w:rsidRPr="00D21D64">
              <w:t>non-</w:t>
            </w:r>
            <w:r w:rsidR="00A65B2A" w:rsidRPr="00D21D64">
              <w:t>Veteran</w:t>
            </w:r>
            <w:r w:rsidRPr="00D21D64">
              <w:t xml:space="preserve"> beneficiaries such as a</w:t>
            </w:r>
          </w:p>
          <w:p w14:paraId="2A0F8279" w14:textId="77777777" w:rsidR="00E82303" w:rsidRPr="00D21D64" w:rsidRDefault="00E82303">
            <w:pPr>
              <w:pStyle w:val="TableText"/>
            </w:pPr>
          </w:p>
          <w:p w14:paraId="2A0F827A" w14:textId="77777777" w:rsidR="00E82303" w:rsidRPr="00D21D64" w:rsidRDefault="00E82303">
            <w:pPr>
              <w:pStyle w:val="BulletText1"/>
            </w:pPr>
            <w:r w:rsidRPr="00D21D64">
              <w:t xml:space="preserve">parent </w:t>
            </w:r>
          </w:p>
          <w:p w14:paraId="2A0F827B" w14:textId="77777777" w:rsidR="00E82303" w:rsidRPr="00D21D64" w:rsidRDefault="00E82303">
            <w:pPr>
              <w:pStyle w:val="BulletText1"/>
            </w:pPr>
            <w:r w:rsidRPr="00D21D64">
              <w:t>surviving spouse, or</w:t>
            </w:r>
          </w:p>
          <w:p w14:paraId="2A0F827C" w14:textId="77777777" w:rsidR="00E82303" w:rsidRPr="00D21D64" w:rsidRDefault="00E82303">
            <w:pPr>
              <w:pStyle w:val="BulletText1"/>
            </w:pPr>
            <w:r w:rsidRPr="00D21D64">
              <w:t>helpless child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7D" w14:textId="77777777" w:rsidR="00E82303" w:rsidRPr="00D21D64" w:rsidRDefault="00E82303">
            <w:pPr>
              <w:pStyle w:val="TableText"/>
            </w:pPr>
            <w:proofErr w:type="gramStart"/>
            <w:r w:rsidRPr="00D21D64">
              <w:t>a</w:t>
            </w:r>
            <w:proofErr w:type="gramEnd"/>
            <w:r w:rsidRPr="00D21D64">
              <w:t xml:space="preserve"> rating is not required except under certain conditions.</w:t>
            </w:r>
          </w:p>
          <w:p w14:paraId="2A0F827E" w14:textId="77777777" w:rsidR="00E82303" w:rsidRPr="00D21D64" w:rsidRDefault="00E82303">
            <w:pPr>
              <w:pStyle w:val="TableText"/>
            </w:pPr>
          </w:p>
          <w:p w14:paraId="2A0F827F" w14:textId="1FE5E43E" w:rsidR="00E82303" w:rsidRPr="00D21D64" w:rsidRDefault="00E82303">
            <w:pPr>
              <w:pStyle w:val="TableText"/>
            </w:pPr>
            <w:r w:rsidRPr="00D21D64">
              <w:rPr>
                <w:b/>
                <w:i/>
              </w:rPr>
              <w:t>Reference</w:t>
            </w:r>
            <w:r w:rsidRPr="00D21D64">
              <w:t xml:space="preserve">:  For more information on a child’s permanent incapacity for self-support, see </w:t>
            </w:r>
            <w:hyperlink r:id="rId33" w:history="1">
              <w:r w:rsidR="0098486A" w:rsidRPr="00D21D64">
                <w:rPr>
                  <w:rStyle w:val="Hyperlink"/>
                </w:rPr>
                <w:t>M21-1MR, Part III, Subpart iii, 7</w:t>
              </w:r>
            </w:hyperlink>
            <w:r w:rsidRPr="00D21D64">
              <w:t>.</w:t>
            </w:r>
          </w:p>
        </w:tc>
      </w:tr>
    </w:tbl>
    <w:p w14:paraId="2A0F8281" w14:textId="77777777" w:rsidR="00E82303" w:rsidRPr="00D21D64" w:rsidRDefault="00E82303">
      <w:pPr>
        <w:pStyle w:val="ContinuedOnNextPa"/>
      </w:pPr>
      <w:r w:rsidRPr="00D21D64">
        <w:t>Continued on next page</w:t>
      </w:r>
    </w:p>
    <w:p w14:paraId="2A0F8282" w14:textId="77777777" w:rsidR="00E82303" w:rsidRPr="00D21D64" w:rsidRDefault="00E82303">
      <w:pPr>
        <w:pStyle w:val="MapTitleContinued"/>
        <w:rPr>
          <w:b w:val="0"/>
          <w:sz w:val="24"/>
        </w:rPr>
      </w:pPr>
      <w:r w:rsidRPr="00D21D64">
        <w:br w:type="page"/>
      </w:r>
      <w:fldSimple w:instr=" STYLEREF &quot;Map Title&quot; ">
        <w:r w:rsidR="00516E6F" w:rsidRPr="00D21D64">
          <w:rPr>
            <w:noProof/>
          </w:rPr>
          <w:t>5.  Evaluating Competency in Special Circumstances</w:t>
        </w:r>
      </w:fldSimple>
      <w:r w:rsidRPr="00D21D64">
        <w:t xml:space="preserve">, </w:t>
      </w:r>
      <w:r w:rsidRPr="00D21D64">
        <w:rPr>
          <w:b w:val="0"/>
          <w:sz w:val="24"/>
        </w:rPr>
        <w:t>Continued</w:t>
      </w:r>
    </w:p>
    <w:p w14:paraId="2A0F8283" w14:textId="77777777" w:rsidR="00E82303" w:rsidRPr="00D21D64" w:rsidRDefault="00E82303">
      <w:pPr>
        <w:pStyle w:val="BlockLine"/>
      </w:pPr>
      <w:r w:rsidRPr="00D21D6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8"/>
      </w:tblGrid>
      <w:tr w:rsidR="00E82303" w:rsidRPr="00D21D64" w14:paraId="2A0F8285" w14:textId="77777777">
        <w:trPr>
          <w:cantSplit/>
        </w:trPr>
        <w:tc>
          <w:tcPr>
            <w:tcW w:w="9548" w:type="dxa"/>
          </w:tcPr>
          <w:p w14:paraId="2A0F8284" w14:textId="77777777" w:rsidR="00E82303" w:rsidRPr="00D21D64" w:rsidRDefault="00804509">
            <w:pPr>
              <w:pStyle w:val="ContinuedTableLabe"/>
            </w:pPr>
            <w:fldSimple w:instr=" STYLEREF &quot;Block Label&quot; ">
              <w:r w:rsidR="00516E6F" w:rsidRPr="00D21D64">
                <w:rPr>
                  <w:noProof/>
                </w:rPr>
                <w:t>a.  Competency Rating After a Decree by a Court</w:t>
              </w:r>
            </w:fldSimple>
            <w:r w:rsidR="00E82303" w:rsidRPr="00D21D64">
              <w:t xml:space="preserve"> </w:t>
            </w:r>
            <w:r w:rsidR="00E82303" w:rsidRPr="00D21D64">
              <w:rPr>
                <w:b w:val="0"/>
              </w:rPr>
              <w:t>(continued)</w:t>
            </w:r>
          </w:p>
        </w:tc>
      </w:tr>
    </w:tbl>
    <w:p w14:paraId="2A0F8286" w14:textId="77777777" w:rsidR="00E82303" w:rsidRPr="00D21D64" w:rsidRDefault="00E82303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0"/>
        <w:gridCol w:w="5490"/>
        <w:gridCol w:w="10"/>
      </w:tblGrid>
      <w:tr w:rsidR="00E82303" w:rsidRPr="00D21D64" w14:paraId="2A0F8289" w14:textId="77777777"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87" w14:textId="77777777" w:rsidR="00E82303" w:rsidRPr="00D21D64" w:rsidRDefault="00E82303">
            <w:pPr>
              <w:pStyle w:val="TableHeaderText"/>
              <w:jc w:val="left"/>
            </w:pPr>
            <w:r w:rsidRPr="00D21D64">
              <w:t>If determining the competency of …</w:t>
            </w:r>
          </w:p>
        </w:tc>
        <w:tc>
          <w:tcPr>
            <w:tcW w:w="5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88" w14:textId="77777777" w:rsidR="00E82303" w:rsidRPr="00D21D64" w:rsidRDefault="00E82303">
            <w:pPr>
              <w:pStyle w:val="TableHeaderText"/>
              <w:jc w:val="left"/>
            </w:pPr>
            <w:r w:rsidRPr="00D21D64">
              <w:t>Then …</w:t>
            </w:r>
          </w:p>
        </w:tc>
      </w:tr>
      <w:tr w:rsidR="00E82303" w:rsidRPr="00D21D64" w14:paraId="2A0F8299" w14:textId="77777777">
        <w:trPr>
          <w:gridAfter w:val="1"/>
          <w:wAfter w:w="10" w:type="dxa"/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8A" w14:textId="77777777" w:rsidR="00E82303" w:rsidRPr="00D21D64" w:rsidRDefault="00E82303">
            <w:pPr>
              <w:pStyle w:val="TableText"/>
            </w:pPr>
            <w:r w:rsidRPr="00D21D64">
              <w:t xml:space="preserve">a </w:t>
            </w:r>
            <w:r w:rsidR="00A65B2A" w:rsidRPr="00D21D64">
              <w:t>Veteran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8B" w14:textId="77777777" w:rsidR="00E82303" w:rsidRPr="00D21D64" w:rsidRDefault="00E82303">
            <w:pPr>
              <w:pStyle w:val="BulletText1"/>
            </w:pPr>
            <w:r w:rsidRPr="00D21D64">
              <w:t>develop all necessary evidence for a rating activity determination, such as</w:t>
            </w:r>
          </w:p>
          <w:p w14:paraId="2A0F828C" w14:textId="77777777" w:rsidR="00E82303" w:rsidRPr="00D21D64" w:rsidRDefault="00E82303">
            <w:pPr>
              <w:pStyle w:val="BulletText2"/>
            </w:pPr>
            <w:r w:rsidRPr="00D21D64">
              <w:t>an examination</w:t>
            </w:r>
          </w:p>
          <w:p w14:paraId="2A0F828D" w14:textId="77777777" w:rsidR="00E82303" w:rsidRPr="00D21D64" w:rsidRDefault="00E82303">
            <w:pPr>
              <w:pStyle w:val="BulletText2"/>
            </w:pPr>
            <w:r w:rsidRPr="00D21D64">
              <w:t xml:space="preserve">hospital observation, or </w:t>
            </w:r>
          </w:p>
          <w:p w14:paraId="2A0F828E" w14:textId="77777777" w:rsidR="00E82303" w:rsidRPr="00D21D64" w:rsidRDefault="00E82303">
            <w:pPr>
              <w:pStyle w:val="BulletText2"/>
            </w:pPr>
            <w:r w:rsidRPr="00D21D64">
              <w:t>a field examination</w:t>
            </w:r>
          </w:p>
          <w:p w14:paraId="2A0F828F" w14:textId="77777777" w:rsidR="000B3B05" w:rsidRPr="00D21D64" w:rsidRDefault="00E82303">
            <w:pPr>
              <w:pStyle w:val="BulletText1"/>
            </w:pPr>
            <w:r w:rsidRPr="00D21D64">
              <w:t xml:space="preserve">give great weight to a </w:t>
            </w:r>
          </w:p>
          <w:p w14:paraId="2A0F8290" w14:textId="77777777" w:rsidR="000B3B05" w:rsidRPr="00D21D64" w:rsidRDefault="00E82303" w:rsidP="000B3B05">
            <w:pPr>
              <w:pStyle w:val="BulletText2"/>
            </w:pPr>
            <w:r w:rsidRPr="00D21D64">
              <w:t>court decree of i</w:t>
            </w:r>
            <w:r w:rsidR="000B3B05" w:rsidRPr="00D21D64">
              <w:t>ncompetency, and</w:t>
            </w:r>
          </w:p>
          <w:p w14:paraId="2A0F8291" w14:textId="6B0FC59B" w:rsidR="00E82303" w:rsidRPr="00D21D64" w:rsidRDefault="000B3B05" w:rsidP="000B3B05">
            <w:pPr>
              <w:pStyle w:val="BulletText2"/>
            </w:pPr>
            <w:r w:rsidRPr="00D21D64">
              <w:t>the inabili</w:t>
            </w:r>
            <w:r w:rsidR="007808E6" w:rsidRPr="00D21D64">
              <w:t>ty to manage financial affairs</w:t>
            </w:r>
            <w:r w:rsidRPr="00D21D64">
              <w:t>,</w:t>
            </w:r>
            <w:r w:rsidR="008D2293" w:rsidRPr="00D21D64">
              <w:t xml:space="preserve"> and </w:t>
            </w:r>
          </w:p>
          <w:p w14:paraId="2A0F8292" w14:textId="77777777" w:rsidR="00E82303" w:rsidRPr="00D21D64" w:rsidRDefault="00E82303">
            <w:pPr>
              <w:pStyle w:val="BulletText1"/>
            </w:pPr>
            <w:proofErr w:type="gramStart"/>
            <w:r w:rsidRPr="00D21D64">
              <w:t>do</w:t>
            </w:r>
            <w:proofErr w:type="gramEnd"/>
            <w:r w:rsidRPr="00D21D64">
              <w:t xml:space="preserve"> not make a rating of competency unless there is clear and convincing evidence of that fact.</w:t>
            </w:r>
          </w:p>
          <w:p w14:paraId="2A0F8293" w14:textId="77777777" w:rsidR="00E82303" w:rsidRPr="00D21D64" w:rsidRDefault="00E82303">
            <w:pPr>
              <w:pStyle w:val="TableText"/>
            </w:pPr>
          </w:p>
          <w:p w14:paraId="2A0F8294" w14:textId="77777777" w:rsidR="00E82303" w:rsidRPr="00D21D64" w:rsidRDefault="00E82303">
            <w:pPr>
              <w:pStyle w:val="TableText"/>
            </w:pPr>
            <w:r w:rsidRPr="00D21D64">
              <w:rPr>
                <w:b/>
                <w:i/>
              </w:rPr>
              <w:t>Important</w:t>
            </w:r>
            <w:r w:rsidRPr="00D21D64">
              <w:t>:  In the following cases a payee may be considered to have had notice and hearing under the laws of the state, so that additional notice and hearing are not required:</w:t>
            </w:r>
          </w:p>
          <w:p w14:paraId="2A0F8295" w14:textId="77777777" w:rsidR="00E82303" w:rsidRPr="00D21D64" w:rsidRDefault="00E82303">
            <w:pPr>
              <w:pStyle w:val="BulletText1"/>
            </w:pPr>
            <w:r w:rsidRPr="00D21D64">
              <w:t>a payee held by a court of jurisdiction to be incompetent, or</w:t>
            </w:r>
          </w:p>
          <w:p w14:paraId="2A0F8296" w14:textId="77777777" w:rsidR="00E82303" w:rsidRPr="00D21D64" w:rsidRDefault="00E82303">
            <w:pPr>
              <w:pStyle w:val="BulletText1"/>
            </w:pPr>
            <w:proofErr w:type="gramStart"/>
            <w:r w:rsidRPr="00D21D64">
              <w:t>a</w:t>
            </w:r>
            <w:proofErr w:type="gramEnd"/>
            <w:r w:rsidRPr="00D21D64">
              <w:t xml:space="preserve"> payee for whom a court having jurisdiction has appointed a guardian by reason of incompetency.</w:t>
            </w:r>
          </w:p>
          <w:p w14:paraId="2A0F8297" w14:textId="77777777" w:rsidR="00E82303" w:rsidRPr="00D21D64" w:rsidRDefault="00E82303">
            <w:pPr>
              <w:pStyle w:val="TableText"/>
            </w:pPr>
          </w:p>
          <w:p w14:paraId="2A0F8298" w14:textId="77777777" w:rsidR="00E82303" w:rsidRPr="00D21D64" w:rsidRDefault="00E82303" w:rsidP="00001FE4">
            <w:pPr>
              <w:pStyle w:val="TableText"/>
            </w:pPr>
            <w:r w:rsidRPr="00D21D64">
              <w:rPr>
                <w:b/>
                <w:i/>
              </w:rPr>
              <w:t>Note</w:t>
            </w:r>
            <w:r w:rsidRPr="00D21D64">
              <w:t xml:space="preserve">:  If the </w:t>
            </w:r>
            <w:r w:rsidR="00A65B2A" w:rsidRPr="00D21D64">
              <w:t>Veteran</w:t>
            </w:r>
            <w:r w:rsidR="00001FE4" w:rsidRPr="00D21D64">
              <w:t xml:space="preserve"> continues to be rated </w:t>
            </w:r>
            <w:r w:rsidRPr="00D21D64">
              <w:t xml:space="preserve">competent, </w:t>
            </w:r>
            <w:r w:rsidR="00001FE4" w:rsidRPr="00D21D64">
              <w:t>mention that the court made a parallel determination</w:t>
            </w:r>
            <w:r w:rsidR="000B3B05" w:rsidRPr="00D21D64">
              <w:t xml:space="preserve"> (if that is the case)</w:t>
            </w:r>
            <w:r w:rsidRPr="00D21D64">
              <w:t>.</w:t>
            </w:r>
          </w:p>
        </w:tc>
      </w:tr>
    </w:tbl>
    <w:p w14:paraId="2A0F829A" w14:textId="77777777" w:rsidR="00E82303" w:rsidRPr="00D21D64" w:rsidRDefault="00E82303">
      <w:pPr>
        <w:pStyle w:val="ContinuedOnNextPa"/>
      </w:pPr>
      <w:r w:rsidRPr="00D21D64">
        <w:t>Continued on next page</w:t>
      </w:r>
    </w:p>
    <w:p w14:paraId="2A0F829B" w14:textId="77777777" w:rsidR="00E82303" w:rsidRPr="00D21D64" w:rsidRDefault="00E82303">
      <w:pPr>
        <w:pStyle w:val="MapTitleContinued"/>
        <w:rPr>
          <w:b w:val="0"/>
          <w:sz w:val="24"/>
        </w:rPr>
      </w:pPr>
      <w:r w:rsidRPr="00D21D64">
        <w:br w:type="page"/>
      </w:r>
      <w:r w:rsidRPr="00D21D64">
        <w:lastRenderedPageBreak/>
        <w:fldChar w:fldCharType="begin"/>
      </w:r>
      <w:r w:rsidRPr="00D21D64">
        <w:instrText>styleref "Map Title"</w:instrText>
      </w:r>
      <w:r w:rsidRPr="00D21D64">
        <w:fldChar w:fldCharType="separate"/>
      </w:r>
      <w:r w:rsidR="00516E6F" w:rsidRPr="00D21D64">
        <w:rPr>
          <w:noProof/>
        </w:rPr>
        <w:t>5.  Evaluating Competency in Special Circumstances</w:t>
      </w:r>
      <w:r w:rsidRPr="00D21D64">
        <w:fldChar w:fldCharType="end"/>
      </w:r>
      <w:r w:rsidRPr="00D21D64">
        <w:t xml:space="preserve">, </w:t>
      </w:r>
      <w:r w:rsidRPr="00D21D64">
        <w:rPr>
          <w:b w:val="0"/>
          <w:sz w:val="24"/>
        </w:rPr>
        <w:t>Continued</w:t>
      </w:r>
    </w:p>
    <w:p w14:paraId="2A0F829C" w14:textId="77777777" w:rsidR="00E82303" w:rsidRPr="00D21D64" w:rsidRDefault="00253101">
      <w:pPr>
        <w:pStyle w:val="BlockLine"/>
      </w:pPr>
      <w:r w:rsidRPr="00D21D64">
        <w:fldChar w:fldCharType="begin"/>
      </w:r>
      <w:r w:rsidRPr="00D21D64">
        <w:instrText xml:space="preserve"> PRIVATE INFOTYPE="PROCEDURE" </w:instrText>
      </w:r>
      <w:r w:rsidRPr="00D21D6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D21D64" w14:paraId="2A0F82A1" w14:textId="77777777">
        <w:trPr>
          <w:cantSplit/>
        </w:trPr>
        <w:tc>
          <w:tcPr>
            <w:tcW w:w="1728" w:type="dxa"/>
          </w:tcPr>
          <w:p w14:paraId="2A0F829D" w14:textId="77777777" w:rsidR="00E82303" w:rsidRPr="00D21D64" w:rsidRDefault="00E82303">
            <w:pPr>
              <w:pStyle w:val="Heading5"/>
            </w:pPr>
            <w:bookmarkStart w:id="18" w:name="_b.__Appropriate"/>
            <w:bookmarkEnd w:id="18"/>
            <w:proofErr w:type="gramStart"/>
            <w:r w:rsidRPr="00D21D64">
              <w:t>b.  Appropriate</w:t>
            </w:r>
            <w:proofErr w:type="gramEnd"/>
            <w:r w:rsidRPr="00D21D64">
              <w:t xml:space="preserve"> Action After Court Decrees</w:t>
            </w:r>
          </w:p>
        </w:tc>
        <w:tc>
          <w:tcPr>
            <w:tcW w:w="7740" w:type="dxa"/>
          </w:tcPr>
          <w:p w14:paraId="2A0F829E" w14:textId="77777777" w:rsidR="00E82303" w:rsidRPr="00D21D64" w:rsidRDefault="00E82303">
            <w:pPr>
              <w:pStyle w:val="BlockText"/>
            </w:pPr>
            <w:r w:rsidRPr="00D21D64">
              <w:t>Use the table below to determine the appropriate action after court decrees concerning competency.</w:t>
            </w:r>
          </w:p>
          <w:p w14:paraId="2A0F829F" w14:textId="77777777" w:rsidR="00E82303" w:rsidRPr="00D21D64" w:rsidRDefault="00E82303">
            <w:pPr>
              <w:pStyle w:val="BlockText"/>
            </w:pPr>
          </w:p>
          <w:p w14:paraId="2A0F82A0" w14:textId="77777777" w:rsidR="00E82303" w:rsidRPr="00D21D64" w:rsidRDefault="00E82303">
            <w:pPr>
              <w:pStyle w:val="BlockText"/>
            </w:pPr>
            <w:r w:rsidRPr="00D21D64">
              <w:rPr>
                <w:b/>
                <w:i/>
              </w:rPr>
              <w:t>Reference</w:t>
            </w:r>
            <w:r w:rsidRPr="00D21D64">
              <w:t xml:space="preserve">:  For more information on competency payment code award data, see </w:t>
            </w:r>
            <w:hyperlink r:id="rId34" w:history="1">
              <w:r w:rsidRPr="00D21D64">
                <w:rPr>
                  <w:rStyle w:val="Hyperlink"/>
                </w:rPr>
                <w:t>M21-1, Part V, 13.05</w:t>
              </w:r>
            </w:hyperlink>
            <w:r w:rsidRPr="00D21D64">
              <w:t>.</w:t>
            </w:r>
          </w:p>
        </w:tc>
      </w:tr>
    </w:tbl>
    <w:p w14:paraId="2A0F82A2" w14:textId="77777777" w:rsidR="00E82303" w:rsidRPr="00D21D64" w:rsidRDefault="00E82303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20"/>
        <w:gridCol w:w="4240"/>
      </w:tblGrid>
      <w:tr w:rsidR="00E82303" w:rsidRPr="00D21D64" w14:paraId="2A0F82A5" w14:textId="77777777">
        <w:trPr>
          <w:cantSplit/>
          <w:trHeight w:val="318"/>
        </w:trPr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A3" w14:textId="77777777" w:rsidR="00E82303" w:rsidRPr="00D21D64" w:rsidRDefault="00E82303">
            <w:pPr>
              <w:pStyle w:val="TableHeaderText"/>
              <w:jc w:val="left"/>
            </w:pPr>
            <w:r w:rsidRPr="00D21D64">
              <w:t>If a court decree …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A4" w14:textId="77777777" w:rsidR="00E82303" w:rsidRPr="00D21D64" w:rsidRDefault="00E82303">
            <w:pPr>
              <w:pStyle w:val="TableHeaderText"/>
              <w:jc w:val="left"/>
            </w:pPr>
            <w:r w:rsidRPr="00D21D64">
              <w:t>Then …</w:t>
            </w:r>
          </w:p>
        </w:tc>
      </w:tr>
      <w:tr w:rsidR="00E82303" w:rsidRPr="00D21D64" w14:paraId="2A0F82A9" w14:textId="77777777">
        <w:trPr>
          <w:cantSplit/>
        </w:trPr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A6" w14:textId="77777777" w:rsidR="00E82303" w:rsidRPr="00D21D64" w:rsidRDefault="00E82303">
            <w:pPr>
              <w:pStyle w:val="TableText"/>
            </w:pPr>
            <w:r w:rsidRPr="00D21D64">
              <w:t xml:space="preserve">declares a </w:t>
            </w:r>
            <w:r w:rsidR="00A65B2A" w:rsidRPr="00D21D64">
              <w:t>Veteran</w:t>
            </w:r>
            <w:r w:rsidRPr="00D21D64">
              <w:t>, previously rated incompetent, competent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A7" w14:textId="77777777" w:rsidR="00E82303" w:rsidRPr="00D21D64" w:rsidRDefault="00E82303">
            <w:pPr>
              <w:pStyle w:val="BulletText1"/>
            </w:pPr>
            <w:r w:rsidRPr="00D21D64">
              <w:t>take the necessary development action, and</w:t>
            </w:r>
          </w:p>
          <w:p w14:paraId="2A0F82A8" w14:textId="77777777" w:rsidR="00E82303" w:rsidRPr="00D21D64" w:rsidRDefault="00E82303">
            <w:pPr>
              <w:pStyle w:val="BulletText1"/>
            </w:pPr>
            <w:proofErr w:type="gramStart"/>
            <w:r w:rsidRPr="00D21D64">
              <w:t>prepare</w:t>
            </w:r>
            <w:proofErr w:type="gramEnd"/>
            <w:r w:rsidRPr="00D21D64">
              <w:t xml:space="preserve"> a new rating, prominently entering a notation of the court’s declaration on the rating, if incompetency is confirmed and continued.</w:t>
            </w:r>
          </w:p>
        </w:tc>
      </w:tr>
      <w:tr w:rsidR="00E82303" w:rsidRPr="00D21D64" w14:paraId="2A0F82AC" w14:textId="77777777">
        <w:trPr>
          <w:cantSplit/>
        </w:trPr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AA" w14:textId="77777777" w:rsidR="00E82303" w:rsidRPr="00D21D64" w:rsidRDefault="00E82303">
            <w:pPr>
              <w:pStyle w:val="TableText"/>
            </w:pPr>
            <w:r w:rsidRPr="00D21D64">
              <w:t>applies to a non-</w:t>
            </w:r>
            <w:r w:rsidR="00A65B2A" w:rsidRPr="00D21D64">
              <w:t>Veteran</w:t>
            </w:r>
            <w:r w:rsidRPr="00D21D64">
              <w:t xml:space="preserve"> beneficiary for whom a rating of incompetency is not required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2AB" w14:textId="77777777" w:rsidR="00E82303" w:rsidRPr="00D21D64" w:rsidRDefault="00E82303">
            <w:pPr>
              <w:pStyle w:val="TableText"/>
            </w:pPr>
            <w:proofErr w:type="gramStart"/>
            <w:r w:rsidRPr="00D21D64">
              <w:t>request</w:t>
            </w:r>
            <w:proofErr w:type="gramEnd"/>
            <w:r w:rsidRPr="00D21D64">
              <w:t xml:space="preserve"> the VSCM to promptly certify the validity of the decree so that direct payments may be made to the beneficiary.</w:t>
            </w:r>
          </w:p>
        </w:tc>
      </w:tr>
    </w:tbl>
    <w:p w14:paraId="2A0F82AD" w14:textId="70A119EA" w:rsidR="00E82303" w:rsidRDefault="00936488">
      <w:pPr>
        <w:pStyle w:val="BlockLine"/>
      </w:pPr>
      <w:r w:rsidRPr="00D21D64">
        <w:fldChar w:fldCharType="begin">
          <w:fldData xml:space="preserve">RABvAGMAVABlAG0AcAAxAFYAYQByAFQAcgBhAGQAaQB0AGkAbwBuAGEAbAA=
</w:fldData>
        </w:fldChar>
      </w:r>
      <w:r w:rsidRPr="00D21D64">
        <w:instrText xml:space="preserve"> ADDIN  \* MERGEFORMAT </w:instrText>
      </w:r>
      <w:r w:rsidRPr="00D21D64">
        <w:fldChar w:fldCharType="end"/>
      </w:r>
      <w:r w:rsidRPr="00D21D64">
        <w:fldChar w:fldCharType="begin">
          <w:fldData xml:space="preserve">RgBvAG4AdABTAGUAdABpAG0AaQBzAHQAeQBsAGUAcwAuAHgAbQBsAA==
</w:fldData>
        </w:fldChar>
      </w:r>
      <w:r w:rsidRPr="00D21D64">
        <w:instrText xml:space="preserve"> ADDIN  \* MERGEFORMAT </w:instrText>
      </w:r>
      <w:r w:rsidRPr="00D21D64">
        <w:fldChar w:fldCharType="end"/>
      </w:r>
      <w:r w:rsidR="00DA40C1" w:rsidRPr="00D21D64">
        <w:fldChar w:fldCharType="begin">
          <w:fldData xml:space="preserve">RABvAGMAVABlAG0AcAAxAFYAYQByAFQAcgBhAGQAaQB0AGkAbwBuAGEAbAA=
</w:fldData>
        </w:fldChar>
      </w:r>
      <w:r w:rsidR="00DA40C1" w:rsidRPr="00D21D64">
        <w:instrText xml:space="preserve"> ADDIN  \* MERGEFORMAT </w:instrText>
      </w:r>
      <w:r w:rsidR="00DA40C1" w:rsidRPr="00D21D64">
        <w:fldChar w:fldCharType="end"/>
      </w:r>
      <w:r w:rsidR="00DA40C1" w:rsidRPr="00D21D64">
        <w:fldChar w:fldCharType="begin">
          <w:fldData xml:space="preserve">RgBvAG4AdABTAGUAdABpAG0AaQBzAHQAeQBsAGUAcwAuAHgAbQBsAA==
</w:fldData>
        </w:fldChar>
      </w:r>
      <w:r w:rsidR="00DA40C1" w:rsidRPr="00D21D64">
        <w:instrText xml:space="preserve"> ADDIN  \* MERGEFORMAT </w:instrText>
      </w:r>
      <w:r w:rsidR="00DA40C1" w:rsidRPr="00D21D64">
        <w:fldChar w:fldCharType="end"/>
      </w:r>
      <w:r w:rsidR="004E2DB2" w:rsidRPr="00D21D64">
        <w:fldChar w:fldCharType="begin">
          <w:fldData xml:space="preserve">RABvAGMAVABlAG0AcAAxAFYAYQByAFQAcgBhAGQAaQB0AGkAbwBuAGEAbAA=
</w:fldData>
        </w:fldChar>
      </w:r>
      <w:r w:rsidR="004E2DB2" w:rsidRPr="00D21D64">
        <w:instrText xml:space="preserve"> ADDIN  \* MERGEFORMAT </w:instrText>
      </w:r>
      <w:r w:rsidR="004E2DB2" w:rsidRPr="00D21D64">
        <w:fldChar w:fldCharType="end"/>
      </w:r>
      <w:r w:rsidR="004E2DB2" w:rsidRPr="00D21D64">
        <w:fldChar w:fldCharType="begin">
          <w:fldData xml:space="preserve">RgBvAG4AdABTAGUAdABpAG0AaQBzAHQAeQBsAGUAcwAuAHgAbQBsAA==
</w:fldData>
        </w:fldChar>
      </w:r>
      <w:r w:rsidR="004E2DB2" w:rsidRPr="00D21D64">
        <w:instrText xml:space="preserve"> ADDIN  \* MERGEFORMAT </w:instrText>
      </w:r>
      <w:r w:rsidR="004E2DB2" w:rsidRPr="00D21D64">
        <w:fldChar w:fldCharType="end"/>
      </w:r>
      <w:r w:rsidR="00645FF7" w:rsidRPr="00D21D64">
        <w:fldChar w:fldCharType="begin">
          <w:fldData xml:space="preserve">RABvAGMAVABlAG0AcAAxAFYAYQByAFQAcgBhAGQAaQB0AGkAbwBuAGEAbAA=
</w:fldData>
        </w:fldChar>
      </w:r>
      <w:r w:rsidR="00645FF7" w:rsidRPr="00D21D64">
        <w:instrText xml:space="preserve"> ADDIN  \* MERGEFORMAT </w:instrText>
      </w:r>
      <w:r w:rsidR="00645FF7" w:rsidRPr="00D21D64">
        <w:fldChar w:fldCharType="end"/>
      </w:r>
      <w:r w:rsidR="00645FF7" w:rsidRPr="00D21D64">
        <w:fldChar w:fldCharType="begin">
          <w:fldData xml:space="preserve">RgBvAG4AdABTAGUAdABpAG0AaQBzAHQAeQBsAGUAcwAuAHgAbQBsAA==
</w:fldData>
        </w:fldChar>
      </w:r>
      <w:r w:rsidR="00645FF7" w:rsidRPr="00D21D64">
        <w:instrText xml:space="preserve"> ADDIN  \* MERGEFORMAT </w:instrText>
      </w:r>
      <w:r w:rsidR="00645FF7" w:rsidRPr="00D21D64">
        <w:fldChar w:fldCharType="end"/>
      </w:r>
      <w:r w:rsidR="005A1F3E" w:rsidRPr="00D21D64">
        <w:fldChar w:fldCharType="begin">
          <w:fldData xml:space="preserve">RABvAGMAVABlAG0AcAAxAFYAYQByAFQAcgBhAGQAaQB0AGkAbwBuAGEAbAA=
</w:fldData>
        </w:fldChar>
      </w:r>
      <w:r w:rsidR="005A1F3E" w:rsidRPr="00D21D64">
        <w:instrText xml:space="preserve"> ADDIN  \* MERGEFORMAT </w:instrText>
      </w:r>
      <w:r w:rsidR="005A1F3E" w:rsidRPr="00D21D64">
        <w:fldChar w:fldCharType="end"/>
      </w:r>
      <w:r w:rsidR="005A1F3E" w:rsidRPr="00D21D64">
        <w:fldChar w:fldCharType="begin">
          <w:fldData xml:space="preserve">RgBvAG4AdABTAGUAdABGAG8AbgB0AFMAZQB0AGkAbQBpAHMAdAB5AGwAZQBzAC4AeABtAGwA
</w:fldData>
        </w:fldChar>
      </w:r>
      <w:r w:rsidR="005A1F3E" w:rsidRPr="00D21D64">
        <w:instrText xml:space="preserve"> ADDIN  \* MERGEFORMAT </w:instrText>
      </w:r>
      <w:r w:rsidR="005A1F3E" w:rsidRPr="00D21D64">
        <w:fldChar w:fldCharType="end"/>
      </w:r>
      <w:r w:rsidR="008A5377" w:rsidRPr="00D21D64">
        <w:fldChar w:fldCharType="begin">
          <w:fldData xml:space="preserve">RABvAGMAVABlAG0AcAAxAFYAYQByAFQAcgBhAGQAaQB0AGkAbwBuAGEAbAA=
</w:fldData>
        </w:fldChar>
      </w:r>
      <w:r w:rsidR="008A5377" w:rsidRPr="00D21D64">
        <w:instrText xml:space="preserve"> ADDIN  \* MERGEFORMAT </w:instrText>
      </w:r>
      <w:r w:rsidR="008A5377" w:rsidRPr="00D21D64">
        <w:fldChar w:fldCharType="end"/>
      </w:r>
      <w:r w:rsidR="008A5377" w:rsidRPr="00D21D64">
        <w:fldChar w:fldCharType="begin">
          <w:fldData xml:space="preserve">RgBvAG4AdABTAGUAdABpAG0AaQBzAHQAeQBsAGUAcwAuAHgAbQBsAA==
</w:fldData>
        </w:fldChar>
      </w:r>
      <w:r w:rsidR="008A5377" w:rsidRPr="00D21D64">
        <w:instrText xml:space="preserve"> ADDIN  \* MERGEFORMAT </w:instrText>
      </w:r>
      <w:r w:rsidR="008A5377" w:rsidRPr="00D21D64">
        <w:fldChar w:fldCharType="end"/>
      </w:r>
      <w:bookmarkStart w:id="19" w:name="_GoBack"/>
      <w:bookmarkEnd w:id="19"/>
    </w:p>
    <w:sectPr w:rsidR="00E82303">
      <w:headerReference w:type="even" r:id="rId35"/>
      <w:headerReference w:type="default" r:id="rId36"/>
      <w:footerReference w:type="even" r:id="rId37"/>
      <w:footerReference w:type="default" r:id="rId38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F82B0" w14:textId="77777777" w:rsidR="00091CA5" w:rsidRDefault="00091CA5">
      <w:r>
        <w:separator/>
      </w:r>
    </w:p>
  </w:endnote>
  <w:endnote w:type="continuationSeparator" w:id="0">
    <w:p w14:paraId="2A0F82B1" w14:textId="77777777" w:rsidR="00091CA5" w:rsidRDefault="0009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82B4" w14:textId="77777777" w:rsidR="00091CA5" w:rsidRDefault="00091CA5">
    <w:pPr>
      <w:pStyle w:val="Footer"/>
      <w:tabs>
        <w:tab w:val="left" w:pos="0"/>
        <w:tab w:val="right" w:pos="9274"/>
      </w:tabs>
    </w:pPr>
    <w:r>
      <w:rPr>
        <w:b/>
        <w:sz w:val="20"/>
      </w:rPr>
      <w:t>8-A-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D21D64">
      <w:rPr>
        <w:rStyle w:val="PageNumber"/>
        <w:b/>
        <w:noProof/>
        <w:sz w:val="20"/>
      </w:rPr>
      <w:t>14</w:t>
    </w:r>
    <w:r>
      <w:rPr>
        <w:rStyle w:val="PageNumber"/>
        <w:b/>
        <w:sz w:val="20"/>
      </w:rPr>
      <w:fldChar w:fldCharType="end"/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82B5" w14:textId="77777777" w:rsidR="00091CA5" w:rsidRDefault="00091CA5">
    <w:pPr>
      <w:pStyle w:val="Footer"/>
      <w:tabs>
        <w:tab w:val="left" w:pos="0"/>
        <w:tab w:val="right" w:pos="9274"/>
      </w:tabs>
    </w:pPr>
    <w:r>
      <w:rPr>
        <w:b/>
        <w:sz w:val="20"/>
      </w:rPr>
      <w:tab/>
    </w:r>
    <w:r>
      <w:rPr>
        <w:b/>
        <w:sz w:val="20"/>
      </w:rPr>
      <w:tab/>
      <w:t>8-A-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D21D64">
      <w:rPr>
        <w:rStyle w:val="PageNumber"/>
        <w:b/>
        <w:noProof/>
        <w:sz w:val="20"/>
      </w:rPr>
      <w:t>13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F82AE" w14:textId="77777777" w:rsidR="00091CA5" w:rsidRDefault="00091CA5">
      <w:r>
        <w:separator/>
      </w:r>
    </w:p>
  </w:footnote>
  <w:footnote w:type="continuationSeparator" w:id="0">
    <w:p w14:paraId="2A0F82AF" w14:textId="77777777" w:rsidR="00091CA5" w:rsidRDefault="0009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82B2" w14:textId="77777777" w:rsidR="00091CA5" w:rsidRDefault="00091CA5">
    <w:pPr>
      <w:pStyle w:val="Header"/>
    </w:pPr>
    <w:r>
      <w:rPr>
        <w:b/>
        <w:sz w:val="20"/>
      </w:rPr>
      <w:t>M21-1MR, Part III, Subpart iv, Chapter 8, Section A</w:t>
    </w:r>
    <w:r>
      <w:rPr>
        <w:b/>
        <w:sz w:val="20"/>
      </w:rPr>
      <w:tab/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82B3" w14:textId="77777777" w:rsidR="00091CA5" w:rsidRDefault="00091CA5">
    <w:pPr>
      <w:pStyle w:val="Header"/>
    </w:pPr>
    <w:r>
      <w:rPr>
        <w:b/>
        <w:sz w:val="20"/>
      </w:rPr>
      <w:tab/>
    </w:r>
    <w:r>
      <w:rPr>
        <w:b/>
        <w:sz w:val="20"/>
      </w:rPr>
      <w:tab/>
      <w:t>M21-1MR, Part III, Subpart iv, Chapter 8, Section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9" type="#_x0000_t75" style="width:12pt;height:12pt" o:bullet="t">
        <v:imagedata r:id="rId1" o:title="fspro_2columns"/>
      </v:shape>
    </w:pict>
  </w:numPicBullet>
  <w:numPicBullet w:numPicBulletId="1">
    <w:pict>
      <v:shape id="_x0000_i1260" type="#_x0000_t75" style="width:12pt;height:12pt" o:bullet="t">
        <v:imagedata r:id="rId2" o:title="advanced"/>
      </v:shape>
    </w:pict>
  </w:numPicBullet>
  <w:numPicBullet w:numPicBulletId="2">
    <w:pict>
      <v:shape id="_x0000_i1261" type="#_x0000_t75" style="width:12pt;height:12pt" o:bullet="t">
        <v:imagedata r:id="rId3" o:title="continue"/>
      </v:shape>
    </w:pict>
  </w:numPicBullet>
  <w:numPicBullet w:numPicBulletId="3">
    <w:pict>
      <v:shape id="_x0000_i1262" type="#_x0000_t75" style="width:12pt;height:12pt" o:bullet="t">
        <v:imagedata r:id="rId4" o:title="webpage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B6EB1"/>
    <w:multiLevelType w:val="singleLevel"/>
    <w:tmpl w:val="44586DB2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3">
    <w:nsid w:val="211C7440"/>
    <w:multiLevelType w:val="hybridMultilevel"/>
    <w:tmpl w:val="74D6A610"/>
    <w:lvl w:ilvl="0" w:tplc="F480555E">
      <w:start w:val="1"/>
      <w:numFmt w:val="bullet"/>
      <w:lvlText w:val="-"/>
      <w:lvlJc w:val="left"/>
      <w:pPr>
        <w:tabs>
          <w:tab w:val="num" w:pos="173"/>
        </w:tabs>
        <w:ind w:left="187" w:hanging="1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8108BE"/>
    <w:multiLevelType w:val="hybridMultilevel"/>
    <w:tmpl w:val="53A44CC6"/>
    <w:lvl w:ilvl="0" w:tplc="FFFFFFFF">
      <w:start w:val="1"/>
      <w:numFmt w:val="bullet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13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2"/>
  </w:num>
  <w:num w:numId="8">
    <w:abstractNumId w:val="15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  <w:num w:numId="15">
    <w:abstractNumId w:val="9"/>
  </w:num>
  <w:num w:numId="16">
    <w:abstractNumId w:val="8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  <w:docVar w:name="XSLPath" w:val="C:\Program Files\Information Mapping\FS Pro 4.1\StyleSheets\"/>
    <w:docVar w:name="XSLstylesheet" w:val="Basic.xsl"/>
  </w:docVars>
  <w:rsids>
    <w:rsidRoot w:val="002371FF"/>
    <w:rsid w:val="00001FE4"/>
    <w:rsid w:val="00006457"/>
    <w:rsid w:val="000075BE"/>
    <w:rsid w:val="0001717D"/>
    <w:rsid w:val="00054C82"/>
    <w:rsid w:val="00061D41"/>
    <w:rsid w:val="0006501F"/>
    <w:rsid w:val="00091CA5"/>
    <w:rsid w:val="000A77EA"/>
    <w:rsid w:val="000B3B05"/>
    <w:rsid w:val="000C4653"/>
    <w:rsid w:val="00101C4D"/>
    <w:rsid w:val="00117DCB"/>
    <w:rsid w:val="0014461D"/>
    <w:rsid w:val="001456CE"/>
    <w:rsid w:val="00154F54"/>
    <w:rsid w:val="001560E0"/>
    <w:rsid w:val="001652A7"/>
    <w:rsid w:val="00186E74"/>
    <w:rsid w:val="001B3183"/>
    <w:rsid w:val="001C0E30"/>
    <w:rsid w:val="001C0F81"/>
    <w:rsid w:val="001E72EA"/>
    <w:rsid w:val="00202C0D"/>
    <w:rsid w:val="00204D8E"/>
    <w:rsid w:val="00215AD6"/>
    <w:rsid w:val="00222FC8"/>
    <w:rsid w:val="00227302"/>
    <w:rsid w:val="002371FF"/>
    <w:rsid w:val="00237DD1"/>
    <w:rsid w:val="00240496"/>
    <w:rsid w:val="00253101"/>
    <w:rsid w:val="00284E9B"/>
    <w:rsid w:val="0029156E"/>
    <w:rsid w:val="002E3129"/>
    <w:rsid w:val="0037408B"/>
    <w:rsid w:val="003A276E"/>
    <w:rsid w:val="003D3503"/>
    <w:rsid w:val="003D58EA"/>
    <w:rsid w:val="003F3E75"/>
    <w:rsid w:val="004116DD"/>
    <w:rsid w:val="00417316"/>
    <w:rsid w:val="00424EBA"/>
    <w:rsid w:val="00443B2E"/>
    <w:rsid w:val="004509C7"/>
    <w:rsid w:val="00454654"/>
    <w:rsid w:val="00457108"/>
    <w:rsid w:val="00461C30"/>
    <w:rsid w:val="00464770"/>
    <w:rsid w:val="00466054"/>
    <w:rsid w:val="004853E5"/>
    <w:rsid w:val="00487289"/>
    <w:rsid w:val="004A5FA0"/>
    <w:rsid w:val="004B05DE"/>
    <w:rsid w:val="004E1E6B"/>
    <w:rsid w:val="004E2DB2"/>
    <w:rsid w:val="004F4DD5"/>
    <w:rsid w:val="00505E2F"/>
    <w:rsid w:val="00513F03"/>
    <w:rsid w:val="00516E6F"/>
    <w:rsid w:val="00537415"/>
    <w:rsid w:val="00553F8E"/>
    <w:rsid w:val="00591DAD"/>
    <w:rsid w:val="005A189C"/>
    <w:rsid w:val="005A1F3E"/>
    <w:rsid w:val="005A34A2"/>
    <w:rsid w:val="005A6FC7"/>
    <w:rsid w:val="005B46D1"/>
    <w:rsid w:val="005C1FE1"/>
    <w:rsid w:val="005C70BD"/>
    <w:rsid w:val="005D4587"/>
    <w:rsid w:val="005F4845"/>
    <w:rsid w:val="005F7473"/>
    <w:rsid w:val="00602078"/>
    <w:rsid w:val="00610924"/>
    <w:rsid w:val="0061128C"/>
    <w:rsid w:val="00611B36"/>
    <w:rsid w:val="00625187"/>
    <w:rsid w:val="00645FF7"/>
    <w:rsid w:val="00664864"/>
    <w:rsid w:val="00675C18"/>
    <w:rsid w:val="0067706D"/>
    <w:rsid w:val="006820E1"/>
    <w:rsid w:val="00682B75"/>
    <w:rsid w:val="00685E87"/>
    <w:rsid w:val="006A0F7E"/>
    <w:rsid w:val="006A2EA3"/>
    <w:rsid w:val="006B5632"/>
    <w:rsid w:val="006B5E7F"/>
    <w:rsid w:val="006C0D3A"/>
    <w:rsid w:val="006D5214"/>
    <w:rsid w:val="006E68BD"/>
    <w:rsid w:val="006E7D79"/>
    <w:rsid w:val="006F706E"/>
    <w:rsid w:val="0070212C"/>
    <w:rsid w:val="007056F5"/>
    <w:rsid w:val="007072BA"/>
    <w:rsid w:val="00711BA6"/>
    <w:rsid w:val="00713B54"/>
    <w:rsid w:val="0071468A"/>
    <w:rsid w:val="00722C5C"/>
    <w:rsid w:val="007368A8"/>
    <w:rsid w:val="0074607D"/>
    <w:rsid w:val="007808E6"/>
    <w:rsid w:val="00782086"/>
    <w:rsid w:val="007A0288"/>
    <w:rsid w:val="007A6EB0"/>
    <w:rsid w:val="007C2651"/>
    <w:rsid w:val="0080228B"/>
    <w:rsid w:val="00804509"/>
    <w:rsid w:val="00823582"/>
    <w:rsid w:val="00830E89"/>
    <w:rsid w:val="008436F5"/>
    <w:rsid w:val="008437D1"/>
    <w:rsid w:val="00844670"/>
    <w:rsid w:val="008648AA"/>
    <w:rsid w:val="008655A0"/>
    <w:rsid w:val="0087338D"/>
    <w:rsid w:val="00891687"/>
    <w:rsid w:val="008A5377"/>
    <w:rsid w:val="008D2293"/>
    <w:rsid w:val="008F72A6"/>
    <w:rsid w:val="0090041D"/>
    <w:rsid w:val="0090334D"/>
    <w:rsid w:val="009033E9"/>
    <w:rsid w:val="00906441"/>
    <w:rsid w:val="00910F81"/>
    <w:rsid w:val="00914486"/>
    <w:rsid w:val="00925F9C"/>
    <w:rsid w:val="009348DC"/>
    <w:rsid w:val="00936488"/>
    <w:rsid w:val="009748AD"/>
    <w:rsid w:val="00974CE6"/>
    <w:rsid w:val="00984448"/>
    <w:rsid w:val="0098486A"/>
    <w:rsid w:val="00994730"/>
    <w:rsid w:val="00995FB2"/>
    <w:rsid w:val="009A146F"/>
    <w:rsid w:val="009B2810"/>
    <w:rsid w:val="009C0005"/>
    <w:rsid w:val="009D5B50"/>
    <w:rsid w:val="009F73BA"/>
    <w:rsid w:val="00A03E51"/>
    <w:rsid w:val="00A05097"/>
    <w:rsid w:val="00A2642A"/>
    <w:rsid w:val="00A332E2"/>
    <w:rsid w:val="00A33CA5"/>
    <w:rsid w:val="00A435DA"/>
    <w:rsid w:val="00A65B2A"/>
    <w:rsid w:val="00AA3C96"/>
    <w:rsid w:val="00AC427F"/>
    <w:rsid w:val="00AD5BBE"/>
    <w:rsid w:val="00B144C7"/>
    <w:rsid w:val="00B273C0"/>
    <w:rsid w:val="00B57FDD"/>
    <w:rsid w:val="00B67D7F"/>
    <w:rsid w:val="00B96B4E"/>
    <w:rsid w:val="00B96FBA"/>
    <w:rsid w:val="00BB3D1C"/>
    <w:rsid w:val="00BD3874"/>
    <w:rsid w:val="00BE0F0C"/>
    <w:rsid w:val="00BF5F40"/>
    <w:rsid w:val="00C05E4D"/>
    <w:rsid w:val="00C06136"/>
    <w:rsid w:val="00C1692B"/>
    <w:rsid w:val="00C20A5B"/>
    <w:rsid w:val="00C22AE0"/>
    <w:rsid w:val="00C477DD"/>
    <w:rsid w:val="00C67622"/>
    <w:rsid w:val="00C678FC"/>
    <w:rsid w:val="00C804DA"/>
    <w:rsid w:val="00CA3EEC"/>
    <w:rsid w:val="00CB4302"/>
    <w:rsid w:val="00CB76D0"/>
    <w:rsid w:val="00CF1BD1"/>
    <w:rsid w:val="00D121BA"/>
    <w:rsid w:val="00D17919"/>
    <w:rsid w:val="00D21D64"/>
    <w:rsid w:val="00D47A97"/>
    <w:rsid w:val="00D522F4"/>
    <w:rsid w:val="00D52A28"/>
    <w:rsid w:val="00D62684"/>
    <w:rsid w:val="00D80013"/>
    <w:rsid w:val="00DA19B6"/>
    <w:rsid w:val="00DA40C1"/>
    <w:rsid w:val="00DB0ED1"/>
    <w:rsid w:val="00DE4426"/>
    <w:rsid w:val="00E241ED"/>
    <w:rsid w:val="00E437F1"/>
    <w:rsid w:val="00E64634"/>
    <w:rsid w:val="00E82303"/>
    <w:rsid w:val="00E82697"/>
    <w:rsid w:val="00EB1A1A"/>
    <w:rsid w:val="00EB3EA9"/>
    <w:rsid w:val="00EB4961"/>
    <w:rsid w:val="00EF0B27"/>
    <w:rsid w:val="00F1102C"/>
    <w:rsid w:val="00F11B04"/>
    <w:rsid w:val="00F36B92"/>
    <w:rsid w:val="00F548B6"/>
    <w:rsid w:val="00F6471F"/>
    <w:rsid w:val="00F830CE"/>
    <w:rsid w:val="00F973C0"/>
    <w:rsid w:val="00F97AC2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F8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0E1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6820E1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6820E1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6820E1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6820E1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6820E1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6820E1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0E1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6820E1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6820E1"/>
  </w:style>
  <w:style w:type="paragraph" w:customStyle="1" w:styleId="BulletText1">
    <w:name w:val="Bullet Text 1"/>
    <w:basedOn w:val="Normal"/>
    <w:rsid w:val="006820E1"/>
    <w:pPr>
      <w:numPr>
        <w:numId w:val="11"/>
      </w:numPr>
    </w:pPr>
    <w:rPr>
      <w:szCs w:val="20"/>
    </w:rPr>
  </w:style>
  <w:style w:type="paragraph" w:customStyle="1" w:styleId="BulletText2">
    <w:name w:val="Bullet Text 2"/>
    <w:basedOn w:val="Normal"/>
    <w:rsid w:val="006820E1"/>
    <w:pPr>
      <w:numPr>
        <w:numId w:val="14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6820E1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6820E1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6820E1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6820E1"/>
  </w:style>
  <w:style w:type="paragraph" w:styleId="Footer">
    <w:name w:val="footer"/>
    <w:basedOn w:val="Normal"/>
    <w:link w:val="FooterChar"/>
    <w:rsid w:val="006820E1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rsid w:val="006820E1"/>
    <w:rPr>
      <w:szCs w:val="20"/>
    </w:rPr>
  </w:style>
  <w:style w:type="paragraph" w:customStyle="1" w:styleId="NoteText">
    <w:name w:val="Note Text"/>
    <w:basedOn w:val="Normal"/>
    <w:rsid w:val="006820E1"/>
    <w:rPr>
      <w:szCs w:val="20"/>
    </w:rPr>
  </w:style>
  <w:style w:type="paragraph" w:customStyle="1" w:styleId="TableHeaderText">
    <w:name w:val="Table Header Text"/>
    <w:basedOn w:val="Normal"/>
    <w:rsid w:val="006820E1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6820E1"/>
    <w:rPr>
      <w:szCs w:val="20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6820E1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820E1"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6820E1"/>
    <w:pPr>
      <w:spacing w:after="240"/>
    </w:pPr>
    <w:rPr>
      <w:b/>
      <w:sz w:val="22"/>
      <w:szCs w:val="20"/>
    </w:rPr>
  </w:style>
  <w:style w:type="character" w:customStyle="1" w:styleId="Jump">
    <w:name w:val="Jump"/>
    <w:basedOn w:val="DefaultParagraphFont"/>
    <w:rPr>
      <w:color w:val="FF0000"/>
    </w:rPr>
  </w:style>
  <w:style w:type="paragraph" w:customStyle="1" w:styleId="PublicationTitle">
    <w:name w:val="Publication Title"/>
    <w:basedOn w:val="Normal"/>
    <w:next w:val="Heading4"/>
    <w:rsid w:val="006820E1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6820E1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6820E1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6820E1"/>
    <w:rPr>
      <w:szCs w:val="20"/>
    </w:rPr>
  </w:style>
  <w:style w:type="character" w:styleId="Hyperlink">
    <w:name w:val="Hyperlink"/>
    <w:uiPriority w:val="99"/>
    <w:rsid w:val="006820E1"/>
    <w:rPr>
      <w:color w:val="0000FF"/>
      <w:u w:val="single"/>
    </w:rPr>
  </w:style>
  <w:style w:type="character" w:styleId="FollowedHyperlink">
    <w:name w:val="FollowedHyperlink"/>
    <w:rsid w:val="006820E1"/>
    <w:rPr>
      <w:color w:val="800080"/>
      <w:u w:val="single"/>
    </w:rPr>
  </w:style>
  <w:style w:type="paragraph" w:customStyle="1" w:styleId="BulletText3">
    <w:name w:val="Bullet Text 3"/>
    <w:basedOn w:val="Normal"/>
    <w:rsid w:val="006820E1"/>
    <w:pPr>
      <w:numPr>
        <w:numId w:val="1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6820E1"/>
  </w:style>
  <w:style w:type="paragraph" w:customStyle="1" w:styleId="IMTOC">
    <w:name w:val="IMTOC"/>
    <w:rsid w:val="006820E1"/>
    <w:rPr>
      <w:sz w:val="24"/>
    </w:rPr>
  </w:style>
  <w:style w:type="paragraph" w:styleId="BalloonText">
    <w:name w:val="Balloon Text"/>
    <w:basedOn w:val="Normal"/>
    <w:link w:val="BalloonTextChar"/>
    <w:rsid w:val="00682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86A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6820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6820E1"/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6820E1"/>
    <w:rPr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semiHidden/>
    <w:rsid w:val="00C678FC"/>
    <w:rPr>
      <w:sz w:val="16"/>
      <w:szCs w:val="16"/>
    </w:rPr>
  </w:style>
  <w:style w:type="paragraph" w:styleId="CommentText">
    <w:name w:val="annotation text"/>
    <w:basedOn w:val="Normal"/>
    <w:semiHidden/>
    <w:rsid w:val="00C678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78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0E1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6820E1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6820E1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6820E1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6820E1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6820E1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6820E1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0E1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6820E1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6820E1"/>
  </w:style>
  <w:style w:type="paragraph" w:customStyle="1" w:styleId="BulletText1">
    <w:name w:val="Bullet Text 1"/>
    <w:basedOn w:val="Normal"/>
    <w:rsid w:val="006820E1"/>
    <w:pPr>
      <w:numPr>
        <w:numId w:val="11"/>
      </w:numPr>
    </w:pPr>
    <w:rPr>
      <w:szCs w:val="20"/>
    </w:rPr>
  </w:style>
  <w:style w:type="paragraph" w:customStyle="1" w:styleId="BulletText2">
    <w:name w:val="Bullet Text 2"/>
    <w:basedOn w:val="Normal"/>
    <w:rsid w:val="006820E1"/>
    <w:pPr>
      <w:numPr>
        <w:numId w:val="14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6820E1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6820E1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6820E1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6820E1"/>
  </w:style>
  <w:style w:type="paragraph" w:styleId="Footer">
    <w:name w:val="footer"/>
    <w:basedOn w:val="Normal"/>
    <w:link w:val="FooterChar"/>
    <w:rsid w:val="006820E1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rsid w:val="006820E1"/>
    <w:rPr>
      <w:szCs w:val="20"/>
    </w:rPr>
  </w:style>
  <w:style w:type="paragraph" w:customStyle="1" w:styleId="NoteText">
    <w:name w:val="Note Text"/>
    <w:basedOn w:val="Normal"/>
    <w:rsid w:val="006820E1"/>
    <w:rPr>
      <w:szCs w:val="20"/>
    </w:rPr>
  </w:style>
  <w:style w:type="paragraph" w:customStyle="1" w:styleId="TableHeaderText">
    <w:name w:val="Table Header Text"/>
    <w:basedOn w:val="Normal"/>
    <w:rsid w:val="006820E1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6820E1"/>
    <w:rPr>
      <w:szCs w:val="20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6820E1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820E1"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6820E1"/>
    <w:pPr>
      <w:spacing w:after="240"/>
    </w:pPr>
    <w:rPr>
      <w:b/>
      <w:sz w:val="22"/>
      <w:szCs w:val="20"/>
    </w:rPr>
  </w:style>
  <w:style w:type="character" w:customStyle="1" w:styleId="Jump">
    <w:name w:val="Jump"/>
    <w:basedOn w:val="DefaultParagraphFont"/>
    <w:rPr>
      <w:color w:val="FF0000"/>
    </w:rPr>
  </w:style>
  <w:style w:type="paragraph" w:customStyle="1" w:styleId="PublicationTitle">
    <w:name w:val="Publication Title"/>
    <w:basedOn w:val="Normal"/>
    <w:next w:val="Heading4"/>
    <w:rsid w:val="006820E1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6820E1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6820E1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6820E1"/>
    <w:rPr>
      <w:szCs w:val="20"/>
    </w:rPr>
  </w:style>
  <w:style w:type="character" w:styleId="Hyperlink">
    <w:name w:val="Hyperlink"/>
    <w:uiPriority w:val="99"/>
    <w:rsid w:val="006820E1"/>
    <w:rPr>
      <w:color w:val="0000FF"/>
      <w:u w:val="single"/>
    </w:rPr>
  </w:style>
  <w:style w:type="character" w:styleId="FollowedHyperlink">
    <w:name w:val="FollowedHyperlink"/>
    <w:rsid w:val="006820E1"/>
    <w:rPr>
      <w:color w:val="800080"/>
      <w:u w:val="single"/>
    </w:rPr>
  </w:style>
  <w:style w:type="paragraph" w:customStyle="1" w:styleId="BulletText3">
    <w:name w:val="Bullet Text 3"/>
    <w:basedOn w:val="Normal"/>
    <w:rsid w:val="006820E1"/>
    <w:pPr>
      <w:numPr>
        <w:numId w:val="1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6820E1"/>
  </w:style>
  <w:style w:type="paragraph" w:customStyle="1" w:styleId="IMTOC">
    <w:name w:val="IMTOC"/>
    <w:rsid w:val="006820E1"/>
    <w:rPr>
      <w:sz w:val="24"/>
    </w:rPr>
  </w:style>
  <w:style w:type="paragraph" w:styleId="BalloonText">
    <w:name w:val="Balloon Text"/>
    <w:basedOn w:val="Normal"/>
    <w:link w:val="BalloonTextChar"/>
    <w:rsid w:val="00682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86A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6820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6820E1"/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6820E1"/>
    <w:rPr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semiHidden/>
    <w:rsid w:val="00C678FC"/>
    <w:rPr>
      <w:sz w:val="16"/>
      <w:szCs w:val="16"/>
    </w:rPr>
  </w:style>
  <w:style w:type="paragraph" w:styleId="CommentText">
    <w:name w:val="annotation text"/>
    <w:basedOn w:val="Normal"/>
    <w:semiHidden/>
    <w:rsid w:val="00C678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7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imi-internal:M21-1MRIII.v.9" TargetMode="External"/><Relationship Id="rId18" Type="http://schemas.openxmlformats.org/officeDocument/2006/relationships/hyperlink" Target="http://www.benefits.va.gov/warms/docs/regs/38CFR/BOOKC/PART4/S4_29.DOC" TargetMode="External"/><Relationship Id="rId26" Type="http://schemas.openxmlformats.org/officeDocument/2006/relationships/hyperlink" Target="imi-internal:M21-1MRiii.v.9.B.5.g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yperlink" Target="imi-internal:M21-1MRIII.iv.6.B.3" TargetMode="External"/><Relationship Id="rId34" Type="http://schemas.openxmlformats.org/officeDocument/2006/relationships/hyperlink" Target="http://www.warms.vba.va.gov/admin21/m21_1/part5/ch13.doc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imi-internal:M21-1MR.III.v.9.B" TargetMode="External"/><Relationship Id="rId25" Type="http://schemas.openxmlformats.org/officeDocument/2006/relationships/hyperlink" Target="http://www.warms.vba.va.gov/regs/38CFR/BOOKB/PART3/S3_353.DOC" TargetMode="External"/><Relationship Id="rId33" Type="http://schemas.openxmlformats.org/officeDocument/2006/relationships/hyperlink" Target="imi-internal:M21-1MRIII.iii.7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yperlink" Target="http://www.warms.vba.va.gov/regs/38CFR/BOOKB/PART3/S3_353.DOC" TargetMode="External"/><Relationship Id="rId20" Type="http://schemas.openxmlformats.org/officeDocument/2006/relationships/hyperlink" Target="imi-internal:M21-1MRIII.iv.8.A.1.d" TargetMode="External"/><Relationship Id="rId29" Type="http://schemas.openxmlformats.org/officeDocument/2006/relationships/hyperlink" Target="imi-internal:M21-1MRIII.v.9.B.6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imi-internal:M21-1MRIII.v.9.B.6" TargetMode="External"/><Relationship Id="rId32" Type="http://schemas.openxmlformats.org/officeDocument/2006/relationships/hyperlink" Target="http://www.warms.vba.va.gov/regs/38CFR/BOOKB/PART3/S3_353.DOC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benefits.va.gov/WARMS/docs/regs/38cfr/bookb/part3/S3_353.doc" TargetMode="External"/><Relationship Id="rId23" Type="http://schemas.openxmlformats.org/officeDocument/2006/relationships/hyperlink" Target="http://www.warms.vba.va.gov/regs/38CFR/BOOKB/PART3/S3_356.DOC" TargetMode="External"/><Relationship Id="rId28" Type="http://schemas.openxmlformats.org/officeDocument/2006/relationships/hyperlink" Target="imi-internal:M21-1MRIII.v.9.B.6" TargetMode="External"/><Relationship Id="rId36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imi-internal:M21-1MRIII.iv.8.A.1.c" TargetMode="External"/><Relationship Id="rId31" Type="http://schemas.openxmlformats.org/officeDocument/2006/relationships/hyperlink" Target="imi-internal:M21-1MRIII.v.9.B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benefits.va.gov/WARMS/docs/regs/38cfr/bookb/part3/S3_353.doc" TargetMode="External"/><Relationship Id="rId22" Type="http://schemas.openxmlformats.org/officeDocument/2006/relationships/hyperlink" Target="imi-internal:M21-1MRIII.v.9.B.6" TargetMode="External"/><Relationship Id="rId27" Type="http://schemas.openxmlformats.org/officeDocument/2006/relationships/hyperlink" Target="imi-internal:M21-1MR.III.v.9.B.5.f" TargetMode="External"/><Relationship Id="rId30" Type="http://schemas.openxmlformats.org/officeDocument/2006/relationships/hyperlink" Target="http://www.benefits.va.gov/warms/docs/regs/38CFR/BOOKB/PART3/S3_400.DOC" TargetMode="External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C99C-7C44-4D5D-B828-96651ADA3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90FC4-44E1-4CFA-B84B-05AABE7BE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2F924-B729-4C3A-A8D1-5E23A1A1B03A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b438dcf7-3998-4283-b7fc-0ec6fa8e430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59A87C-6DA8-4EE5-8E81-01FC44C5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678</TotalTime>
  <Pages>14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A. Evaluating Competency (U.S. Department of Veterans Affairs)</vt:lpstr>
    </vt:vector>
  </TitlesOfParts>
  <Company>Department of Veterans Affairs (VA)</Company>
  <LinksUpToDate>false</LinksUpToDate>
  <CharactersWithSpaces>17581</CharactersWithSpaces>
  <SharedDoc>false</SharedDoc>
  <HLinks>
    <vt:vector size="144" baseType="variant">
      <vt:variant>
        <vt:i4>6684756</vt:i4>
      </vt:variant>
      <vt:variant>
        <vt:i4>99</vt:i4>
      </vt:variant>
      <vt:variant>
        <vt:i4>0</vt:i4>
      </vt:variant>
      <vt:variant>
        <vt:i4>5</vt:i4>
      </vt:variant>
      <vt:variant>
        <vt:lpwstr>http://www.warms.vba.va.gov/admin21/m21_1/part5/ch13.doc</vt:lpwstr>
      </vt:variant>
      <vt:variant>
        <vt:lpwstr/>
      </vt:variant>
      <vt:variant>
        <vt:i4>7143550</vt:i4>
      </vt:variant>
      <vt:variant>
        <vt:i4>87</vt:i4>
      </vt:variant>
      <vt:variant>
        <vt:i4>0</vt:i4>
      </vt:variant>
      <vt:variant>
        <vt:i4>5</vt:i4>
      </vt:variant>
      <vt:variant>
        <vt:lpwstr>http://vbaw.vba.va.gov/bl/21/M21-1MR/index.asp?id=pt03_sp03_ch07.xml</vt:lpwstr>
      </vt:variant>
      <vt:variant>
        <vt:lpwstr/>
      </vt:variant>
      <vt:variant>
        <vt:i4>6291523</vt:i4>
      </vt:variant>
      <vt:variant>
        <vt:i4>84</vt:i4>
      </vt:variant>
      <vt:variant>
        <vt:i4>0</vt:i4>
      </vt:variant>
      <vt:variant>
        <vt:i4>5</vt:i4>
      </vt:variant>
      <vt:variant>
        <vt:lpwstr>http://www.warms.vba.va.gov/regs/38CFR/BOOKB/PART3/S3_353.DOC</vt:lpwstr>
      </vt:variant>
      <vt:variant>
        <vt:lpwstr/>
      </vt:variant>
      <vt:variant>
        <vt:i4>6488148</vt:i4>
      </vt:variant>
      <vt:variant>
        <vt:i4>78</vt:i4>
      </vt:variant>
      <vt:variant>
        <vt:i4>0</vt:i4>
      </vt:variant>
      <vt:variant>
        <vt:i4>5</vt:i4>
      </vt:variant>
      <vt:variant>
        <vt:lpwstr>http://vbaw.vba.va.gov/bl/21/M21-1MR/index.asp?id=pt03_sp05_ch09_secB.xml</vt:lpwstr>
      </vt:variant>
      <vt:variant>
        <vt:lpwstr>III.v.9.B</vt:lpwstr>
      </vt:variant>
      <vt:variant>
        <vt:i4>131172</vt:i4>
      </vt:variant>
      <vt:variant>
        <vt:i4>75</vt:i4>
      </vt:variant>
      <vt:variant>
        <vt:i4>0</vt:i4>
      </vt:variant>
      <vt:variant>
        <vt:i4>5</vt:i4>
      </vt:variant>
      <vt:variant>
        <vt:lpwstr>http://www.benefits.va.gov/warms/docs/regs/38CFR/BOOKB/PART3/S3_400.DOC</vt:lpwstr>
      </vt:variant>
      <vt:variant>
        <vt:lpwstr/>
      </vt:variant>
      <vt:variant>
        <vt:i4>4784207</vt:i4>
      </vt:variant>
      <vt:variant>
        <vt:i4>66</vt:i4>
      </vt:variant>
      <vt:variant>
        <vt:i4>0</vt:i4>
      </vt:variant>
      <vt:variant>
        <vt:i4>5</vt:i4>
      </vt:variant>
      <vt:variant>
        <vt:lpwstr>imi-internal:M21-1MRI.2.C.11</vt:lpwstr>
      </vt:variant>
      <vt:variant>
        <vt:lpwstr/>
      </vt:variant>
      <vt:variant>
        <vt:i4>5636167</vt:i4>
      </vt:variant>
      <vt:variant>
        <vt:i4>63</vt:i4>
      </vt:variant>
      <vt:variant>
        <vt:i4>0</vt:i4>
      </vt:variant>
      <vt:variant>
        <vt:i4>5</vt:i4>
      </vt:variant>
      <vt:variant>
        <vt:lpwstr>imi-internal:M21-1MRI.2.C.9.d</vt:lpwstr>
      </vt:variant>
      <vt:variant>
        <vt:lpwstr/>
      </vt:variant>
      <vt:variant>
        <vt:i4>8060988</vt:i4>
      </vt:variant>
      <vt:variant>
        <vt:i4>54</vt:i4>
      </vt:variant>
      <vt:variant>
        <vt:i4>0</vt:i4>
      </vt:variant>
      <vt:variant>
        <vt:i4>5</vt:i4>
      </vt:variant>
      <vt:variant>
        <vt:lpwstr>http://www.benefits.va.gov/WARMS/docs/admin21/m21_1/mr/part3/subptiv/ch08/pt03_sp05_ch09_secB.xml</vt:lpwstr>
      </vt:variant>
      <vt:variant>
        <vt:lpwstr>III.v.9.B.6</vt:lpwstr>
      </vt:variant>
      <vt:variant>
        <vt:i4>8060988</vt:i4>
      </vt:variant>
      <vt:variant>
        <vt:i4>51</vt:i4>
      </vt:variant>
      <vt:variant>
        <vt:i4>0</vt:i4>
      </vt:variant>
      <vt:variant>
        <vt:i4>5</vt:i4>
      </vt:variant>
      <vt:variant>
        <vt:lpwstr>http://www.benefits.va.gov/WARMS/docs/admin21/m21_1/mr/part3/subptiv/ch08/pt03_sp05_ch09_secB.xml</vt:lpwstr>
      </vt:variant>
      <vt:variant>
        <vt:lpwstr>III.v.9.B.6</vt:lpwstr>
      </vt:variant>
      <vt:variant>
        <vt:i4>5570569</vt:i4>
      </vt:variant>
      <vt:variant>
        <vt:i4>48</vt:i4>
      </vt:variant>
      <vt:variant>
        <vt:i4>0</vt:i4>
      </vt:variant>
      <vt:variant>
        <vt:i4>5</vt:i4>
      </vt:variant>
      <vt:variant>
        <vt:lpwstr>http://www.benefits.va.gov/WARMS/docs/admin21/m21_1/mr/part3/subptiv/ch08/pt03_sp05_ch09_secB.xml</vt:lpwstr>
      </vt:variant>
      <vt:variant>
        <vt:lpwstr>III.v.9.B.5.f</vt:lpwstr>
      </vt:variant>
      <vt:variant>
        <vt:i4>5570569</vt:i4>
      </vt:variant>
      <vt:variant>
        <vt:i4>45</vt:i4>
      </vt:variant>
      <vt:variant>
        <vt:i4>0</vt:i4>
      </vt:variant>
      <vt:variant>
        <vt:i4>5</vt:i4>
      </vt:variant>
      <vt:variant>
        <vt:lpwstr>http://www.benefits.va.gov/WARMS/docs/admin21/m21_1/mr/part3/subptiv/ch08/pt03_sp05_ch09_secB.xml</vt:lpwstr>
      </vt:variant>
      <vt:variant>
        <vt:lpwstr>III.v.9.B.5.g</vt:lpwstr>
      </vt:variant>
      <vt:variant>
        <vt:i4>6291523</vt:i4>
      </vt:variant>
      <vt:variant>
        <vt:i4>42</vt:i4>
      </vt:variant>
      <vt:variant>
        <vt:i4>0</vt:i4>
      </vt:variant>
      <vt:variant>
        <vt:i4>5</vt:i4>
      </vt:variant>
      <vt:variant>
        <vt:lpwstr>http://www.warms.vba.va.gov/regs/38CFR/BOOKB/PART3/S3_353.DOC</vt:lpwstr>
      </vt:variant>
      <vt:variant>
        <vt:lpwstr/>
      </vt:variant>
      <vt:variant>
        <vt:i4>8060988</vt:i4>
      </vt:variant>
      <vt:variant>
        <vt:i4>39</vt:i4>
      </vt:variant>
      <vt:variant>
        <vt:i4>0</vt:i4>
      </vt:variant>
      <vt:variant>
        <vt:i4>5</vt:i4>
      </vt:variant>
      <vt:variant>
        <vt:lpwstr>http://www.benefits.va.gov/WARMS/docs/admin21/m21_1/mr/part3/subptiv/ch08/pt03_sp05_ch09_secB.xml</vt:lpwstr>
      </vt:variant>
      <vt:variant>
        <vt:lpwstr>III.v.9.B.6</vt:lpwstr>
      </vt:variant>
      <vt:variant>
        <vt:i4>6291526</vt:i4>
      </vt:variant>
      <vt:variant>
        <vt:i4>36</vt:i4>
      </vt:variant>
      <vt:variant>
        <vt:i4>0</vt:i4>
      </vt:variant>
      <vt:variant>
        <vt:i4>5</vt:i4>
      </vt:variant>
      <vt:variant>
        <vt:lpwstr>http://www.warms.vba.va.gov/regs/38CFR/BOOKB/PART3/S3_356.DOC</vt:lpwstr>
      </vt:variant>
      <vt:variant>
        <vt:lpwstr/>
      </vt:variant>
      <vt:variant>
        <vt:i4>8060988</vt:i4>
      </vt:variant>
      <vt:variant>
        <vt:i4>33</vt:i4>
      </vt:variant>
      <vt:variant>
        <vt:i4>0</vt:i4>
      </vt:variant>
      <vt:variant>
        <vt:i4>5</vt:i4>
      </vt:variant>
      <vt:variant>
        <vt:lpwstr>http://www.benefits.va.gov/WARMS/docs/admin21/m21_1/mr/part3/subptiv/ch08/pt03_sp05_ch09_secB.xml</vt:lpwstr>
      </vt:variant>
      <vt:variant>
        <vt:lpwstr>III.v.9.B.6</vt:lpwstr>
      </vt:variant>
      <vt:variant>
        <vt:i4>5701638</vt:i4>
      </vt:variant>
      <vt:variant>
        <vt:i4>27</vt:i4>
      </vt:variant>
      <vt:variant>
        <vt:i4>0</vt:i4>
      </vt:variant>
      <vt:variant>
        <vt:i4>5</vt:i4>
      </vt:variant>
      <vt:variant>
        <vt:lpwstr>imi-internal:M21-1MRIV.ii.2.J.60</vt:lpwstr>
      </vt:variant>
      <vt:variant>
        <vt:lpwstr/>
      </vt:variant>
      <vt:variant>
        <vt:i4>4915312</vt:i4>
      </vt:variant>
      <vt:variant>
        <vt:i4>24</vt:i4>
      </vt:variant>
      <vt:variant>
        <vt:i4>0</vt:i4>
      </vt:variant>
      <vt:variant>
        <vt:i4>5</vt:i4>
      </vt:variant>
      <vt:variant>
        <vt:lpwstr>http://www.benefits.va.gov/warms/docs/regs/38CFR/BOOKC/PART4/S4_29.DOC</vt:lpwstr>
      </vt:variant>
      <vt:variant>
        <vt:lpwstr/>
      </vt:variant>
      <vt:variant>
        <vt:i4>1</vt:i4>
      </vt:variant>
      <vt:variant>
        <vt:i4>21</vt:i4>
      </vt:variant>
      <vt:variant>
        <vt:i4>0</vt:i4>
      </vt:variant>
      <vt:variant>
        <vt:i4>5</vt:i4>
      </vt:variant>
      <vt:variant>
        <vt:lpwstr>imi-internal:M21-1MRIII.iv.6.B.3</vt:lpwstr>
      </vt:variant>
      <vt:variant>
        <vt:lpwstr/>
      </vt:variant>
      <vt:variant>
        <vt:i4>4915312</vt:i4>
      </vt:variant>
      <vt:variant>
        <vt:i4>18</vt:i4>
      </vt:variant>
      <vt:variant>
        <vt:i4>0</vt:i4>
      </vt:variant>
      <vt:variant>
        <vt:i4>5</vt:i4>
      </vt:variant>
      <vt:variant>
        <vt:lpwstr>http://www.benefits.va.gov/warms/docs/regs/38CFR/BOOKC/PART4/S4_29.DOC</vt:lpwstr>
      </vt:variant>
      <vt:variant>
        <vt:lpwstr/>
      </vt:variant>
      <vt:variant>
        <vt:i4>5570654</vt:i4>
      </vt:variant>
      <vt:variant>
        <vt:i4>15</vt:i4>
      </vt:variant>
      <vt:variant>
        <vt:i4>0</vt:i4>
      </vt:variant>
      <vt:variant>
        <vt:i4>5</vt:i4>
      </vt:variant>
      <vt:variant>
        <vt:lpwstr>http://www.benefits.va.gov/WARMS/docs/admin21/m21_1/mr/part3/subptiv/ch08/pt03_sp05_ch09_secB.xml</vt:lpwstr>
      </vt:variant>
      <vt:variant>
        <vt:lpwstr>III.v.9.B</vt:lpwstr>
      </vt:variant>
      <vt:variant>
        <vt:i4>6291523</vt:i4>
      </vt:variant>
      <vt:variant>
        <vt:i4>12</vt:i4>
      </vt:variant>
      <vt:variant>
        <vt:i4>0</vt:i4>
      </vt:variant>
      <vt:variant>
        <vt:i4>5</vt:i4>
      </vt:variant>
      <vt:variant>
        <vt:lpwstr>http://www.warms.vba.va.gov/regs/38CFR/BOOKB/PART3/S3_353.DOC</vt:lpwstr>
      </vt:variant>
      <vt:variant>
        <vt:lpwstr/>
      </vt:variant>
      <vt:variant>
        <vt:i4>6291523</vt:i4>
      </vt:variant>
      <vt:variant>
        <vt:i4>6</vt:i4>
      </vt:variant>
      <vt:variant>
        <vt:i4>0</vt:i4>
      </vt:variant>
      <vt:variant>
        <vt:i4>5</vt:i4>
      </vt:variant>
      <vt:variant>
        <vt:lpwstr>http://www.warms.vba.va.gov/regs/38CFR/BOOKB/PART3/S3_353.DOC</vt:lpwstr>
      </vt:variant>
      <vt:variant>
        <vt:lpwstr/>
      </vt:variant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http://www.warms.vba.va.gov/regs/38CFR/BOOKB/PART3/S3_353.DOC</vt:lpwstr>
      </vt:variant>
      <vt:variant>
        <vt:lpwstr/>
      </vt:variant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http://vbaw.vba.va.gov/bl/21/M21-1MR/m21-1mr_main.htm</vt:lpwstr>
      </vt:variant>
      <vt:variant>
        <vt:lpwstr>pt3_spv_ch9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A. Evaluating Competency (U.S. Department of Veterans Affairs)</dc:title>
  <dc:subject>Evaluating Competency</dc:subject>
  <dc:creator>Department of Veterans Affairs</dc:creator>
  <cp:keywords>competency, guidelines, evidence, process, determinations, status, changing, changes, special, circumstances, subordinate, inferred, inferring, mental, timeliness</cp:keywords>
  <dc:description>Topics on competency including guidelines, competency as a subordinate issues, the process of making competency determinations, changing competency status, special circumstances, timeliness</dc:description>
  <cp:lastModifiedBy>Mazar, Leah B., VBAVACO</cp:lastModifiedBy>
  <cp:revision>76</cp:revision>
  <cp:lastPrinted>2012-06-05T14:23:00Z</cp:lastPrinted>
  <dcterms:created xsi:type="dcterms:W3CDTF">2014-07-12T14:16:00Z</dcterms:created>
  <dcterms:modified xsi:type="dcterms:W3CDTF">2014-09-24T15:30:00Z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2003</vt:lpwstr>
  </property>
  <property fmtid="{D5CDD505-2E9C-101B-9397-08002B2CF9AE}" pid="3" name="DateReviewed">
    <vt:lpwstr>20140709</vt:lpwstr>
  </property>
  <property fmtid="{D5CDD505-2E9C-101B-9397-08002B2CF9AE}" pid="4" name="Language">
    <vt:lpwstr>en</vt:lpwstr>
  </property>
  <property fmtid="{D5CDD505-2E9C-101B-9397-08002B2CF9AE}" pid="5" name="type">
    <vt:lpwstr>manual</vt:lpwstr>
  </property>
  <property fmtid="{D5CDD505-2E9C-101B-9397-08002B2CF9AE}" pid="6" name="creator">
    <vt:lpwstr>Department of Veterans Affairs, Veterans Benefits Administration, Compensation Service, Procedures</vt:lpwstr>
  </property>
</Properties>
</file>