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98E7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BF6CC7">
        <w:rPr>
          <w:rFonts w:ascii="Times New Roman" w:hAnsi="Times New Roman"/>
          <w:sz w:val="20"/>
        </w:rPr>
        <w:t>iv</w:t>
      </w:r>
    </w:p>
    <w:p w14:paraId="3BB8A3C5" w14:textId="5A4DB17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663A6D">
        <w:rPr>
          <w:b/>
          <w:bCs/>
          <w:sz w:val="20"/>
        </w:rPr>
        <w:t xml:space="preserve">                         April 22, 2015</w:t>
      </w:r>
      <w:r>
        <w:rPr>
          <w:b/>
          <w:bCs/>
          <w:sz w:val="20"/>
        </w:rPr>
        <w:tab/>
      </w:r>
    </w:p>
    <w:p w14:paraId="356F8BD7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35497B1" w14:textId="77777777" w:rsidR="00504F80" w:rsidRDefault="00504F80" w:rsidP="00504F80">
      <w:pPr>
        <w:rPr>
          <w:b/>
          <w:bCs/>
          <w:sz w:val="20"/>
        </w:rPr>
      </w:pPr>
    </w:p>
    <w:p w14:paraId="2F4C19F3" w14:textId="77777777" w:rsidR="00504F80" w:rsidRDefault="00504F80" w:rsidP="00504F80">
      <w:pPr>
        <w:pStyle w:val="Heading4"/>
      </w:pPr>
      <w:r>
        <w:t xml:space="preserve">Transmittal Sheet </w:t>
      </w:r>
    </w:p>
    <w:p w14:paraId="158C3F0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8509B" w14:paraId="65A5BEA5" w14:textId="77777777" w:rsidTr="00C24D50">
        <w:tc>
          <w:tcPr>
            <w:tcW w:w="1728" w:type="dxa"/>
          </w:tcPr>
          <w:p w14:paraId="405B5293" w14:textId="77777777" w:rsidR="00504F80" w:rsidRPr="0028509B" w:rsidRDefault="00504F80" w:rsidP="00237C22">
            <w:pPr>
              <w:pStyle w:val="Heading5"/>
            </w:pPr>
            <w:r w:rsidRPr="0028509B">
              <w:t>Changes Included in This Revision</w:t>
            </w:r>
          </w:p>
        </w:tc>
        <w:tc>
          <w:tcPr>
            <w:tcW w:w="7740" w:type="dxa"/>
          </w:tcPr>
          <w:p w14:paraId="0A7BB97B" w14:textId="77777777" w:rsidR="00504F80" w:rsidRPr="0028509B" w:rsidRDefault="00504F80" w:rsidP="00237C22">
            <w:pPr>
              <w:pStyle w:val="BlockText"/>
            </w:pPr>
            <w:r w:rsidRPr="0028509B">
              <w:t xml:space="preserve">The table below describes the changes included in this revision of Veterans Benefits Manual M21-1, Part </w:t>
            </w:r>
            <w:r w:rsidR="00BB3345" w:rsidRPr="0028509B">
              <w:t>III</w:t>
            </w:r>
            <w:r w:rsidRPr="0028509B">
              <w:t>, “</w:t>
            </w:r>
            <w:r w:rsidR="00BB3345" w:rsidRPr="0028509B">
              <w:t>General Claims Process</w:t>
            </w:r>
            <w:r w:rsidRPr="0028509B">
              <w:t>,” Subpart</w:t>
            </w:r>
            <w:r w:rsidR="004A5971" w:rsidRPr="0028509B">
              <w:t xml:space="preserve"> iv</w:t>
            </w:r>
            <w:r w:rsidRPr="0028509B">
              <w:t>, “</w:t>
            </w:r>
            <w:r w:rsidR="00BB3345" w:rsidRPr="0028509B">
              <w:t xml:space="preserve">General </w:t>
            </w:r>
            <w:r w:rsidR="004A5971" w:rsidRPr="0028509B">
              <w:t>Rating Process</w:t>
            </w:r>
            <w:r w:rsidRPr="0028509B">
              <w:t>.”</w:t>
            </w:r>
          </w:p>
          <w:p w14:paraId="478762A0" w14:textId="77777777" w:rsidR="00504F80" w:rsidRPr="0028509B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FDF5DC8" w14:textId="77777777" w:rsidR="00504F80" w:rsidRPr="0028509B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28509B">
              <w:rPr>
                <w:b/>
                <w:i/>
              </w:rPr>
              <w:t>Notes</w:t>
            </w:r>
            <w:r w:rsidRPr="0028509B">
              <w:t xml:space="preserve">:  </w:t>
            </w:r>
          </w:p>
          <w:p w14:paraId="271D8A57" w14:textId="77777777" w:rsidR="00504F80" w:rsidRPr="0028509B" w:rsidRDefault="00504F80" w:rsidP="00A264B8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 w:rsidRPr="0028509B">
              <w:t xml:space="preserve">Minor editorial changes have also been made to </w:t>
            </w:r>
          </w:p>
          <w:p w14:paraId="137588AF" w14:textId="77777777" w:rsidR="00A469C9" w:rsidRPr="0028509B" w:rsidRDefault="003E2CA2" w:rsidP="00A264B8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28509B">
              <w:t>reassign alphabetical designations to individual blocks</w:t>
            </w:r>
            <w:r w:rsidR="00B0548B" w:rsidRPr="0028509B">
              <w:t xml:space="preserve"> and repaginate</w:t>
            </w:r>
            <w:r w:rsidRPr="0028509B">
              <w:t>, where necessary, to account for new and/or deleted blocks within a topic</w:t>
            </w:r>
          </w:p>
          <w:p w14:paraId="74D45D24" w14:textId="77777777" w:rsidR="00BA51F8" w:rsidRPr="0028509B" w:rsidRDefault="00BA51F8" w:rsidP="00A264B8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28509B">
              <w:t>renumber each topic based on the standard that the first topic in each section is Topic 1</w:t>
            </w:r>
          </w:p>
          <w:p w14:paraId="777F9718" w14:textId="4B2F3E4D" w:rsidR="00BA51F8" w:rsidRPr="0028509B" w:rsidRDefault="00865F36" w:rsidP="00A264B8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28509B">
              <w:t>update section and topic titles to more accurately reflect their content</w:t>
            </w:r>
          </w:p>
          <w:p w14:paraId="3350E66D" w14:textId="1A02B780" w:rsidR="00504F80" w:rsidRPr="0028509B" w:rsidRDefault="00A469C9" w:rsidP="00A264B8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28509B">
              <w:t>clarify block text and labels,</w:t>
            </w:r>
            <w:r w:rsidR="00504F80" w:rsidRPr="0028509B">
              <w:t xml:space="preserve"> and </w:t>
            </w:r>
          </w:p>
          <w:p w14:paraId="41A4ADA1" w14:textId="77777777" w:rsidR="00504F80" w:rsidRPr="0028509B" w:rsidRDefault="00504F80" w:rsidP="00A264B8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28509B">
              <w:t>bring the documents into conformance with M21-1 standards.</w:t>
            </w:r>
          </w:p>
        </w:tc>
      </w:tr>
    </w:tbl>
    <w:p w14:paraId="228FB2E2" w14:textId="77777777" w:rsidR="00C24D50" w:rsidRPr="0028509B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:rsidRPr="0028509B" w14:paraId="23D4706F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7DCE5400" w14:textId="77777777" w:rsidR="002A1D3E" w:rsidRPr="0028509B" w:rsidRDefault="002A1D3E" w:rsidP="002F7397">
            <w:pPr>
              <w:pStyle w:val="TableHeaderText"/>
            </w:pPr>
            <w:r w:rsidRPr="0028509B">
              <w:t>Reason(s) for the Change</w:t>
            </w:r>
          </w:p>
        </w:tc>
        <w:tc>
          <w:tcPr>
            <w:tcW w:w="1346" w:type="pct"/>
            <w:shd w:val="clear" w:color="auto" w:fill="auto"/>
          </w:tcPr>
          <w:p w14:paraId="6F798446" w14:textId="77777777" w:rsidR="002A1D3E" w:rsidRPr="0028509B" w:rsidRDefault="002A1D3E" w:rsidP="002F7397">
            <w:pPr>
              <w:pStyle w:val="TableHeaderText"/>
            </w:pPr>
            <w:r w:rsidRPr="0028509B">
              <w:t>Citation</w:t>
            </w:r>
          </w:p>
        </w:tc>
      </w:tr>
      <w:tr w:rsidR="00A469C9" w:rsidRPr="0028509B" w14:paraId="6F7B9932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6EDC9038" w14:textId="72CF44D3" w:rsidR="00A469C9" w:rsidRPr="0028509B" w:rsidRDefault="00A469C9" w:rsidP="00A469C9">
            <w:pPr>
              <w:pStyle w:val="TableText"/>
            </w:pPr>
            <w:r w:rsidRPr="0028509B">
              <w:t>To introduce the concept of preservation of disability evaluations and discuss the regulatory principle.</w:t>
            </w:r>
          </w:p>
        </w:tc>
        <w:tc>
          <w:tcPr>
            <w:tcW w:w="1346" w:type="pct"/>
            <w:shd w:val="clear" w:color="auto" w:fill="auto"/>
          </w:tcPr>
          <w:p w14:paraId="1E95AF87" w14:textId="26767F0D" w:rsidR="00A469C9" w:rsidRPr="0028509B" w:rsidRDefault="00BA51F8" w:rsidP="00A5116D">
            <w:pPr>
              <w:pStyle w:val="TableText"/>
            </w:pPr>
            <w:r w:rsidRPr="0028509B">
              <w:t xml:space="preserve">M21-1, </w:t>
            </w:r>
            <w:r w:rsidR="00A469C9" w:rsidRPr="0028509B">
              <w:t xml:space="preserve">Part III, Subpart iv, Chapter 8, Topic 1, </w:t>
            </w:r>
            <w:r w:rsidRPr="0028509B">
              <w:t>B</w:t>
            </w:r>
            <w:r w:rsidR="0028509B">
              <w:t>lock a (III.iv.8.C.1.a)</w:t>
            </w:r>
          </w:p>
        </w:tc>
      </w:tr>
      <w:tr w:rsidR="00990615" w:rsidRPr="0028509B" w14:paraId="7C216A68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27EA27AB" w14:textId="135B00C5" w:rsidR="00832653" w:rsidRPr="0028509B" w:rsidRDefault="00A469C9" w:rsidP="00157220">
            <w:pPr>
              <w:ind w:left="-29"/>
            </w:pPr>
            <w:r w:rsidRPr="0028509B">
              <w:t>To add a new block t</w:t>
            </w:r>
            <w:r w:rsidR="008C3840" w:rsidRPr="0028509B">
              <w:t>o break out and elaborate upon determining whether protection applies under</w:t>
            </w:r>
            <w:r w:rsidRPr="0028509B">
              <w:t xml:space="preserve"> 38 CFR 3.951(b)</w:t>
            </w:r>
            <w:r w:rsidR="00BA51F8" w:rsidRPr="0028509B">
              <w:t>.</w:t>
            </w:r>
          </w:p>
        </w:tc>
        <w:tc>
          <w:tcPr>
            <w:tcW w:w="1346" w:type="pct"/>
            <w:shd w:val="clear" w:color="auto" w:fill="auto"/>
          </w:tcPr>
          <w:p w14:paraId="5D00A0B0" w14:textId="28F8E9AE" w:rsidR="00990615" w:rsidRPr="0028509B" w:rsidRDefault="00A469C9" w:rsidP="00A469C9">
            <w:pPr>
              <w:pStyle w:val="TableText"/>
            </w:pPr>
            <w:r w:rsidRPr="0028509B">
              <w:t>III.iv.8.C.1.b</w:t>
            </w:r>
          </w:p>
        </w:tc>
      </w:tr>
      <w:tr w:rsidR="00A469C9" w:rsidRPr="0028509B" w14:paraId="33005ABC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34FD2122" w14:textId="61FB3402" w:rsidR="00832653" w:rsidRPr="0028509B" w:rsidDel="00A469C9" w:rsidRDefault="00832653" w:rsidP="00A469C9">
            <w:pPr>
              <w:pStyle w:val="TableText"/>
            </w:pPr>
            <w:r w:rsidRPr="0028509B">
              <w:t xml:space="preserve">To add a new block to provide guidance on handling cases where there may be protection at a lower level than the current evaluation. </w:t>
            </w:r>
          </w:p>
        </w:tc>
        <w:tc>
          <w:tcPr>
            <w:tcW w:w="1346" w:type="pct"/>
            <w:shd w:val="clear" w:color="auto" w:fill="auto"/>
          </w:tcPr>
          <w:p w14:paraId="6DECDDA8" w14:textId="4160940B" w:rsidR="00A469C9" w:rsidRPr="0028509B" w:rsidRDefault="00832653" w:rsidP="00A469C9">
            <w:pPr>
              <w:pStyle w:val="TableText"/>
            </w:pPr>
            <w:r w:rsidRPr="0028509B">
              <w:t>III.iv.8.C.1.c</w:t>
            </w:r>
          </w:p>
        </w:tc>
      </w:tr>
      <w:tr w:rsidR="00A469C9" w:rsidRPr="0028509B" w14:paraId="39CB8FE3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3A9B705B" w14:textId="7D07126E" w:rsidR="00832653" w:rsidRPr="0028509B" w:rsidDel="00A469C9" w:rsidRDefault="00832653" w:rsidP="00A469C9">
            <w:pPr>
              <w:pStyle w:val="TableText"/>
            </w:pPr>
            <w:r w:rsidRPr="0028509B">
              <w:t>To add a new block to break out and clarify that periods during which recoupment or ded</w:t>
            </w:r>
            <w:r w:rsidR="00F21884" w:rsidRPr="0028509B">
              <w:t>uction applied to an award</w:t>
            </w:r>
            <w:r w:rsidRPr="0028509B">
              <w:t xml:space="preserve"> are </w:t>
            </w:r>
            <w:r w:rsidR="00F21884" w:rsidRPr="0028509B">
              <w:t>included when determining whether an evaluation has continuously been in effect</w:t>
            </w:r>
            <w:r w:rsidRPr="0028509B">
              <w:t xml:space="preserve"> for protection purposes. </w:t>
            </w:r>
          </w:p>
        </w:tc>
        <w:tc>
          <w:tcPr>
            <w:tcW w:w="1346" w:type="pct"/>
            <w:shd w:val="clear" w:color="auto" w:fill="auto"/>
          </w:tcPr>
          <w:p w14:paraId="78323942" w14:textId="66A2F6A8" w:rsidR="00A469C9" w:rsidRPr="0028509B" w:rsidRDefault="00832653" w:rsidP="00A469C9">
            <w:pPr>
              <w:pStyle w:val="TableText"/>
            </w:pPr>
            <w:r w:rsidRPr="0028509B">
              <w:t>III.iv.8.C.1.d</w:t>
            </w:r>
          </w:p>
        </w:tc>
      </w:tr>
      <w:tr w:rsidR="00A469C9" w:rsidRPr="0028509B" w14:paraId="23B2FB90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450CBA3F" w14:textId="25395451" w:rsidR="00832653" w:rsidRPr="0028509B" w:rsidDel="00A469C9" w:rsidRDefault="00832653" w:rsidP="00832653">
            <w:pPr>
              <w:pStyle w:val="TableText"/>
            </w:pPr>
            <w:r w:rsidRPr="0028509B">
              <w:t xml:space="preserve">To revise the block to clarfy the principle of protection in the absence of a monetary award by adding an example of election not to receive compensation and a court citation. </w:t>
            </w:r>
          </w:p>
        </w:tc>
        <w:tc>
          <w:tcPr>
            <w:tcW w:w="1346" w:type="pct"/>
            <w:shd w:val="clear" w:color="auto" w:fill="auto"/>
          </w:tcPr>
          <w:p w14:paraId="1451DDB4" w14:textId="72060B25" w:rsidR="00A469C9" w:rsidRPr="0028509B" w:rsidRDefault="00832653" w:rsidP="00A469C9">
            <w:pPr>
              <w:pStyle w:val="TableText"/>
            </w:pPr>
            <w:r w:rsidRPr="0028509B">
              <w:t>III.iv.8.C. 1.e</w:t>
            </w:r>
          </w:p>
        </w:tc>
      </w:tr>
      <w:tr w:rsidR="00832653" w:rsidRPr="0028509B" w14:paraId="2D03A54A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56F99EC3" w14:textId="23647D98" w:rsidR="00832653" w:rsidRPr="0028509B" w:rsidRDefault="00832653" w:rsidP="00832653">
            <w:pPr>
              <w:pStyle w:val="TableText"/>
            </w:pPr>
            <w:r w:rsidRPr="0028509B">
              <w:t xml:space="preserve">To incorporate the principle that protection of evaluations under 38 CFR 3.951(b) applies to special monthly compensation (SMC) ratings. </w:t>
            </w:r>
          </w:p>
        </w:tc>
        <w:tc>
          <w:tcPr>
            <w:tcW w:w="1346" w:type="pct"/>
            <w:shd w:val="clear" w:color="auto" w:fill="auto"/>
          </w:tcPr>
          <w:p w14:paraId="414C73CF" w14:textId="7513C41B" w:rsidR="00832653" w:rsidRPr="0028509B" w:rsidRDefault="00832653" w:rsidP="00A469C9">
            <w:pPr>
              <w:pStyle w:val="TableText"/>
            </w:pPr>
            <w:r w:rsidRPr="0028509B">
              <w:t>III.iv.8.C.1.g</w:t>
            </w:r>
          </w:p>
        </w:tc>
      </w:tr>
      <w:tr w:rsidR="00832653" w:rsidRPr="0028509B" w14:paraId="02F859EC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31AC3C4E" w14:textId="6D9A1F99" w:rsidR="00832653" w:rsidRPr="0028509B" w:rsidRDefault="00832653" w:rsidP="00832653">
            <w:pPr>
              <w:pStyle w:val="TableText"/>
            </w:pPr>
            <w:r w:rsidRPr="0028509B">
              <w:t>To incorporate the holding of VAOPGCPREC 16-89 that erroneous, protected evaluations appropriately form the basis for SMC.</w:t>
            </w:r>
          </w:p>
        </w:tc>
        <w:tc>
          <w:tcPr>
            <w:tcW w:w="1346" w:type="pct"/>
            <w:shd w:val="clear" w:color="auto" w:fill="auto"/>
          </w:tcPr>
          <w:p w14:paraId="37924F48" w14:textId="4CBB1D74" w:rsidR="00832653" w:rsidRPr="0028509B" w:rsidRDefault="00832653" w:rsidP="00A469C9">
            <w:pPr>
              <w:pStyle w:val="TableText"/>
            </w:pPr>
            <w:r w:rsidRPr="0028509B">
              <w:t>III.iv.8.C.1.h</w:t>
            </w:r>
          </w:p>
        </w:tc>
      </w:tr>
      <w:tr w:rsidR="00832653" w:rsidRPr="0028509B" w14:paraId="15B67F9D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11CB757C" w14:textId="632C8B17" w:rsidR="00832653" w:rsidRPr="0028509B" w:rsidRDefault="00AF78ED" w:rsidP="00AF78ED">
            <w:pPr>
              <w:pStyle w:val="TableText"/>
            </w:pPr>
            <w:r w:rsidRPr="0028509B">
              <w:t>To supplement the material on protection from retroactive evaluations to include a citation to VAOPGCPREC 68-91.</w:t>
            </w:r>
          </w:p>
        </w:tc>
        <w:tc>
          <w:tcPr>
            <w:tcW w:w="1346" w:type="pct"/>
            <w:shd w:val="clear" w:color="auto" w:fill="auto"/>
          </w:tcPr>
          <w:p w14:paraId="25861FC8" w14:textId="77777777" w:rsidR="00832653" w:rsidRPr="0028509B" w:rsidRDefault="00AF78ED" w:rsidP="00A469C9">
            <w:pPr>
              <w:pStyle w:val="TableText"/>
            </w:pPr>
            <w:r w:rsidRPr="0028509B">
              <w:t>III.iv.8.C.1.i</w:t>
            </w:r>
          </w:p>
          <w:p w14:paraId="4566D998" w14:textId="3EE0E366" w:rsidR="0041387F" w:rsidRPr="0028509B" w:rsidRDefault="0041387F" w:rsidP="00A469C9">
            <w:pPr>
              <w:pStyle w:val="TableText"/>
            </w:pPr>
          </w:p>
        </w:tc>
      </w:tr>
      <w:tr w:rsidR="00832653" w:rsidRPr="0028509B" w14:paraId="156B033A" w14:textId="77777777" w:rsidTr="00A264B8">
        <w:trPr>
          <w:trHeight w:val="345"/>
        </w:trPr>
        <w:tc>
          <w:tcPr>
            <w:tcW w:w="3654" w:type="pct"/>
            <w:shd w:val="clear" w:color="auto" w:fill="auto"/>
          </w:tcPr>
          <w:p w14:paraId="6CFB68B0" w14:textId="1DD0EAE0" w:rsidR="00832653" w:rsidRPr="0028509B" w:rsidRDefault="00AF78ED" w:rsidP="00AF78ED">
            <w:pPr>
              <w:pStyle w:val="TableText"/>
            </w:pPr>
            <w:r w:rsidRPr="0028509B">
              <w:t>To incorporate additional guidance including examples on protection and changes of diagnostic codes</w:t>
            </w:r>
            <w:r w:rsidR="00157220" w:rsidRPr="0028509B">
              <w:t>.</w:t>
            </w:r>
          </w:p>
        </w:tc>
        <w:tc>
          <w:tcPr>
            <w:tcW w:w="1346" w:type="pct"/>
            <w:shd w:val="clear" w:color="auto" w:fill="auto"/>
          </w:tcPr>
          <w:p w14:paraId="03EC2599" w14:textId="10A98C66" w:rsidR="00832653" w:rsidRPr="0028509B" w:rsidRDefault="00AF78ED" w:rsidP="00A469C9">
            <w:pPr>
              <w:pStyle w:val="TableText"/>
            </w:pPr>
            <w:r w:rsidRPr="0028509B">
              <w:t>III.iv.8.C.1.</w:t>
            </w:r>
            <w:r w:rsidR="00865F36" w:rsidRPr="0028509B">
              <w:t>k</w:t>
            </w:r>
          </w:p>
        </w:tc>
      </w:tr>
      <w:tr w:rsidR="00AF78ED" w:rsidRPr="0028509B" w14:paraId="5ECC89D9" w14:textId="77777777" w:rsidTr="00A264B8">
        <w:trPr>
          <w:trHeight w:val="345"/>
        </w:trPr>
        <w:tc>
          <w:tcPr>
            <w:tcW w:w="3654" w:type="pct"/>
            <w:shd w:val="clear" w:color="auto" w:fill="auto"/>
          </w:tcPr>
          <w:p w14:paraId="30DF548B" w14:textId="4D5A2222" w:rsidR="00AF78ED" w:rsidRPr="0028509B" w:rsidRDefault="00AF78ED" w:rsidP="00AF78ED">
            <w:pPr>
              <w:pStyle w:val="TableText"/>
            </w:pPr>
            <w:r w:rsidRPr="0028509B">
              <w:t xml:space="preserve">To add a block incorporating VAOPGCPREC 4-96 on protection and breaking out evaluations of conditions erroneously rated </w:t>
            </w:r>
            <w:r w:rsidRPr="0028509B">
              <w:lastRenderedPageBreak/>
              <w:t>together.</w:t>
            </w:r>
          </w:p>
        </w:tc>
        <w:tc>
          <w:tcPr>
            <w:tcW w:w="1346" w:type="pct"/>
            <w:shd w:val="clear" w:color="auto" w:fill="auto"/>
          </w:tcPr>
          <w:p w14:paraId="02BB1977" w14:textId="537BE9FD" w:rsidR="00AF78ED" w:rsidRPr="0028509B" w:rsidRDefault="00AF78ED" w:rsidP="00865F36">
            <w:pPr>
              <w:pStyle w:val="TableText"/>
            </w:pPr>
            <w:r w:rsidRPr="0028509B">
              <w:lastRenderedPageBreak/>
              <w:t>III.iv.8.C.1.</w:t>
            </w:r>
            <w:r w:rsidR="00865F36" w:rsidRPr="0028509B">
              <w:t>l</w:t>
            </w:r>
          </w:p>
        </w:tc>
      </w:tr>
      <w:tr w:rsidR="00AF78ED" w:rsidRPr="0028509B" w14:paraId="0D49CD9E" w14:textId="77777777" w:rsidTr="00A264B8">
        <w:trPr>
          <w:trHeight w:val="345"/>
        </w:trPr>
        <w:tc>
          <w:tcPr>
            <w:tcW w:w="3654" w:type="pct"/>
            <w:shd w:val="clear" w:color="auto" w:fill="auto"/>
          </w:tcPr>
          <w:p w14:paraId="1D042AB4" w14:textId="0CEF1844" w:rsidR="00AF78ED" w:rsidRPr="0028509B" w:rsidRDefault="00AF78ED" w:rsidP="00AF78ED">
            <w:pPr>
              <w:pStyle w:val="TableText"/>
            </w:pPr>
            <w:r w:rsidRPr="0028509B">
              <w:lastRenderedPageBreak/>
              <w:t>To add a block providing guidance on protection of the evaluation of a disability eliminated by non-service connected</w:t>
            </w:r>
            <w:r w:rsidR="006F31F6" w:rsidRPr="0028509B">
              <w:t xml:space="preserve"> (NSC)</w:t>
            </w:r>
            <w:r w:rsidRPr="0028509B">
              <w:t xml:space="preserve"> amputation. </w:t>
            </w:r>
          </w:p>
        </w:tc>
        <w:tc>
          <w:tcPr>
            <w:tcW w:w="1346" w:type="pct"/>
            <w:shd w:val="clear" w:color="auto" w:fill="auto"/>
          </w:tcPr>
          <w:p w14:paraId="43E6EE1E" w14:textId="53CC6CF2" w:rsidR="00AF78ED" w:rsidRPr="0028509B" w:rsidRDefault="00AF78ED" w:rsidP="00A469C9">
            <w:pPr>
              <w:pStyle w:val="TableText"/>
            </w:pPr>
            <w:r w:rsidRPr="0028509B">
              <w:t>III.iv.8.C.1.</w:t>
            </w:r>
            <w:r w:rsidR="00865F36" w:rsidRPr="0028509B">
              <w:t>m</w:t>
            </w:r>
          </w:p>
        </w:tc>
      </w:tr>
      <w:tr w:rsidR="001D4B50" w:rsidRPr="0028509B" w14:paraId="002A0181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28FC1C42" w14:textId="0D95C808" w:rsidR="00D71FCA" w:rsidRPr="0028509B" w:rsidRDefault="00D71FCA" w:rsidP="00D71FCA">
            <w:r w:rsidRPr="0028509B">
              <w:t xml:space="preserve">To enhance the block content by introducing the statutory and regulatory basis for protection of service connection and incorporating a holding of VAOPGCPREC 6-02. </w:t>
            </w:r>
          </w:p>
        </w:tc>
        <w:tc>
          <w:tcPr>
            <w:tcW w:w="1346" w:type="pct"/>
            <w:shd w:val="clear" w:color="auto" w:fill="auto"/>
          </w:tcPr>
          <w:p w14:paraId="6AD4C8D8" w14:textId="46278AEF" w:rsidR="001D4B50" w:rsidRPr="0028509B" w:rsidRDefault="00D71FCA" w:rsidP="00047B96">
            <w:pPr>
              <w:pStyle w:val="TableText"/>
            </w:pPr>
            <w:r w:rsidRPr="0028509B">
              <w:t>III.iv.8.C.2.a</w:t>
            </w:r>
          </w:p>
        </w:tc>
      </w:tr>
      <w:tr w:rsidR="00D71FCA" w:rsidRPr="0028509B" w14:paraId="26AB8A6C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63AF29CE" w14:textId="39F2D2B5" w:rsidR="00D71FCA" w:rsidRPr="0028509B" w:rsidRDefault="00D71FCA" w:rsidP="00D71FCA">
            <w:pPr>
              <w:ind w:left="-29"/>
            </w:pPr>
            <w:r w:rsidRPr="0028509B">
              <w:t xml:space="preserve">To clarify the guidance on measuring the </w:t>
            </w:r>
            <w:r w:rsidR="00865F36" w:rsidRPr="0028509B">
              <w:t>10</w:t>
            </w:r>
            <w:r w:rsidRPr="0028509B">
              <w:t>-year period for protection of service connection.</w:t>
            </w:r>
          </w:p>
        </w:tc>
        <w:tc>
          <w:tcPr>
            <w:tcW w:w="1346" w:type="pct"/>
            <w:shd w:val="clear" w:color="auto" w:fill="auto"/>
          </w:tcPr>
          <w:p w14:paraId="51E3AE88" w14:textId="7609DD38" w:rsidR="00D71FCA" w:rsidRPr="0028509B" w:rsidRDefault="00D71FCA" w:rsidP="00047B96">
            <w:pPr>
              <w:pStyle w:val="TableText"/>
            </w:pPr>
            <w:r w:rsidRPr="0028509B">
              <w:t>III.iv.8.C.2.b</w:t>
            </w:r>
          </w:p>
        </w:tc>
      </w:tr>
      <w:tr w:rsidR="00D71FCA" w:rsidRPr="0028509B" w14:paraId="0F47E0E5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2715EDF6" w14:textId="16E25BD9" w:rsidR="00D71FCA" w:rsidRPr="0028509B" w:rsidRDefault="00D71FCA" w:rsidP="00CD3876">
            <w:pPr>
              <w:ind w:left="-29"/>
            </w:pPr>
            <w:r w:rsidRPr="0028509B">
              <w:t xml:space="preserve">To add a block on protection of service connection for death, laying out the regulatory basis and discussing the holding of  </w:t>
            </w:r>
            <w:r w:rsidR="00E55207" w:rsidRPr="0028509B">
              <w:t xml:space="preserve">VAOPGCPREC 8-93. </w:t>
            </w:r>
          </w:p>
        </w:tc>
        <w:tc>
          <w:tcPr>
            <w:tcW w:w="1346" w:type="pct"/>
            <w:shd w:val="clear" w:color="auto" w:fill="auto"/>
          </w:tcPr>
          <w:p w14:paraId="0F56C81E" w14:textId="04EA6475" w:rsidR="00D71FCA" w:rsidRPr="0028509B" w:rsidRDefault="00E55207" w:rsidP="00047B96">
            <w:pPr>
              <w:pStyle w:val="TableText"/>
            </w:pPr>
            <w:r w:rsidRPr="0028509B">
              <w:t>III.iv.8.C.2.c.</w:t>
            </w:r>
          </w:p>
        </w:tc>
      </w:tr>
      <w:tr w:rsidR="00D71FCA" w:rsidRPr="0028509B" w14:paraId="2F405CBE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613EC11D" w14:textId="299911A8" w:rsidR="00D71FCA" w:rsidRPr="0028509B" w:rsidRDefault="003C2020" w:rsidP="003C2020">
            <w:pPr>
              <w:ind w:left="-29"/>
            </w:pPr>
            <w:r w:rsidRPr="0028509B">
              <w:t>To add a block on protection and correction of diagnostic code or change in site of disability with examples based on VAOPGCPREC 50-91 and VAOPGCPREC 13-92.</w:t>
            </w:r>
          </w:p>
        </w:tc>
        <w:tc>
          <w:tcPr>
            <w:tcW w:w="1346" w:type="pct"/>
            <w:shd w:val="clear" w:color="auto" w:fill="auto"/>
          </w:tcPr>
          <w:p w14:paraId="3F83682D" w14:textId="2F1CA111" w:rsidR="00D71FCA" w:rsidRPr="0028509B" w:rsidRDefault="00E55207" w:rsidP="00047B96">
            <w:pPr>
              <w:pStyle w:val="TableText"/>
            </w:pPr>
            <w:r w:rsidRPr="0028509B">
              <w:t>III.iv.8.C.2.d</w:t>
            </w:r>
          </w:p>
        </w:tc>
      </w:tr>
      <w:tr w:rsidR="00D71FCA" w:rsidRPr="0028509B" w14:paraId="70D83BD1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7D6E3335" w14:textId="342A3C82" w:rsidR="00D71FCA" w:rsidRPr="0028509B" w:rsidRDefault="003C2020" w:rsidP="006F31F6">
            <w:pPr>
              <w:ind w:left="-29"/>
            </w:pPr>
            <w:r w:rsidRPr="0028509B">
              <w:t xml:space="preserve">To add a block on protection of service connection for a disability eliminated by </w:t>
            </w:r>
            <w:r w:rsidR="006F31F6" w:rsidRPr="0028509B">
              <w:t xml:space="preserve">NSC </w:t>
            </w:r>
            <w:r w:rsidRPr="0028509B">
              <w:t xml:space="preserve">amputation. </w:t>
            </w:r>
          </w:p>
        </w:tc>
        <w:tc>
          <w:tcPr>
            <w:tcW w:w="1346" w:type="pct"/>
            <w:shd w:val="clear" w:color="auto" w:fill="auto"/>
          </w:tcPr>
          <w:p w14:paraId="07AF72EA" w14:textId="55AACBFB" w:rsidR="00D71FCA" w:rsidRPr="0028509B" w:rsidRDefault="003C2020" w:rsidP="003C2020">
            <w:pPr>
              <w:pStyle w:val="TableText"/>
            </w:pPr>
            <w:r w:rsidRPr="0028509B">
              <w:t>III.iv.8.C.2.e</w:t>
            </w:r>
          </w:p>
        </w:tc>
      </w:tr>
      <w:tr w:rsidR="001D4B50" w:rsidRPr="0028509B" w14:paraId="58682D5B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66886F14" w14:textId="6E54ED47" w:rsidR="001D4B50" w:rsidRPr="0028509B" w:rsidRDefault="003C2020" w:rsidP="003C2020">
            <w:pPr>
              <w:ind w:left="-29"/>
            </w:pPr>
            <w:r w:rsidRPr="0028509B">
              <w:t>To add a block covering the holding of VAOPGCPREC 13-96 that protection is not applicable to benefits compensated under 38 U.S.C. 1151.</w:t>
            </w:r>
          </w:p>
        </w:tc>
        <w:tc>
          <w:tcPr>
            <w:tcW w:w="1346" w:type="pct"/>
            <w:shd w:val="clear" w:color="auto" w:fill="auto"/>
          </w:tcPr>
          <w:p w14:paraId="1B1A3B78" w14:textId="14604ED4" w:rsidR="001D4B50" w:rsidRPr="0028509B" w:rsidRDefault="003C2020" w:rsidP="00E23188">
            <w:pPr>
              <w:pStyle w:val="TableText"/>
            </w:pPr>
            <w:r w:rsidRPr="0028509B">
              <w:t>III.iv.8.C.2.f</w:t>
            </w:r>
          </w:p>
        </w:tc>
      </w:tr>
      <w:tr w:rsidR="00A75C4E" w:rsidRPr="0028509B" w14:paraId="0FD3FBC2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162F86D4" w14:textId="3BCF6134" w:rsidR="00A75C4E" w:rsidRPr="0028509B" w:rsidRDefault="00A75C4E" w:rsidP="00A75C4E">
            <w:pPr>
              <w:tabs>
                <w:tab w:val="left" w:pos="1945"/>
              </w:tabs>
              <w:ind w:left="-29"/>
            </w:pPr>
            <w:r w:rsidRPr="0028509B">
              <w:t>To create a  new topic on protection and rating schedule changes</w:t>
            </w:r>
            <w:r w:rsidR="00157220" w:rsidRPr="0028509B">
              <w:t>.</w:t>
            </w:r>
          </w:p>
        </w:tc>
        <w:tc>
          <w:tcPr>
            <w:tcW w:w="1346" w:type="pct"/>
            <w:shd w:val="clear" w:color="auto" w:fill="auto"/>
          </w:tcPr>
          <w:p w14:paraId="385429CA" w14:textId="43F4F2EB" w:rsidR="00A75C4E" w:rsidRPr="0028509B" w:rsidRDefault="00A75C4E" w:rsidP="00E23188">
            <w:pPr>
              <w:pStyle w:val="TableText"/>
            </w:pPr>
            <w:r w:rsidRPr="0028509B">
              <w:t>III.iv.8.C.4</w:t>
            </w:r>
          </w:p>
        </w:tc>
      </w:tr>
      <w:tr w:rsidR="00A75C4E" w:rsidRPr="0028509B" w14:paraId="0D43996F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49425B7D" w14:textId="338A301D" w:rsidR="0024390A" w:rsidRPr="0028509B" w:rsidRDefault="0024390A" w:rsidP="00C87936">
            <w:pPr>
              <w:pStyle w:val="TableText"/>
            </w:pPr>
            <w:r w:rsidRPr="0028509B">
              <w:t xml:space="preserve">To relocate guidance from  </w:t>
            </w:r>
            <w:r w:rsidR="00A264B8" w:rsidRPr="0028509B">
              <w:t>T</w:t>
            </w:r>
            <w:r w:rsidRPr="0028509B">
              <w:t xml:space="preserve">opic 1 on protection  against rating schedule </w:t>
            </w:r>
            <w:r w:rsidR="00C87936" w:rsidRPr="0028509B">
              <w:t>chang es and add  material on  the provisions of 38 CFR 3.951(a)</w:t>
            </w:r>
            <w:r w:rsidR="00157220" w:rsidRPr="0028509B">
              <w:t>.</w:t>
            </w:r>
          </w:p>
        </w:tc>
        <w:tc>
          <w:tcPr>
            <w:tcW w:w="1346" w:type="pct"/>
            <w:shd w:val="clear" w:color="auto" w:fill="auto"/>
          </w:tcPr>
          <w:p w14:paraId="11BCA647" w14:textId="6379D6C6" w:rsidR="00A75C4E" w:rsidRPr="0028509B" w:rsidRDefault="00C87936" w:rsidP="00E23188">
            <w:pPr>
              <w:pStyle w:val="TableText"/>
            </w:pPr>
            <w:r w:rsidRPr="0028509B">
              <w:t>III.iv.8.C.4.a</w:t>
            </w:r>
          </w:p>
        </w:tc>
      </w:tr>
      <w:tr w:rsidR="00A75C4E" w:rsidRPr="0028509B" w14:paraId="6B69C08E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5C62DDFC" w14:textId="57649184" w:rsidR="00A75C4E" w:rsidRPr="0028509B" w:rsidRDefault="00C87936" w:rsidP="00A75C4E">
            <w:pPr>
              <w:tabs>
                <w:tab w:val="left" w:pos="1945"/>
              </w:tabs>
              <w:ind w:left="-29"/>
            </w:pPr>
            <w:r w:rsidRPr="0028509B">
              <w:t xml:space="preserve">To relocate guidance from </w:t>
            </w:r>
            <w:r w:rsidR="00A264B8" w:rsidRPr="0028509B">
              <w:t>T</w:t>
            </w:r>
            <w:r w:rsidRPr="0028509B">
              <w:t>opic 1 on protection against rating schedule changes and  add and add material on the provisions of 38 CFR 3.952.</w:t>
            </w:r>
          </w:p>
        </w:tc>
        <w:tc>
          <w:tcPr>
            <w:tcW w:w="1346" w:type="pct"/>
            <w:shd w:val="clear" w:color="auto" w:fill="auto"/>
          </w:tcPr>
          <w:p w14:paraId="57EAF299" w14:textId="0CD84605" w:rsidR="00A75C4E" w:rsidRPr="0028509B" w:rsidRDefault="00C87936" w:rsidP="00E23188">
            <w:pPr>
              <w:pStyle w:val="TableText"/>
            </w:pPr>
            <w:r w:rsidRPr="0028509B">
              <w:t>III.iv.8.C.4.b</w:t>
            </w:r>
          </w:p>
        </w:tc>
      </w:tr>
      <w:tr w:rsidR="00C87936" w:rsidRPr="0028509B" w14:paraId="3D9105BD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65E45B55" w14:textId="482F4BA5" w:rsidR="00C87936" w:rsidRPr="0028509B" w:rsidRDefault="00C87936" w:rsidP="00A75C4E">
            <w:pPr>
              <w:tabs>
                <w:tab w:val="left" w:pos="1945"/>
              </w:tabs>
              <w:ind w:left="-29"/>
            </w:pPr>
            <w:r w:rsidRPr="0028509B">
              <w:t xml:space="preserve">To </w:t>
            </w:r>
            <w:r w:rsidR="008C3840" w:rsidRPr="0028509B">
              <w:t xml:space="preserve">relocate guidance from </w:t>
            </w:r>
            <w:r w:rsidR="00A264B8" w:rsidRPr="0028509B">
              <w:t>T</w:t>
            </w:r>
            <w:r w:rsidR="008C3840" w:rsidRPr="0028509B">
              <w:t>opic 1 on reviewing evaluations after a rating schedule change</w:t>
            </w:r>
            <w:r w:rsidR="00157220" w:rsidRPr="0028509B">
              <w:t>.</w:t>
            </w:r>
          </w:p>
        </w:tc>
        <w:tc>
          <w:tcPr>
            <w:tcW w:w="1346" w:type="pct"/>
            <w:shd w:val="clear" w:color="auto" w:fill="auto"/>
          </w:tcPr>
          <w:p w14:paraId="0490AEDD" w14:textId="6AAC1C55" w:rsidR="00C87936" w:rsidRPr="0028509B" w:rsidRDefault="008C3840" w:rsidP="00E23188">
            <w:pPr>
              <w:pStyle w:val="TableText"/>
            </w:pPr>
            <w:r w:rsidRPr="0028509B">
              <w:t>III.iv.8.C.4.c</w:t>
            </w:r>
          </w:p>
        </w:tc>
      </w:tr>
      <w:tr w:rsidR="00A75C4E" w:rsidRPr="0028509B" w14:paraId="10995118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68155BAB" w14:textId="6A17D679" w:rsidR="00A75C4E" w:rsidRPr="0028509B" w:rsidRDefault="0024390A" w:rsidP="00A75C4E">
            <w:pPr>
              <w:tabs>
                <w:tab w:val="left" w:pos="1945"/>
              </w:tabs>
              <w:ind w:left="-29"/>
            </w:pPr>
            <w:r w:rsidRPr="0028509B">
              <w:t>To create a new  topic on other protection issues</w:t>
            </w:r>
            <w:r w:rsidR="00157220" w:rsidRPr="0028509B">
              <w:t>.</w:t>
            </w:r>
          </w:p>
        </w:tc>
        <w:tc>
          <w:tcPr>
            <w:tcW w:w="1346" w:type="pct"/>
            <w:shd w:val="clear" w:color="auto" w:fill="auto"/>
          </w:tcPr>
          <w:p w14:paraId="166A8C69" w14:textId="1E8E5EB2" w:rsidR="00A75C4E" w:rsidRPr="0028509B" w:rsidRDefault="0024390A" w:rsidP="00E23188">
            <w:pPr>
              <w:pStyle w:val="TableText"/>
            </w:pPr>
            <w:r w:rsidRPr="0028509B">
              <w:t>III.iv.8.C.5</w:t>
            </w:r>
          </w:p>
        </w:tc>
      </w:tr>
      <w:tr w:rsidR="00A75C4E" w:rsidRPr="0028509B" w14:paraId="4469F05C" w14:textId="77777777" w:rsidTr="00A264B8">
        <w:trPr>
          <w:trHeight w:val="180"/>
        </w:trPr>
        <w:tc>
          <w:tcPr>
            <w:tcW w:w="3654" w:type="pct"/>
            <w:shd w:val="clear" w:color="auto" w:fill="auto"/>
          </w:tcPr>
          <w:p w14:paraId="68BF9F89" w14:textId="5975D8D9" w:rsidR="00A75C4E" w:rsidRPr="0028509B" w:rsidRDefault="0024390A" w:rsidP="0024390A">
            <w:pPr>
              <w:tabs>
                <w:tab w:val="left" w:pos="1945"/>
              </w:tabs>
              <w:ind w:left="-29"/>
            </w:pPr>
            <w:r w:rsidRPr="0028509B">
              <w:t xml:space="preserve">To relocate guidance from </w:t>
            </w:r>
            <w:r w:rsidR="00A264B8" w:rsidRPr="0028509B">
              <w:t>T</w:t>
            </w:r>
            <w:r w:rsidRPr="0028509B">
              <w:t>opic 1 on inapplicability of protection to hospital rate reductions under 38 CFR 3.552</w:t>
            </w:r>
            <w:r w:rsidR="00157220" w:rsidRPr="0028509B">
              <w:t>.</w:t>
            </w:r>
          </w:p>
        </w:tc>
        <w:tc>
          <w:tcPr>
            <w:tcW w:w="1346" w:type="pct"/>
            <w:shd w:val="clear" w:color="auto" w:fill="auto"/>
          </w:tcPr>
          <w:p w14:paraId="1A583159" w14:textId="696E8557" w:rsidR="00A75C4E" w:rsidRPr="0028509B" w:rsidRDefault="0024390A" w:rsidP="00E23188">
            <w:pPr>
              <w:pStyle w:val="TableText"/>
            </w:pPr>
            <w:r w:rsidRPr="0028509B">
              <w:t>III.iv.8.C.5.a</w:t>
            </w:r>
          </w:p>
        </w:tc>
      </w:tr>
    </w:tbl>
    <w:p w14:paraId="1CC3D99A" w14:textId="77777777" w:rsidR="00504F80" w:rsidRPr="0028509B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8509B" w14:paraId="3F2C7A32" w14:textId="77777777" w:rsidTr="00237C22">
        <w:tc>
          <w:tcPr>
            <w:tcW w:w="1728" w:type="dxa"/>
          </w:tcPr>
          <w:p w14:paraId="207FADE2" w14:textId="77777777" w:rsidR="00504F80" w:rsidRPr="0028509B" w:rsidRDefault="00504F80" w:rsidP="00237C22">
            <w:pPr>
              <w:pStyle w:val="Heading5"/>
              <w:rPr>
                <w:sz w:val="24"/>
              </w:rPr>
            </w:pPr>
            <w:r w:rsidRPr="0028509B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D3E6EC6" w14:textId="77777777" w:rsidR="00504F80" w:rsidRPr="0028509B" w:rsidRDefault="00504F80" w:rsidP="00237C22">
            <w:pPr>
              <w:pStyle w:val="BlockText"/>
            </w:pPr>
            <w:r w:rsidRPr="0028509B">
              <w:t>None</w:t>
            </w:r>
          </w:p>
        </w:tc>
      </w:tr>
    </w:tbl>
    <w:p w14:paraId="2858A8F5" w14:textId="77777777" w:rsidR="00504F80" w:rsidRPr="0028509B" w:rsidRDefault="00504F80" w:rsidP="00504F80">
      <w:pPr>
        <w:pStyle w:val="BlockLine"/>
      </w:pPr>
      <w:r w:rsidRPr="0028509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28509B" w14:paraId="615FF2DB" w14:textId="77777777" w:rsidTr="00237C22">
        <w:tc>
          <w:tcPr>
            <w:tcW w:w="1728" w:type="dxa"/>
          </w:tcPr>
          <w:p w14:paraId="6C567BD8" w14:textId="77777777" w:rsidR="00504F80" w:rsidRPr="0028509B" w:rsidRDefault="00504F80" w:rsidP="00237C22">
            <w:pPr>
              <w:pStyle w:val="Heading5"/>
              <w:rPr>
                <w:sz w:val="24"/>
              </w:rPr>
            </w:pPr>
            <w:r w:rsidRPr="0028509B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CD9FA30" w14:textId="77777777" w:rsidR="00504F80" w:rsidRPr="0028509B" w:rsidRDefault="00504F80" w:rsidP="00237C22">
            <w:pPr>
              <w:pStyle w:val="BlockText"/>
            </w:pPr>
            <w:r w:rsidRPr="0028509B">
              <w:t>By Direction of the Under Secretary for Benefits</w:t>
            </w:r>
          </w:p>
        </w:tc>
      </w:tr>
    </w:tbl>
    <w:p w14:paraId="38F49938" w14:textId="77777777" w:rsidR="00504F80" w:rsidRPr="0028509B" w:rsidRDefault="00504F80" w:rsidP="00504F80">
      <w:pPr>
        <w:pStyle w:val="ContinuedOnNextPa"/>
      </w:pPr>
      <w:r w:rsidRPr="0028509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38C715" w14:textId="77777777" w:rsidTr="00237C22">
        <w:tc>
          <w:tcPr>
            <w:tcW w:w="1728" w:type="dxa"/>
          </w:tcPr>
          <w:p w14:paraId="1AA6D522" w14:textId="77777777" w:rsidR="00504F80" w:rsidRPr="0028509B" w:rsidRDefault="00504F80" w:rsidP="00237C22">
            <w:pPr>
              <w:pStyle w:val="Heading5"/>
              <w:rPr>
                <w:sz w:val="24"/>
              </w:rPr>
            </w:pPr>
            <w:r w:rsidRPr="0028509B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D4B4063" w14:textId="77777777" w:rsidR="00504F80" w:rsidRPr="0028509B" w:rsidRDefault="00504F80" w:rsidP="00237C22">
            <w:pPr>
              <w:pStyle w:val="BlockText"/>
              <w:rPr>
                <w:sz w:val="18"/>
              </w:rPr>
            </w:pPr>
          </w:p>
          <w:p w14:paraId="1AF1D0F0" w14:textId="77777777" w:rsidR="00504F80" w:rsidRPr="0028509B" w:rsidRDefault="00504F80" w:rsidP="00237C22">
            <w:pPr>
              <w:pStyle w:val="MemoLine"/>
              <w:ind w:left="-18" w:right="612"/>
              <w:rPr>
                <w:sz w:val="18"/>
              </w:rPr>
            </w:pPr>
          </w:p>
          <w:p w14:paraId="49E938CA" w14:textId="77777777" w:rsidR="00504F80" w:rsidRPr="0028509B" w:rsidRDefault="00504F80" w:rsidP="00237C22">
            <w:pPr>
              <w:rPr>
                <w:szCs w:val="20"/>
              </w:rPr>
            </w:pPr>
            <w:r w:rsidRPr="0028509B">
              <w:t>Thomas J. Murphy, Director</w:t>
            </w:r>
          </w:p>
          <w:p w14:paraId="133480AA" w14:textId="77777777" w:rsidR="00504F80" w:rsidRPr="00B4163A" w:rsidRDefault="00504F80" w:rsidP="00237C22">
            <w:pPr>
              <w:pStyle w:val="BlockText"/>
            </w:pPr>
            <w:r w:rsidRPr="0028509B">
              <w:t>Compensation Service</w:t>
            </w:r>
          </w:p>
        </w:tc>
      </w:tr>
    </w:tbl>
    <w:p w14:paraId="7D3A5BD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08F1EFC" w14:textId="77777777" w:rsidTr="00237C22">
        <w:tc>
          <w:tcPr>
            <w:tcW w:w="1728" w:type="dxa"/>
          </w:tcPr>
          <w:p w14:paraId="42E2914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8EB93B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823F9EE" w14:textId="77777777" w:rsidR="008F779E" w:rsidRDefault="008F779E" w:rsidP="008F779E">
      <w:pPr>
        <w:tabs>
          <w:tab w:val="left" w:pos="9360"/>
        </w:tabs>
        <w:ind w:left="1714"/>
      </w:pPr>
      <w:r>
        <w:rPr>
          <w:u w:val="single"/>
        </w:rPr>
        <w:tab/>
      </w:r>
    </w:p>
    <w:p w14:paraId="4D3FA864" w14:textId="6CEB6AF6" w:rsidR="007D5B97" w:rsidRDefault="00C24D50" w:rsidP="008F779E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915B1A">
        <w:fldChar w:fldCharType="begin">
          <w:fldData xml:space="preserve">RABvAGMAVABlAG0AcAAxAFYAYQByAFQAcgBhAGQAaQB0AGkAbwBuAGEAbAA=
</w:fldData>
        </w:fldChar>
      </w:r>
      <w:r w:rsidR="00915B1A">
        <w:instrText xml:space="preserve"> ADDIN  \* MERGEFORMAT </w:instrText>
      </w:r>
      <w:r w:rsidR="00915B1A">
        <w:fldChar w:fldCharType="end"/>
      </w:r>
      <w:r w:rsidR="00915B1A">
        <w:fldChar w:fldCharType="begin">
          <w:fldData xml:space="preserve">RgBvAG4AdABTAGUAdABGAG8AbgB0AFMAZQB0AGkAbQBpAHMAdAB5AGwAZQBzAC4AeABtAGwA
</w:fldData>
        </w:fldChar>
      </w:r>
      <w:r w:rsidR="00915B1A">
        <w:instrText xml:space="preserve"> ADDIN  \* MERGEFORMAT </w:instrText>
      </w:r>
      <w:r w:rsidR="00915B1A">
        <w:fldChar w:fldCharType="end"/>
      </w:r>
      <w:r w:rsidR="00663A6D">
        <w:fldChar w:fldCharType="begin">
          <w:fldData xml:space="preserve">RABvAGMAVABlAG0AcAAxAFYAYQByAFQAcgBhAGQAaQB0AGkAbwBuAGEAbAA=
</w:fldData>
        </w:fldChar>
      </w:r>
      <w:r w:rsidR="00663A6D">
        <w:instrText xml:space="preserve"> ADDIN  \* MERGEFORMAT </w:instrText>
      </w:r>
      <w:r w:rsidR="00663A6D">
        <w:fldChar w:fldCharType="end"/>
      </w:r>
      <w:r w:rsidR="00663A6D">
        <w:fldChar w:fldCharType="begin">
          <w:fldData xml:space="preserve">RgBvAG4AdABTAGUAdABGAG8AbgB0AFMAZQB0AGkAbQBpAHMAdAB5AGwAZQBzAC4AeABtAGwA
</w:fldData>
        </w:fldChar>
      </w:r>
      <w:r w:rsidR="00663A6D">
        <w:instrText xml:space="preserve"> ADDIN  \* MERGEFORMAT </w:instrText>
      </w:r>
      <w:r w:rsidR="00663A6D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F47F" w14:textId="77777777" w:rsidR="007C3DC1" w:rsidRDefault="007C3DC1" w:rsidP="00C765C7">
      <w:r>
        <w:separator/>
      </w:r>
    </w:p>
  </w:endnote>
  <w:endnote w:type="continuationSeparator" w:id="0">
    <w:p w14:paraId="677F9C3A" w14:textId="77777777" w:rsidR="007C3DC1" w:rsidRDefault="007C3DC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8076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11AF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677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A6D">
      <w:rPr>
        <w:rStyle w:val="PageNumber"/>
        <w:noProof/>
      </w:rPr>
      <w:t>ii</w:t>
    </w:r>
    <w:r>
      <w:rPr>
        <w:rStyle w:val="PageNumber"/>
      </w:rPr>
      <w:fldChar w:fldCharType="end"/>
    </w:r>
  </w:p>
  <w:p w14:paraId="0802B04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252E9" w14:textId="77777777" w:rsidR="007C3DC1" w:rsidRDefault="007C3DC1" w:rsidP="00C765C7">
      <w:r>
        <w:separator/>
      </w:r>
    </w:p>
  </w:footnote>
  <w:footnote w:type="continuationSeparator" w:id="0">
    <w:p w14:paraId="27A3A5CA" w14:textId="77777777" w:rsidR="007C3DC1" w:rsidRDefault="007C3DC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fspro_2columns"/>
      </v:shape>
    </w:pict>
  </w:numPicBullet>
  <w:numPicBullet w:numPicBulletId="1">
    <w:pict>
      <v:shape id="_x0000_i1038" type="#_x0000_t75" style="width:12pt;height:12pt" o:bullet="t">
        <v:imagedata r:id="rId2" o:title="advanced"/>
      </v:shape>
    </w:pict>
  </w:numPicBullet>
  <w:numPicBullet w:numPicBulletId="2">
    <w:pict>
      <v:shape id="_x0000_i1039" type="#_x0000_t75" style="width:12pt;height:12pt" o:bullet="t">
        <v:imagedata r:id="rId3" o:title="continue"/>
      </v:shape>
    </w:pict>
  </w:numPicBullet>
  <w:numPicBullet w:numPicBulletId="3">
    <w:pict>
      <v:shape id="_x0000_i1040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64585"/>
    <w:multiLevelType w:val="hybridMultilevel"/>
    <w:tmpl w:val="8F0AE5C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1B52B5"/>
    <w:multiLevelType w:val="hybridMultilevel"/>
    <w:tmpl w:val="857A2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89F4DA7"/>
    <w:multiLevelType w:val="hybridMultilevel"/>
    <w:tmpl w:val="86BC4CAE"/>
    <w:lvl w:ilvl="0" w:tplc="8E9459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E27129"/>
    <w:multiLevelType w:val="hybridMultilevel"/>
    <w:tmpl w:val="EC447784"/>
    <w:lvl w:ilvl="0" w:tplc="E40E8B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3359F"/>
    <w:multiLevelType w:val="hybridMultilevel"/>
    <w:tmpl w:val="C234F118"/>
    <w:lvl w:ilvl="0" w:tplc="47CCAE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41403"/>
    <w:multiLevelType w:val="hybridMultilevel"/>
    <w:tmpl w:val="B672CB64"/>
    <w:lvl w:ilvl="0" w:tplc="8E9459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5C44083"/>
    <w:multiLevelType w:val="hybridMultilevel"/>
    <w:tmpl w:val="5BBCD164"/>
    <w:lvl w:ilvl="0" w:tplc="8E9459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95BD8"/>
    <w:multiLevelType w:val="hybridMultilevel"/>
    <w:tmpl w:val="51BE6282"/>
    <w:lvl w:ilvl="0" w:tplc="8E9459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6"/>
  </w:num>
  <w:num w:numId="15">
    <w:abstractNumId w:val="7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25C05"/>
    <w:rsid w:val="00030639"/>
    <w:rsid w:val="00047B96"/>
    <w:rsid w:val="00093228"/>
    <w:rsid w:val="000A7776"/>
    <w:rsid w:val="00100433"/>
    <w:rsid w:val="0010215F"/>
    <w:rsid w:val="00106EEF"/>
    <w:rsid w:val="00123973"/>
    <w:rsid w:val="001253ED"/>
    <w:rsid w:val="00157220"/>
    <w:rsid w:val="00186D46"/>
    <w:rsid w:val="001B4428"/>
    <w:rsid w:val="001C3AE3"/>
    <w:rsid w:val="001C3EB5"/>
    <w:rsid w:val="001D4B50"/>
    <w:rsid w:val="002041BE"/>
    <w:rsid w:val="002220F1"/>
    <w:rsid w:val="00237C22"/>
    <w:rsid w:val="00240624"/>
    <w:rsid w:val="0024390A"/>
    <w:rsid w:val="0028509B"/>
    <w:rsid w:val="002A1D3E"/>
    <w:rsid w:val="002A259E"/>
    <w:rsid w:val="002B7A7E"/>
    <w:rsid w:val="002F5B21"/>
    <w:rsid w:val="002F7397"/>
    <w:rsid w:val="00332B80"/>
    <w:rsid w:val="00341981"/>
    <w:rsid w:val="00366D36"/>
    <w:rsid w:val="00386999"/>
    <w:rsid w:val="003B2927"/>
    <w:rsid w:val="003C2020"/>
    <w:rsid w:val="003D47AF"/>
    <w:rsid w:val="003E2CA2"/>
    <w:rsid w:val="003F3021"/>
    <w:rsid w:val="003F6048"/>
    <w:rsid w:val="003F672A"/>
    <w:rsid w:val="0040015A"/>
    <w:rsid w:val="00401EAD"/>
    <w:rsid w:val="0040351B"/>
    <w:rsid w:val="0041026E"/>
    <w:rsid w:val="0041387F"/>
    <w:rsid w:val="00421403"/>
    <w:rsid w:val="00422836"/>
    <w:rsid w:val="00435BA5"/>
    <w:rsid w:val="00450FD6"/>
    <w:rsid w:val="00455EF7"/>
    <w:rsid w:val="004562CC"/>
    <w:rsid w:val="00471ECA"/>
    <w:rsid w:val="0047341E"/>
    <w:rsid w:val="00482FA3"/>
    <w:rsid w:val="0048559D"/>
    <w:rsid w:val="00494175"/>
    <w:rsid w:val="004A5971"/>
    <w:rsid w:val="004F375E"/>
    <w:rsid w:val="00504F80"/>
    <w:rsid w:val="00506485"/>
    <w:rsid w:val="00513DA7"/>
    <w:rsid w:val="00516C82"/>
    <w:rsid w:val="00566144"/>
    <w:rsid w:val="005908F7"/>
    <w:rsid w:val="00594258"/>
    <w:rsid w:val="005E4363"/>
    <w:rsid w:val="00600DC7"/>
    <w:rsid w:val="0062068D"/>
    <w:rsid w:val="006317AA"/>
    <w:rsid w:val="006473C3"/>
    <w:rsid w:val="00663A6D"/>
    <w:rsid w:val="006708D7"/>
    <w:rsid w:val="006837E0"/>
    <w:rsid w:val="006B7262"/>
    <w:rsid w:val="006C3E5F"/>
    <w:rsid w:val="006C48FF"/>
    <w:rsid w:val="006D10E5"/>
    <w:rsid w:val="006D52FE"/>
    <w:rsid w:val="006F31F6"/>
    <w:rsid w:val="006F6D37"/>
    <w:rsid w:val="00724248"/>
    <w:rsid w:val="00732186"/>
    <w:rsid w:val="00737049"/>
    <w:rsid w:val="007A0C5F"/>
    <w:rsid w:val="007C3DC1"/>
    <w:rsid w:val="007D5B97"/>
    <w:rsid w:val="007E5515"/>
    <w:rsid w:val="0080590C"/>
    <w:rsid w:val="008144E7"/>
    <w:rsid w:val="00822A16"/>
    <w:rsid w:val="00832653"/>
    <w:rsid w:val="0086475B"/>
    <w:rsid w:val="00865F36"/>
    <w:rsid w:val="00875AFA"/>
    <w:rsid w:val="008801F0"/>
    <w:rsid w:val="0088609E"/>
    <w:rsid w:val="008B4CB5"/>
    <w:rsid w:val="008C3840"/>
    <w:rsid w:val="008C723F"/>
    <w:rsid w:val="008D12C3"/>
    <w:rsid w:val="008D458B"/>
    <w:rsid w:val="008E22CF"/>
    <w:rsid w:val="008E5824"/>
    <w:rsid w:val="008E589A"/>
    <w:rsid w:val="008F14EA"/>
    <w:rsid w:val="008F1D5B"/>
    <w:rsid w:val="008F779E"/>
    <w:rsid w:val="00915B1A"/>
    <w:rsid w:val="00916AE6"/>
    <w:rsid w:val="00933BDB"/>
    <w:rsid w:val="00945950"/>
    <w:rsid w:val="009769CD"/>
    <w:rsid w:val="00990615"/>
    <w:rsid w:val="00997D98"/>
    <w:rsid w:val="009C22C8"/>
    <w:rsid w:val="009E6E1A"/>
    <w:rsid w:val="00A264B8"/>
    <w:rsid w:val="00A315CB"/>
    <w:rsid w:val="00A3579D"/>
    <w:rsid w:val="00A469C9"/>
    <w:rsid w:val="00A5116D"/>
    <w:rsid w:val="00A55356"/>
    <w:rsid w:val="00A557BB"/>
    <w:rsid w:val="00A75C4E"/>
    <w:rsid w:val="00A8520D"/>
    <w:rsid w:val="00AC2993"/>
    <w:rsid w:val="00AD0EDC"/>
    <w:rsid w:val="00AF2CD6"/>
    <w:rsid w:val="00AF78ED"/>
    <w:rsid w:val="00B0548B"/>
    <w:rsid w:val="00B30D2F"/>
    <w:rsid w:val="00B50AD7"/>
    <w:rsid w:val="00B64F2F"/>
    <w:rsid w:val="00B93A3C"/>
    <w:rsid w:val="00B96287"/>
    <w:rsid w:val="00BA51F8"/>
    <w:rsid w:val="00BB3345"/>
    <w:rsid w:val="00BC0F05"/>
    <w:rsid w:val="00BF6CC7"/>
    <w:rsid w:val="00BF7FE3"/>
    <w:rsid w:val="00C0404B"/>
    <w:rsid w:val="00C24D50"/>
    <w:rsid w:val="00C273AD"/>
    <w:rsid w:val="00C765C7"/>
    <w:rsid w:val="00C87936"/>
    <w:rsid w:val="00CD2D08"/>
    <w:rsid w:val="00CD3876"/>
    <w:rsid w:val="00D33A6E"/>
    <w:rsid w:val="00D36508"/>
    <w:rsid w:val="00D57B91"/>
    <w:rsid w:val="00D61497"/>
    <w:rsid w:val="00D71FCA"/>
    <w:rsid w:val="00D77146"/>
    <w:rsid w:val="00D823AF"/>
    <w:rsid w:val="00D87741"/>
    <w:rsid w:val="00D9207B"/>
    <w:rsid w:val="00DA11C2"/>
    <w:rsid w:val="00DB074F"/>
    <w:rsid w:val="00DB2902"/>
    <w:rsid w:val="00DB743E"/>
    <w:rsid w:val="00DC4F51"/>
    <w:rsid w:val="00DE0E35"/>
    <w:rsid w:val="00DF44AC"/>
    <w:rsid w:val="00E23188"/>
    <w:rsid w:val="00E2529E"/>
    <w:rsid w:val="00E36906"/>
    <w:rsid w:val="00E55207"/>
    <w:rsid w:val="00E648E9"/>
    <w:rsid w:val="00E67B12"/>
    <w:rsid w:val="00E964FD"/>
    <w:rsid w:val="00EC5BEE"/>
    <w:rsid w:val="00ED4D5E"/>
    <w:rsid w:val="00ED71C8"/>
    <w:rsid w:val="00F006B2"/>
    <w:rsid w:val="00F21884"/>
    <w:rsid w:val="00F43DFA"/>
    <w:rsid w:val="00F87670"/>
    <w:rsid w:val="00F90609"/>
    <w:rsid w:val="00FB6AD1"/>
    <w:rsid w:val="00FC12AF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C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C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14C0A4-25E8-4BCC-9225-ADBB75C54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253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17</cp:revision>
  <dcterms:created xsi:type="dcterms:W3CDTF">2015-01-22T16:08:00Z</dcterms:created>
  <dcterms:modified xsi:type="dcterms:W3CDTF">2015-04-22T15:29:00Z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