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B251" w14:textId="77777777" w:rsidR="00CC6D53" w:rsidRPr="006740B6" w:rsidRDefault="00AA02A6">
      <w:pPr>
        <w:pStyle w:val="Heading2"/>
      </w:pPr>
      <w:r w:rsidRPr="006740B6">
        <w:t>Section C.  Protected Ratings</w:t>
      </w:r>
    </w:p>
    <w:p w14:paraId="21EEB252" w14:textId="000DABE9" w:rsidR="00CC6D53" w:rsidRPr="006740B6" w:rsidRDefault="00AA02A6">
      <w:pPr>
        <w:pStyle w:val="Heading4"/>
      </w:pPr>
      <w:r w:rsidRPr="006740B6">
        <w:t>Overview</w:t>
      </w:r>
    </w:p>
    <w:p w14:paraId="16A2D896" w14:textId="56C44F39"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56" w14:textId="77777777">
        <w:trPr>
          <w:cantSplit/>
        </w:trPr>
        <w:tc>
          <w:tcPr>
            <w:tcW w:w="1728" w:type="dxa"/>
          </w:tcPr>
          <w:p w14:paraId="21EEB254" w14:textId="6FBBE783" w:rsidR="00CC6D53" w:rsidRPr="006740B6" w:rsidRDefault="00AB2FC6">
            <w:pPr>
              <w:pStyle w:val="Heading5"/>
            </w:pPr>
            <w:r w:rsidRPr="006740B6">
              <w:t>In T</w:t>
            </w:r>
            <w:r w:rsidR="00AA02A6" w:rsidRPr="006740B6">
              <w:t>his Section</w:t>
            </w:r>
          </w:p>
        </w:tc>
        <w:tc>
          <w:tcPr>
            <w:tcW w:w="7740" w:type="dxa"/>
          </w:tcPr>
          <w:p w14:paraId="21EEB255" w14:textId="77777777" w:rsidR="00CC6D53" w:rsidRPr="006740B6" w:rsidRDefault="00AA02A6">
            <w:pPr>
              <w:pStyle w:val="BlockText"/>
            </w:pPr>
            <w:r w:rsidRPr="006740B6">
              <w:t>This section contains the following topics:</w:t>
            </w:r>
          </w:p>
        </w:tc>
      </w:tr>
    </w:tbl>
    <w:p w14:paraId="21EEB257" w14:textId="77777777" w:rsidR="00CC6D53" w:rsidRPr="006740B6" w:rsidRDefault="00CC6D53"/>
    <w:tbl>
      <w:tblPr>
        <w:tblW w:w="0" w:type="auto"/>
        <w:tblInd w:w="1800" w:type="dxa"/>
        <w:tblLayout w:type="fixed"/>
        <w:tblCellMar>
          <w:left w:w="80" w:type="dxa"/>
          <w:right w:w="80" w:type="dxa"/>
        </w:tblCellMar>
        <w:tblLook w:val="0000" w:firstRow="0" w:lastRow="0" w:firstColumn="0" w:lastColumn="0" w:noHBand="0" w:noVBand="0"/>
      </w:tblPr>
      <w:tblGrid>
        <w:gridCol w:w="1340"/>
        <w:gridCol w:w="6285"/>
      </w:tblGrid>
      <w:tr w:rsidR="005B4056" w:rsidRPr="006740B6" w14:paraId="21EEB25B" w14:textId="77777777" w:rsidTr="004359A5">
        <w:trPr>
          <w:cantSplit/>
          <w:trHeight w:val="310"/>
        </w:trPr>
        <w:tc>
          <w:tcPr>
            <w:tcW w:w="1340" w:type="dxa"/>
            <w:tcBorders>
              <w:top w:val="single" w:sz="6" w:space="0" w:color="auto"/>
              <w:left w:val="single" w:sz="6" w:space="0" w:color="auto"/>
              <w:bottom w:val="single" w:sz="6" w:space="0" w:color="auto"/>
              <w:right w:val="single" w:sz="6" w:space="0" w:color="auto"/>
            </w:tcBorders>
          </w:tcPr>
          <w:p w14:paraId="21EEB258" w14:textId="77777777" w:rsidR="005B4056" w:rsidRPr="006740B6" w:rsidRDefault="005B4056">
            <w:pPr>
              <w:pStyle w:val="TableHeaderText"/>
            </w:pPr>
            <w:r w:rsidRPr="006740B6">
              <w:t>Topic</w:t>
            </w:r>
          </w:p>
        </w:tc>
        <w:tc>
          <w:tcPr>
            <w:tcW w:w="6285" w:type="dxa"/>
            <w:tcBorders>
              <w:top w:val="single" w:sz="6" w:space="0" w:color="auto"/>
              <w:left w:val="single" w:sz="6" w:space="0" w:color="auto"/>
              <w:bottom w:val="single" w:sz="6" w:space="0" w:color="auto"/>
              <w:right w:val="single" w:sz="6" w:space="0" w:color="auto"/>
            </w:tcBorders>
          </w:tcPr>
          <w:p w14:paraId="21EEB259" w14:textId="77777777" w:rsidR="005B4056" w:rsidRPr="006740B6" w:rsidRDefault="005B4056">
            <w:pPr>
              <w:pStyle w:val="TableHeaderText"/>
            </w:pPr>
            <w:r w:rsidRPr="006740B6">
              <w:t>Topic Name</w:t>
            </w:r>
          </w:p>
        </w:tc>
      </w:tr>
      <w:tr w:rsidR="005B4056" w:rsidRPr="006740B6" w14:paraId="21EEB25F" w14:textId="77777777" w:rsidTr="004359A5">
        <w:trPr>
          <w:cantSplit/>
          <w:trHeight w:val="606"/>
        </w:trPr>
        <w:tc>
          <w:tcPr>
            <w:tcW w:w="1340" w:type="dxa"/>
            <w:tcBorders>
              <w:top w:val="single" w:sz="6" w:space="0" w:color="auto"/>
              <w:left w:val="single" w:sz="6" w:space="0" w:color="auto"/>
              <w:bottom w:val="single" w:sz="6" w:space="0" w:color="auto"/>
              <w:right w:val="single" w:sz="6" w:space="0" w:color="auto"/>
            </w:tcBorders>
          </w:tcPr>
          <w:p w14:paraId="21EEB25C" w14:textId="1667CED8" w:rsidR="005B4056" w:rsidRPr="006740B6" w:rsidRDefault="005B4056" w:rsidP="00833C99">
            <w:pPr>
              <w:pStyle w:val="TableText"/>
              <w:jc w:val="center"/>
            </w:pPr>
            <w:r w:rsidRPr="006740B6">
              <w:t>1</w:t>
            </w:r>
          </w:p>
        </w:tc>
        <w:tc>
          <w:tcPr>
            <w:tcW w:w="6285" w:type="dxa"/>
            <w:tcBorders>
              <w:top w:val="single" w:sz="6" w:space="0" w:color="auto"/>
              <w:left w:val="single" w:sz="6" w:space="0" w:color="auto"/>
              <w:bottom w:val="single" w:sz="6" w:space="0" w:color="auto"/>
              <w:right w:val="single" w:sz="6" w:space="0" w:color="auto"/>
            </w:tcBorders>
          </w:tcPr>
          <w:p w14:paraId="21EEB25D" w14:textId="1B8ED307" w:rsidR="005B4056" w:rsidRPr="006740B6" w:rsidRDefault="00645387" w:rsidP="0030122C">
            <w:pPr>
              <w:pStyle w:val="TableText"/>
            </w:pPr>
            <w:r w:rsidRPr="006740B6">
              <w:t>Twenty</w:t>
            </w:r>
            <w:r w:rsidR="005C1271" w:rsidRPr="006740B6">
              <w:t>-</w:t>
            </w:r>
            <w:r w:rsidR="001D7BC4" w:rsidRPr="006740B6">
              <w:t xml:space="preserve">Year </w:t>
            </w:r>
            <w:r w:rsidR="005C1271" w:rsidRPr="006740B6">
              <w:t xml:space="preserve">Protection of </w:t>
            </w:r>
            <w:r w:rsidR="00AB53D8" w:rsidRPr="006740B6">
              <w:t xml:space="preserve">Compensation </w:t>
            </w:r>
            <w:r w:rsidR="005B4056" w:rsidRPr="006740B6">
              <w:t>Evaluations Under 38 CFR 3.951</w:t>
            </w:r>
            <w:r w:rsidR="0030122C" w:rsidRPr="006740B6">
              <w:t>(b)</w:t>
            </w:r>
            <w:r w:rsidR="005B4056" w:rsidRPr="006740B6">
              <w:t xml:space="preserve"> </w:t>
            </w:r>
          </w:p>
        </w:tc>
      </w:tr>
      <w:tr w:rsidR="005B4056" w:rsidRPr="006740B6" w14:paraId="21EEB263" w14:textId="77777777" w:rsidTr="004359A5">
        <w:trPr>
          <w:cantSplit/>
          <w:trHeight w:val="620"/>
        </w:trPr>
        <w:tc>
          <w:tcPr>
            <w:tcW w:w="1340" w:type="dxa"/>
            <w:tcBorders>
              <w:top w:val="single" w:sz="6" w:space="0" w:color="auto"/>
              <w:left w:val="single" w:sz="6" w:space="0" w:color="auto"/>
              <w:bottom w:val="single" w:sz="6" w:space="0" w:color="auto"/>
              <w:right w:val="single" w:sz="6" w:space="0" w:color="auto"/>
            </w:tcBorders>
          </w:tcPr>
          <w:p w14:paraId="21EEB260" w14:textId="2776E8C2" w:rsidR="005B4056" w:rsidRPr="006740B6" w:rsidRDefault="005B4056" w:rsidP="00824DA1">
            <w:pPr>
              <w:pStyle w:val="TableText"/>
              <w:jc w:val="center"/>
            </w:pPr>
            <w:r w:rsidRPr="006740B6">
              <w:t>2</w:t>
            </w:r>
          </w:p>
        </w:tc>
        <w:tc>
          <w:tcPr>
            <w:tcW w:w="6285" w:type="dxa"/>
            <w:tcBorders>
              <w:top w:val="single" w:sz="6" w:space="0" w:color="auto"/>
              <w:left w:val="single" w:sz="6" w:space="0" w:color="auto"/>
              <w:bottom w:val="single" w:sz="6" w:space="0" w:color="auto"/>
              <w:right w:val="single" w:sz="6" w:space="0" w:color="auto"/>
            </w:tcBorders>
          </w:tcPr>
          <w:p w14:paraId="21EEB261" w14:textId="3C12E65A" w:rsidR="005B4056" w:rsidRPr="006740B6" w:rsidRDefault="00645387">
            <w:pPr>
              <w:pStyle w:val="TableText"/>
            </w:pPr>
            <w:r w:rsidRPr="006740B6">
              <w:t>Ten</w:t>
            </w:r>
            <w:r w:rsidR="001D7BC4" w:rsidRPr="006740B6">
              <w:t xml:space="preserve">-Year </w:t>
            </w:r>
            <w:r w:rsidR="005B4056" w:rsidRPr="006740B6">
              <w:t xml:space="preserve">Protected Service Connection </w:t>
            </w:r>
            <w:r w:rsidR="001822D6" w:rsidRPr="006740B6">
              <w:t xml:space="preserve">(SC) </w:t>
            </w:r>
            <w:r w:rsidR="005B4056" w:rsidRPr="006740B6">
              <w:t>Under 38 CFR 3.957</w:t>
            </w:r>
          </w:p>
        </w:tc>
      </w:tr>
      <w:tr w:rsidR="005B4056" w:rsidRPr="006740B6" w14:paraId="21EEB267" w14:textId="77777777" w:rsidTr="004359A5">
        <w:trPr>
          <w:cantSplit/>
          <w:trHeight w:val="606"/>
        </w:trPr>
        <w:tc>
          <w:tcPr>
            <w:tcW w:w="1340" w:type="dxa"/>
            <w:tcBorders>
              <w:top w:val="single" w:sz="6" w:space="0" w:color="auto"/>
              <w:left w:val="single" w:sz="6" w:space="0" w:color="auto"/>
              <w:bottom w:val="single" w:sz="6" w:space="0" w:color="auto"/>
              <w:right w:val="single" w:sz="6" w:space="0" w:color="auto"/>
            </w:tcBorders>
          </w:tcPr>
          <w:p w14:paraId="21EEB264" w14:textId="17CC1530" w:rsidR="005B4056" w:rsidRPr="006740B6" w:rsidRDefault="005B4056" w:rsidP="00824DA1">
            <w:pPr>
              <w:pStyle w:val="TableText"/>
              <w:jc w:val="center"/>
            </w:pPr>
            <w:r w:rsidRPr="006740B6">
              <w:t>3</w:t>
            </w:r>
          </w:p>
        </w:tc>
        <w:tc>
          <w:tcPr>
            <w:tcW w:w="6285" w:type="dxa"/>
            <w:tcBorders>
              <w:top w:val="single" w:sz="6" w:space="0" w:color="auto"/>
              <w:left w:val="single" w:sz="6" w:space="0" w:color="auto"/>
              <w:bottom w:val="single" w:sz="6" w:space="0" w:color="auto"/>
              <w:right w:val="single" w:sz="6" w:space="0" w:color="auto"/>
            </w:tcBorders>
          </w:tcPr>
          <w:p w14:paraId="21EEB265" w14:textId="584CB2DE" w:rsidR="005B4056" w:rsidRPr="006740B6" w:rsidRDefault="00645387" w:rsidP="00645387">
            <w:pPr>
              <w:pStyle w:val="TableText"/>
            </w:pPr>
            <w:r w:rsidRPr="006740B6">
              <w:t>Twenty</w:t>
            </w:r>
            <w:r w:rsidR="001D7BC4" w:rsidRPr="006740B6">
              <w:t xml:space="preserve">-Year </w:t>
            </w:r>
            <w:r w:rsidR="005B4056" w:rsidRPr="006740B6">
              <w:t>Protected Pension Ratings Under 38 CFR 3.951(b)</w:t>
            </w:r>
          </w:p>
        </w:tc>
      </w:tr>
      <w:tr w:rsidR="005C1271" w:rsidRPr="006740B6" w14:paraId="5D6F32B1" w14:textId="77777777" w:rsidTr="004359A5">
        <w:trPr>
          <w:cantSplit/>
          <w:trHeight w:val="606"/>
        </w:trPr>
        <w:tc>
          <w:tcPr>
            <w:tcW w:w="1340" w:type="dxa"/>
            <w:tcBorders>
              <w:top w:val="single" w:sz="6" w:space="0" w:color="auto"/>
              <w:left w:val="single" w:sz="6" w:space="0" w:color="auto"/>
              <w:bottom w:val="single" w:sz="6" w:space="0" w:color="auto"/>
              <w:right w:val="single" w:sz="6" w:space="0" w:color="auto"/>
            </w:tcBorders>
          </w:tcPr>
          <w:p w14:paraId="7B596793" w14:textId="0DF8989B" w:rsidR="005C1271" w:rsidRPr="006740B6" w:rsidRDefault="005C1271" w:rsidP="00824DA1">
            <w:pPr>
              <w:pStyle w:val="TableText"/>
              <w:jc w:val="center"/>
            </w:pPr>
            <w:r w:rsidRPr="006740B6">
              <w:t>4</w:t>
            </w:r>
          </w:p>
        </w:tc>
        <w:tc>
          <w:tcPr>
            <w:tcW w:w="6285" w:type="dxa"/>
            <w:tcBorders>
              <w:top w:val="single" w:sz="6" w:space="0" w:color="auto"/>
              <w:left w:val="single" w:sz="6" w:space="0" w:color="auto"/>
              <w:bottom w:val="single" w:sz="6" w:space="0" w:color="auto"/>
              <w:right w:val="single" w:sz="6" w:space="0" w:color="auto"/>
            </w:tcBorders>
          </w:tcPr>
          <w:p w14:paraId="2FE7748E" w14:textId="4DB5B4E3" w:rsidR="005C1271" w:rsidRPr="006740B6" w:rsidRDefault="005C1271">
            <w:pPr>
              <w:pStyle w:val="TableText"/>
            </w:pPr>
            <w:r w:rsidRPr="006740B6">
              <w:t>Protection and Rating Schedule Changes, 38 CFR 3.951(b) and 3.952</w:t>
            </w:r>
          </w:p>
        </w:tc>
      </w:tr>
      <w:tr w:rsidR="0052564E" w:rsidRPr="006740B6" w14:paraId="593A7EA7" w14:textId="77777777" w:rsidTr="004359A5">
        <w:trPr>
          <w:cantSplit/>
          <w:trHeight w:val="390"/>
        </w:trPr>
        <w:tc>
          <w:tcPr>
            <w:tcW w:w="1340" w:type="dxa"/>
            <w:tcBorders>
              <w:top w:val="single" w:sz="6" w:space="0" w:color="auto"/>
              <w:left w:val="single" w:sz="6" w:space="0" w:color="auto"/>
              <w:bottom w:val="single" w:sz="6" w:space="0" w:color="auto"/>
              <w:right w:val="single" w:sz="6" w:space="0" w:color="auto"/>
            </w:tcBorders>
          </w:tcPr>
          <w:p w14:paraId="329D59E8" w14:textId="3419ACE0" w:rsidR="0052564E" w:rsidRPr="006740B6" w:rsidRDefault="0052564E" w:rsidP="00824DA1">
            <w:pPr>
              <w:pStyle w:val="TableText"/>
              <w:jc w:val="center"/>
            </w:pPr>
            <w:r w:rsidRPr="006740B6">
              <w:t>5</w:t>
            </w:r>
          </w:p>
        </w:tc>
        <w:tc>
          <w:tcPr>
            <w:tcW w:w="6285" w:type="dxa"/>
            <w:tcBorders>
              <w:top w:val="single" w:sz="6" w:space="0" w:color="auto"/>
              <w:left w:val="single" w:sz="6" w:space="0" w:color="auto"/>
              <w:bottom w:val="single" w:sz="6" w:space="0" w:color="auto"/>
              <w:right w:val="single" w:sz="6" w:space="0" w:color="auto"/>
            </w:tcBorders>
          </w:tcPr>
          <w:p w14:paraId="598EE02A" w14:textId="3CFA5954" w:rsidR="0052564E" w:rsidRPr="006740B6" w:rsidRDefault="0052564E" w:rsidP="00961154">
            <w:pPr>
              <w:pStyle w:val="TableText"/>
            </w:pPr>
            <w:r w:rsidRPr="006740B6">
              <w:t>Other Protection</w:t>
            </w:r>
            <w:r w:rsidR="00961154" w:rsidRPr="006740B6">
              <w:t xml:space="preserve"> Issues</w:t>
            </w:r>
          </w:p>
        </w:tc>
      </w:tr>
    </w:tbl>
    <w:p w14:paraId="288F3997" w14:textId="3C16AB2C" w:rsidR="001D7BC4" w:rsidRPr="006740B6" w:rsidRDefault="001D7BC4" w:rsidP="001D7BC4">
      <w:pPr>
        <w:tabs>
          <w:tab w:val="left" w:pos="9360"/>
        </w:tabs>
        <w:ind w:left="1714"/>
      </w:pPr>
      <w:r w:rsidRPr="006740B6">
        <w:rPr>
          <w:u w:val="single"/>
        </w:rPr>
        <w:tab/>
      </w:r>
    </w:p>
    <w:p w14:paraId="4CB18BA7" w14:textId="5247693F" w:rsidR="001D7BC4" w:rsidRPr="006740B6" w:rsidRDefault="001D7BC4" w:rsidP="001D7BC4">
      <w:pPr>
        <w:ind w:left="1714"/>
      </w:pPr>
    </w:p>
    <w:p w14:paraId="189D7F17" w14:textId="77777777" w:rsidR="001D7BC4" w:rsidRPr="006740B6" w:rsidRDefault="001D7BC4" w:rsidP="001D7BC4"/>
    <w:p w14:paraId="624B7886" w14:textId="77777777" w:rsidR="001D7BC4" w:rsidRPr="006740B6" w:rsidRDefault="001D7BC4" w:rsidP="001D7BC4">
      <w:pPr>
        <w:tabs>
          <w:tab w:val="left" w:pos="9360"/>
        </w:tabs>
        <w:ind w:left="1714"/>
        <w:rPr>
          <w:u w:val="single"/>
        </w:rPr>
      </w:pPr>
      <w:r w:rsidRPr="006740B6">
        <w:br w:type="page"/>
      </w:r>
    </w:p>
    <w:p w14:paraId="21EEB269" w14:textId="000EA799" w:rsidR="00CC6D53" w:rsidRPr="006740B6" w:rsidRDefault="00E2558C">
      <w:pPr>
        <w:pStyle w:val="Heading4"/>
      </w:pPr>
      <w:r w:rsidRPr="006740B6">
        <w:lastRenderedPageBreak/>
        <w:t>1</w:t>
      </w:r>
      <w:r w:rsidR="005008BC" w:rsidRPr="006740B6">
        <w:t>.</w:t>
      </w:r>
      <w:r w:rsidR="00AA02A6" w:rsidRPr="006740B6">
        <w:t xml:space="preserve">  </w:t>
      </w:r>
      <w:r w:rsidR="00645387" w:rsidRPr="006740B6">
        <w:t>Twenty</w:t>
      </w:r>
      <w:r w:rsidR="0052564E" w:rsidRPr="006740B6">
        <w:t xml:space="preserve">-Year Protection of </w:t>
      </w:r>
      <w:r w:rsidR="00AB53D8" w:rsidRPr="006740B6">
        <w:t xml:space="preserve">Compensation </w:t>
      </w:r>
      <w:r w:rsidR="00AA02A6" w:rsidRPr="006740B6">
        <w:t xml:space="preserve">Evaluations </w:t>
      </w:r>
      <w:proofErr w:type="gramStart"/>
      <w:r w:rsidR="00AA02A6" w:rsidRPr="006740B6">
        <w:t>Under</w:t>
      </w:r>
      <w:proofErr w:type="gramEnd"/>
      <w:r w:rsidR="00AA02A6" w:rsidRPr="006740B6">
        <w:t xml:space="preserve"> 38 CFR 3.951</w:t>
      </w:r>
      <w:r w:rsidR="00612EC3" w:rsidRPr="006740B6">
        <w:t>(b)</w:t>
      </w:r>
      <w:r w:rsidR="00AA02A6" w:rsidRPr="006740B6">
        <w:t xml:space="preserve"> </w:t>
      </w:r>
    </w:p>
    <w:p w14:paraId="3F518F65" w14:textId="21DFC5B7"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77" w14:textId="77777777" w:rsidTr="00E43CCC">
        <w:tc>
          <w:tcPr>
            <w:tcW w:w="1728" w:type="dxa"/>
          </w:tcPr>
          <w:p w14:paraId="21EEB26B" w14:textId="77777777" w:rsidR="00CC6D53" w:rsidRPr="006740B6" w:rsidRDefault="00AA02A6">
            <w:pPr>
              <w:pStyle w:val="Heading5"/>
            </w:pPr>
            <w:r w:rsidRPr="006740B6">
              <w:t>Introduction</w:t>
            </w:r>
          </w:p>
        </w:tc>
        <w:tc>
          <w:tcPr>
            <w:tcW w:w="7740" w:type="dxa"/>
          </w:tcPr>
          <w:p w14:paraId="21EEB26C" w14:textId="3CCA8DFD" w:rsidR="00CC6D53" w:rsidRPr="006740B6" w:rsidRDefault="00AA02A6">
            <w:pPr>
              <w:pStyle w:val="BlockText"/>
            </w:pPr>
            <w:r w:rsidRPr="006740B6">
              <w:t>This topic contains information about protected evaluations</w:t>
            </w:r>
            <w:r w:rsidR="00AB53D8" w:rsidRPr="006740B6">
              <w:t xml:space="preserve"> for compensation purposes</w:t>
            </w:r>
            <w:r w:rsidRPr="006740B6">
              <w:t>, including</w:t>
            </w:r>
          </w:p>
          <w:p w14:paraId="21EEB26D" w14:textId="77777777" w:rsidR="00CC6D53" w:rsidRPr="006740B6" w:rsidRDefault="00CC6D53">
            <w:pPr>
              <w:pStyle w:val="BlockText"/>
            </w:pPr>
          </w:p>
          <w:p w14:paraId="08F6055A" w14:textId="3569704E" w:rsidR="00AB53D8" w:rsidRPr="006740B6" w:rsidRDefault="00AA02A6">
            <w:pPr>
              <w:pStyle w:val="BulletText1"/>
              <w:rPr>
                <w:rStyle w:val="Hyperlink"/>
                <w:color w:val="000000"/>
                <w:u w:val="none"/>
              </w:rPr>
            </w:pPr>
            <w:r w:rsidRPr="006740B6">
              <w:t>protect</w:t>
            </w:r>
            <w:r w:rsidR="00AB53D8" w:rsidRPr="006740B6">
              <w:t>ed evaluations for compensation purposes</w:t>
            </w:r>
            <w:r w:rsidRPr="006740B6">
              <w:t xml:space="preserve"> under 38 CFR 3.95</w:t>
            </w:r>
            <w:r w:rsidR="00AB53D8" w:rsidRPr="006740B6">
              <w:t>1(b)</w:t>
            </w:r>
          </w:p>
          <w:p w14:paraId="21EEB26E" w14:textId="705711FB" w:rsidR="00CC6D53" w:rsidRPr="006740B6" w:rsidRDefault="00612EC3">
            <w:pPr>
              <w:pStyle w:val="BulletText1"/>
              <w:rPr>
                <w:szCs w:val="24"/>
              </w:rPr>
            </w:pPr>
            <w:r w:rsidRPr="006740B6">
              <w:rPr>
                <w:szCs w:val="24"/>
              </w:rPr>
              <w:t>determining whether 20-year protection applies under 38 CFR 3.951(b)</w:t>
            </w:r>
          </w:p>
          <w:p w14:paraId="076B1247" w14:textId="28CD5FB3" w:rsidR="00E80017" w:rsidRPr="006740B6" w:rsidRDefault="00E43CCC">
            <w:pPr>
              <w:pStyle w:val="BulletText1"/>
              <w:rPr>
                <w:rStyle w:val="Hyperlink"/>
                <w:color w:val="000000"/>
                <w:u w:val="none"/>
              </w:rPr>
            </w:pPr>
            <w:r w:rsidRPr="006740B6">
              <w:t>protection at lower than the current evaluation</w:t>
            </w:r>
          </w:p>
          <w:p w14:paraId="751920A0" w14:textId="623DAEF4" w:rsidR="008D3048" w:rsidRPr="006740B6" w:rsidRDefault="008D3048">
            <w:pPr>
              <w:pStyle w:val="BulletText1"/>
            </w:pPr>
            <w:r w:rsidRPr="006740B6">
              <w:t xml:space="preserve">evaluation continuously in effect </w:t>
            </w:r>
            <w:r w:rsidR="009B6FF0" w:rsidRPr="006740B6">
              <w:t xml:space="preserve">regardless of </w:t>
            </w:r>
            <w:r w:rsidRPr="006740B6">
              <w:t>recoupments and deductions</w:t>
            </w:r>
          </w:p>
          <w:p w14:paraId="21EEB26F" w14:textId="511F6FEE" w:rsidR="00CC6D53" w:rsidRPr="006740B6" w:rsidRDefault="00AA02A6">
            <w:pPr>
              <w:pStyle w:val="BulletText1"/>
            </w:pPr>
            <w:r w:rsidRPr="006740B6">
              <w:t>protection in the absence of a monetary award</w:t>
            </w:r>
          </w:p>
          <w:p w14:paraId="21EEB270" w14:textId="68F11F9F" w:rsidR="00CC6D53" w:rsidRPr="006740B6" w:rsidRDefault="00AA02A6">
            <w:pPr>
              <w:pStyle w:val="BulletText1"/>
            </w:pPr>
            <w:r w:rsidRPr="006740B6">
              <w:t>when protection does not accrue</w:t>
            </w:r>
          </w:p>
          <w:p w14:paraId="39D2D769" w14:textId="78555C31" w:rsidR="0038019D" w:rsidRPr="006740B6" w:rsidRDefault="0038019D">
            <w:pPr>
              <w:pStyle w:val="BulletText1"/>
            </w:pPr>
            <w:r w:rsidRPr="006740B6">
              <w:t xml:space="preserve">protection of special monthly compensation </w:t>
            </w:r>
            <w:r w:rsidR="0053282A" w:rsidRPr="006740B6">
              <w:t xml:space="preserve">(SMC) </w:t>
            </w:r>
            <w:r w:rsidRPr="006740B6">
              <w:t>evaluations</w:t>
            </w:r>
          </w:p>
          <w:p w14:paraId="6E19DBEF" w14:textId="1C2158B7" w:rsidR="008D3048" w:rsidRPr="006740B6" w:rsidRDefault="0053282A">
            <w:pPr>
              <w:pStyle w:val="BulletText1"/>
            </w:pPr>
            <w:r w:rsidRPr="006740B6">
              <w:t>calculation of SMC on erroneous protected evaluations</w:t>
            </w:r>
          </w:p>
          <w:p w14:paraId="21EEB271" w14:textId="49DB1FCC" w:rsidR="00CC6D53" w:rsidRPr="006740B6" w:rsidRDefault="00AA02A6">
            <w:pPr>
              <w:pStyle w:val="BulletText1"/>
            </w:pPr>
            <w:r w:rsidRPr="006740B6">
              <w:t>protection resulting from retroactive increases</w:t>
            </w:r>
          </w:p>
          <w:p w14:paraId="21EEB272" w14:textId="4E6E8178" w:rsidR="00CC6D53" w:rsidRPr="006740B6" w:rsidRDefault="00AA02A6">
            <w:pPr>
              <w:pStyle w:val="BulletText1"/>
            </w:pPr>
            <w:r w:rsidRPr="006740B6">
              <w:t>protected combined evaluations</w:t>
            </w:r>
          </w:p>
          <w:p w14:paraId="7A605475" w14:textId="713CE603" w:rsidR="00B0322A" w:rsidRPr="006740B6" w:rsidRDefault="0053282A" w:rsidP="005B1AEE">
            <w:pPr>
              <w:pStyle w:val="BulletText1"/>
            </w:pPr>
            <w:r w:rsidRPr="006740B6">
              <w:t xml:space="preserve">effect of a change in diagnostic code (DC) </w:t>
            </w:r>
          </w:p>
          <w:p w14:paraId="73ECDCD3" w14:textId="64A61182" w:rsidR="00663736" w:rsidRPr="006740B6" w:rsidRDefault="00B0322A">
            <w:pPr>
              <w:pStyle w:val="BulletText1"/>
            </w:pPr>
            <w:r w:rsidRPr="006740B6">
              <w:t>protection</w:t>
            </w:r>
            <w:r w:rsidR="00E1201F" w:rsidRPr="006740B6">
              <w:t xml:space="preserve"> </w:t>
            </w:r>
            <w:r w:rsidRPr="006740B6">
              <w:t xml:space="preserve">and break out </w:t>
            </w:r>
            <w:r w:rsidR="00E1201F" w:rsidRPr="006740B6">
              <w:t xml:space="preserve">of </w:t>
            </w:r>
            <w:r w:rsidRPr="006740B6">
              <w:t xml:space="preserve">evaluations of conditions erroneously rated together </w:t>
            </w:r>
          </w:p>
          <w:p w14:paraId="21EEB275" w14:textId="11645471" w:rsidR="00CC6D53" w:rsidRPr="006740B6" w:rsidRDefault="00766268">
            <w:pPr>
              <w:pStyle w:val="BulletText1"/>
            </w:pPr>
            <w:r w:rsidRPr="006740B6">
              <w:t>p</w:t>
            </w:r>
            <w:r w:rsidR="00663736" w:rsidRPr="006740B6">
              <w:t xml:space="preserve">rotection of </w:t>
            </w:r>
            <w:r w:rsidRPr="006740B6">
              <w:t>e</w:t>
            </w:r>
            <w:r w:rsidR="00663736" w:rsidRPr="006740B6">
              <w:t xml:space="preserve">valuation of </w:t>
            </w:r>
            <w:r w:rsidRPr="006740B6">
              <w:t>d</w:t>
            </w:r>
            <w:r w:rsidR="00663736" w:rsidRPr="006740B6">
              <w:t>isability</w:t>
            </w:r>
            <w:r w:rsidRPr="006740B6">
              <w:t xml:space="preserve"> e</w:t>
            </w:r>
            <w:r w:rsidR="00663736" w:rsidRPr="006740B6">
              <w:t xml:space="preserve">liminated by </w:t>
            </w:r>
            <w:r w:rsidRPr="006740B6">
              <w:t>non-service</w:t>
            </w:r>
            <w:r w:rsidR="004544F5" w:rsidRPr="006740B6">
              <w:t>-</w:t>
            </w:r>
            <w:r w:rsidRPr="006740B6">
              <w:t>connected (</w:t>
            </w:r>
            <w:r w:rsidR="00663736" w:rsidRPr="006740B6">
              <w:t>NSC</w:t>
            </w:r>
            <w:r w:rsidRPr="006740B6">
              <w:t>)</w:t>
            </w:r>
            <w:r w:rsidR="00663736" w:rsidRPr="006740B6">
              <w:t xml:space="preserve"> </w:t>
            </w:r>
            <w:r w:rsidRPr="006740B6">
              <w:t>a</w:t>
            </w:r>
            <w:r w:rsidR="00663736" w:rsidRPr="006740B6">
              <w:t>mputation</w:t>
            </w:r>
            <w:r w:rsidRPr="006740B6">
              <w:t>,</w:t>
            </w:r>
            <w:r w:rsidR="00663736" w:rsidRPr="006740B6">
              <w:t xml:space="preserve"> </w:t>
            </w:r>
            <w:r w:rsidR="0053282A" w:rsidRPr="006740B6">
              <w:t>and</w:t>
            </w:r>
          </w:p>
          <w:p w14:paraId="21EEB276" w14:textId="4360DFC2" w:rsidR="00CC6D53" w:rsidRPr="006740B6" w:rsidRDefault="00F25C62" w:rsidP="00F25C62">
            <w:pPr>
              <w:pStyle w:val="BulletText1"/>
            </w:pPr>
            <w:proofErr w:type="gramStart"/>
            <w:r w:rsidRPr="006740B6">
              <w:t>effect</w:t>
            </w:r>
            <w:proofErr w:type="gramEnd"/>
            <w:r w:rsidRPr="006740B6">
              <w:t xml:space="preserve"> of return to active duty</w:t>
            </w:r>
            <w:r w:rsidR="00AA02A6" w:rsidRPr="006740B6">
              <w:t>.</w:t>
            </w:r>
          </w:p>
        </w:tc>
      </w:tr>
    </w:tbl>
    <w:p w14:paraId="21EEB278" w14:textId="1354A458" w:rsidR="00CC6D53" w:rsidRPr="006740B6" w:rsidRDefault="00EE7084" w:rsidP="00AB2FC6">
      <w:pPr>
        <w:pStyle w:val="BlockLine"/>
        <w:tabs>
          <w:tab w:val="left" w:pos="1533"/>
          <w:tab w:val="left" w:pos="9360"/>
        </w:tabs>
        <w:ind w:left="1714"/>
      </w:pPr>
      <w:r w:rsidRPr="006740B6">
        <w:tab/>
      </w:r>
    </w:p>
    <w:tbl>
      <w:tblPr>
        <w:tblW w:w="0" w:type="auto"/>
        <w:tblLayout w:type="fixed"/>
        <w:tblLook w:val="0000" w:firstRow="0" w:lastRow="0" w:firstColumn="0" w:lastColumn="0" w:noHBand="0" w:noVBand="0"/>
      </w:tblPr>
      <w:tblGrid>
        <w:gridCol w:w="1728"/>
        <w:gridCol w:w="7740"/>
      </w:tblGrid>
      <w:tr w:rsidR="00CC6D53" w:rsidRPr="006740B6" w14:paraId="21EEB27B" w14:textId="77777777">
        <w:trPr>
          <w:cantSplit/>
        </w:trPr>
        <w:tc>
          <w:tcPr>
            <w:tcW w:w="1728" w:type="dxa"/>
          </w:tcPr>
          <w:p w14:paraId="21EEB279" w14:textId="77777777" w:rsidR="00CC6D53" w:rsidRPr="006740B6" w:rsidRDefault="00AA02A6">
            <w:pPr>
              <w:pStyle w:val="Heading5"/>
            </w:pPr>
            <w:r w:rsidRPr="006740B6">
              <w:t>Change Date</w:t>
            </w:r>
          </w:p>
        </w:tc>
        <w:tc>
          <w:tcPr>
            <w:tcW w:w="7740" w:type="dxa"/>
          </w:tcPr>
          <w:p w14:paraId="21EEB27A" w14:textId="29B2704A" w:rsidR="00CC6D53" w:rsidRPr="006740B6" w:rsidRDefault="00282076">
            <w:pPr>
              <w:pStyle w:val="BlockText"/>
            </w:pPr>
            <w:r w:rsidRPr="006740B6">
              <w:t>April 22, 2015</w:t>
            </w:r>
          </w:p>
        </w:tc>
      </w:tr>
    </w:tbl>
    <w:p w14:paraId="79132062" w14:textId="1F5C9DA3"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85" w14:textId="77777777" w:rsidTr="001D7BC4">
        <w:tc>
          <w:tcPr>
            <w:tcW w:w="1728" w:type="dxa"/>
          </w:tcPr>
          <w:p w14:paraId="21EEB27D" w14:textId="6C2DDA4E" w:rsidR="00CC6D53" w:rsidRPr="006740B6" w:rsidRDefault="003605D4" w:rsidP="003605D4">
            <w:pPr>
              <w:pStyle w:val="Heading5"/>
            </w:pPr>
            <w:proofErr w:type="gramStart"/>
            <w:r w:rsidRPr="006740B6">
              <w:t xml:space="preserve">a.  </w:t>
            </w:r>
            <w:r w:rsidR="00AB53D8" w:rsidRPr="006740B6">
              <w:t>Protected</w:t>
            </w:r>
            <w:proofErr w:type="gramEnd"/>
            <w:r w:rsidR="00AB53D8" w:rsidRPr="006740B6">
              <w:t xml:space="preserve"> Evaluations for Compensation Purposes Under </w:t>
            </w:r>
            <w:r w:rsidR="00AA02A6" w:rsidRPr="006740B6">
              <w:t>38 CFR 3.951</w:t>
            </w:r>
            <w:r w:rsidR="00AB53D8" w:rsidRPr="006740B6">
              <w:t>(b)</w:t>
            </w:r>
          </w:p>
        </w:tc>
        <w:tc>
          <w:tcPr>
            <w:tcW w:w="7740" w:type="dxa"/>
          </w:tcPr>
          <w:p w14:paraId="7D6A25C3" w14:textId="2FA80F5F" w:rsidR="00E43CCC" w:rsidRPr="006740B6" w:rsidRDefault="00E43CCC">
            <w:pPr>
              <w:pStyle w:val="BlockText"/>
              <w:rPr>
                <w:shd w:val="clear" w:color="auto" w:fill="FFFFFF"/>
              </w:rPr>
            </w:pPr>
            <w:r w:rsidRPr="006740B6">
              <w:rPr>
                <w:shd w:val="clear" w:color="auto" w:fill="FFFFFF"/>
              </w:rPr>
              <w:t xml:space="preserve">Preservation of disability evaluations (the </w:t>
            </w:r>
            <w:r w:rsidRPr="006740B6">
              <w:rPr>
                <w:b/>
                <w:i/>
                <w:shd w:val="clear" w:color="auto" w:fill="FFFFFF"/>
              </w:rPr>
              <w:t xml:space="preserve">protection </w:t>
            </w:r>
            <w:r w:rsidRPr="006740B6">
              <w:rPr>
                <w:shd w:val="clear" w:color="auto" w:fill="FFFFFF"/>
              </w:rPr>
              <w:t xml:space="preserve">of certain long-standing evaluations from reduction) derives from </w:t>
            </w:r>
            <w:hyperlink r:id="rId12" w:history="1">
              <w:r w:rsidRPr="006740B6">
                <w:rPr>
                  <w:rStyle w:val="Hyperlink"/>
                  <w:shd w:val="clear" w:color="auto" w:fill="FFFFFF"/>
                </w:rPr>
                <w:t>38 U.S.C. 110</w:t>
              </w:r>
            </w:hyperlink>
            <w:r w:rsidRPr="006740B6">
              <w:rPr>
                <w:shd w:val="clear" w:color="auto" w:fill="FFFFFF"/>
              </w:rPr>
              <w:t xml:space="preserve"> and is implemented in </w:t>
            </w:r>
            <w:hyperlink r:id="rId13" w:history="1">
              <w:r w:rsidR="00125F63" w:rsidRPr="006740B6">
                <w:rPr>
                  <w:rStyle w:val="Hyperlink"/>
                  <w:shd w:val="clear" w:color="auto" w:fill="FFFFFF"/>
                </w:rPr>
                <w:t>38 CFR 3.951(b)</w:t>
              </w:r>
            </w:hyperlink>
            <w:r w:rsidRPr="006740B6">
              <w:rPr>
                <w:shd w:val="clear" w:color="auto" w:fill="FFFFFF"/>
              </w:rPr>
              <w:t xml:space="preserve">.  </w:t>
            </w:r>
          </w:p>
          <w:p w14:paraId="2C0DB5FE" w14:textId="77777777" w:rsidR="00E43CCC" w:rsidRPr="006740B6" w:rsidRDefault="00E43CCC">
            <w:pPr>
              <w:pStyle w:val="BlockText"/>
              <w:rPr>
                <w:shd w:val="clear" w:color="auto" w:fill="FFFFFF"/>
              </w:rPr>
            </w:pPr>
          </w:p>
          <w:p w14:paraId="49D592AF" w14:textId="77777777" w:rsidR="00AD35E7" w:rsidRPr="006740B6" w:rsidRDefault="00E43CCC" w:rsidP="00250FDC">
            <w:pPr>
              <w:pStyle w:val="BlockText"/>
              <w:rPr>
                <w:shd w:val="clear" w:color="auto" w:fill="FFFFFF"/>
              </w:rPr>
            </w:pPr>
            <w:r w:rsidRPr="006740B6">
              <w:rPr>
                <w:shd w:val="clear" w:color="auto" w:fill="FFFFFF"/>
              </w:rPr>
              <w:t xml:space="preserve">The regulation </w:t>
            </w:r>
            <w:r w:rsidR="00125F63" w:rsidRPr="006740B6">
              <w:rPr>
                <w:shd w:val="clear" w:color="auto" w:fill="FFFFFF"/>
              </w:rPr>
              <w:t>provides that a disability</w:t>
            </w:r>
            <w:r w:rsidR="00AB53D8" w:rsidRPr="006740B6">
              <w:rPr>
                <w:shd w:val="clear" w:color="auto" w:fill="FFFFFF"/>
              </w:rPr>
              <w:t xml:space="preserve"> compensation evaluation of any level</w:t>
            </w:r>
            <w:r w:rsidR="00125F63" w:rsidRPr="006740B6">
              <w:rPr>
                <w:shd w:val="clear" w:color="auto" w:fill="FFFFFF"/>
              </w:rPr>
              <w:t xml:space="preserve"> that has been</w:t>
            </w:r>
            <w:r w:rsidR="00AB53D8" w:rsidRPr="006740B6">
              <w:rPr>
                <w:shd w:val="clear" w:color="auto" w:fill="FFFFFF"/>
              </w:rPr>
              <w:t xml:space="preserve"> continuously in effect </w:t>
            </w:r>
            <w:r w:rsidR="00125F63" w:rsidRPr="006740B6">
              <w:rPr>
                <w:shd w:val="clear" w:color="auto" w:fill="FFFFFF"/>
              </w:rPr>
              <w:t>for 20 years or more will not be reduced to a lower evaluation except upon a showing that the higher evaluation was based upon fraud.</w:t>
            </w:r>
          </w:p>
          <w:p w14:paraId="1F487E69" w14:textId="77777777" w:rsidR="00E31FA4" w:rsidRPr="006740B6" w:rsidRDefault="00E31FA4" w:rsidP="00250FDC">
            <w:pPr>
              <w:pStyle w:val="BlockText"/>
              <w:rPr>
                <w:shd w:val="clear" w:color="auto" w:fill="FFFFFF"/>
              </w:rPr>
            </w:pPr>
          </w:p>
          <w:p w14:paraId="3B263A57" w14:textId="77777777" w:rsidR="00E31FA4" w:rsidRPr="006740B6" w:rsidRDefault="00E31FA4" w:rsidP="00250FDC">
            <w:pPr>
              <w:pStyle w:val="BlockText"/>
              <w:rPr>
                <w:shd w:val="clear" w:color="auto" w:fill="FFFFFF"/>
              </w:rPr>
            </w:pPr>
            <w:r w:rsidRPr="006740B6">
              <w:rPr>
                <w:b/>
                <w:i/>
                <w:shd w:val="clear" w:color="auto" w:fill="FFFFFF"/>
              </w:rPr>
              <w:t>Example</w:t>
            </w:r>
            <w:r w:rsidRPr="006740B6">
              <w:rPr>
                <w:shd w:val="clear" w:color="auto" w:fill="FFFFFF"/>
              </w:rPr>
              <w:t>:</w:t>
            </w:r>
          </w:p>
          <w:p w14:paraId="4498FE49" w14:textId="6878258F" w:rsidR="00E31FA4" w:rsidRPr="006740B6" w:rsidRDefault="00E31FA4" w:rsidP="00250FDC">
            <w:pPr>
              <w:pStyle w:val="BlockText"/>
              <w:rPr>
                <w:shd w:val="clear" w:color="auto" w:fill="FFFFFF"/>
              </w:rPr>
            </w:pPr>
            <w:r w:rsidRPr="006740B6">
              <w:rPr>
                <w:shd w:val="clear" w:color="auto" w:fill="FFFFFF"/>
              </w:rPr>
              <w:t>A Veteran files a cl</w:t>
            </w:r>
            <w:r w:rsidR="008965A3" w:rsidRPr="006740B6">
              <w:rPr>
                <w:shd w:val="clear" w:color="auto" w:fill="FFFFFF"/>
              </w:rPr>
              <w:t>aim for increase in his service-</w:t>
            </w:r>
            <w:r w:rsidRPr="006740B6">
              <w:rPr>
                <w:shd w:val="clear" w:color="auto" w:fill="FFFFFF"/>
              </w:rPr>
              <w:t>connected (SC) sinusitis</w:t>
            </w:r>
            <w:r w:rsidR="00382569" w:rsidRPr="006740B6">
              <w:rPr>
                <w:shd w:val="clear" w:color="auto" w:fill="FFFFFF"/>
              </w:rPr>
              <w:t>, evaluated at 30 percent for over 20 years</w:t>
            </w:r>
            <w:r w:rsidRPr="006740B6">
              <w:rPr>
                <w:shd w:val="clear" w:color="auto" w:fill="FFFFFF"/>
              </w:rPr>
              <w:t xml:space="preserve">.  The </w:t>
            </w:r>
            <w:r w:rsidR="0096227E" w:rsidRPr="006740B6">
              <w:rPr>
                <w:shd w:val="clear" w:color="auto" w:fill="FFFFFF"/>
              </w:rPr>
              <w:t>Department of Veterans Affairs (</w:t>
            </w:r>
            <w:r w:rsidRPr="006740B6">
              <w:rPr>
                <w:shd w:val="clear" w:color="auto" w:fill="FFFFFF"/>
              </w:rPr>
              <w:t>VA</w:t>
            </w:r>
            <w:r w:rsidR="0096227E" w:rsidRPr="006740B6">
              <w:rPr>
                <w:shd w:val="clear" w:color="auto" w:fill="FFFFFF"/>
              </w:rPr>
              <w:t>)</w:t>
            </w:r>
            <w:r w:rsidRPr="006740B6">
              <w:rPr>
                <w:shd w:val="clear" w:color="auto" w:fill="FFFFFF"/>
              </w:rPr>
              <w:t xml:space="preserve"> exam </w:t>
            </w:r>
            <w:r w:rsidR="00382569" w:rsidRPr="006740B6">
              <w:rPr>
                <w:shd w:val="clear" w:color="auto" w:fill="FFFFFF"/>
              </w:rPr>
              <w:t>on which the 30</w:t>
            </w:r>
            <w:r w:rsidR="00833C99" w:rsidRPr="006740B6">
              <w:rPr>
                <w:shd w:val="clear" w:color="auto" w:fill="FFFFFF"/>
              </w:rPr>
              <w:t>-</w:t>
            </w:r>
            <w:r w:rsidR="00382569" w:rsidRPr="006740B6">
              <w:rPr>
                <w:shd w:val="clear" w:color="auto" w:fill="FFFFFF"/>
              </w:rPr>
              <w:t xml:space="preserve">percent evaluation was based </w:t>
            </w:r>
            <w:r w:rsidRPr="006740B6">
              <w:rPr>
                <w:shd w:val="clear" w:color="auto" w:fill="FFFFFF"/>
              </w:rPr>
              <w:t>show</w:t>
            </w:r>
            <w:r w:rsidR="00382569" w:rsidRPr="006740B6">
              <w:rPr>
                <w:shd w:val="clear" w:color="auto" w:fill="FFFFFF"/>
              </w:rPr>
              <w:t>ed</w:t>
            </w:r>
            <w:r w:rsidRPr="006740B6">
              <w:rPr>
                <w:shd w:val="clear" w:color="auto" w:fill="FFFFFF"/>
              </w:rPr>
              <w:t xml:space="preserve"> that </w:t>
            </w:r>
            <w:r w:rsidR="00382569" w:rsidRPr="006740B6">
              <w:rPr>
                <w:shd w:val="clear" w:color="auto" w:fill="FFFFFF"/>
              </w:rPr>
              <w:t>the Veteran did</w:t>
            </w:r>
            <w:r w:rsidRPr="006740B6">
              <w:rPr>
                <w:shd w:val="clear" w:color="auto" w:fill="FFFFFF"/>
              </w:rPr>
              <w:t xml:space="preserve"> </w:t>
            </w:r>
            <w:r w:rsidRPr="006740B6">
              <w:rPr>
                <w:i/>
                <w:shd w:val="clear" w:color="auto" w:fill="FFFFFF"/>
              </w:rPr>
              <w:t>not</w:t>
            </w:r>
            <w:r w:rsidRPr="006740B6">
              <w:rPr>
                <w:shd w:val="clear" w:color="auto" w:fill="FFFFFF"/>
              </w:rPr>
              <w:t xml:space="preserve"> </w:t>
            </w:r>
            <w:r w:rsidR="00382569" w:rsidRPr="006740B6">
              <w:rPr>
                <w:shd w:val="clear" w:color="auto" w:fill="FFFFFF"/>
              </w:rPr>
              <w:t>have</w:t>
            </w:r>
            <w:r w:rsidRPr="006740B6">
              <w:rPr>
                <w:shd w:val="clear" w:color="auto" w:fill="FFFFFF"/>
              </w:rPr>
              <w:t xml:space="preserve"> incapacit</w:t>
            </w:r>
            <w:r w:rsidR="00C06986" w:rsidRPr="006740B6">
              <w:rPr>
                <w:shd w:val="clear" w:color="auto" w:fill="FFFFFF"/>
              </w:rPr>
              <w:t>at</w:t>
            </w:r>
            <w:r w:rsidRPr="006740B6">
              <w:rPr>
                <w:shd w:val="clear" w:color="auto" w:fill="FFFFFF"/>
              </w:rPr>
              <w:t>ing episodes, but d</w:t>
            </w:r>
            <w:r w:rsidR="00382569" w:rsidRPr="006740B6">
              <w:rPr>
                <w:shd w:val="clear" w:color="auto" w:fill="FFFFFF"/>
              </w:rPr>
              <w:t>id</w:t>
            </w:r>
            <w:r w:rsidRPr="006740B6">
              <w:rPr>
                <w:shd w:val="clear" w:color="auto" w:fill="FFFFFF"/>
              </w:rPr>
              <w:t xml:space="preserve"> suffer three </w:t>
            </w:r>
            <w:r w:rsidRPr="006740B6">
              <w:rPr>
                <w:i/>
                <w:shd w:val="clear" w:color="auto" w:fill="FFFFFF"/>
              </w:rPr>
              <w:t>non-incapacitating</w:t>
            </w:r>
            <w:r w:rsidRPr="006740B6">
              <w:rPr>
                <w:shd w:val="clear" w:color="auto" w:fill="FFFFFF"/>
              </w:rPr>
              <w:t xml:space="preserve"> episodes per year</w:t>
            </w:r>
            <w:r w:rsidR="00833C99" w:rsidRPr="006740B6">
              <w:rPr>
                <w:shd w:val="clear" w:color="auto" w:fill="FFFFFF"/>
              </w:rPr>
              <w:t>.  This warranted only a 10-</w:t>
            </w:r>
            <w:r w:rsidR="00382569" w:rsidRPr="006740B6">
              <w:rPr>
                <w:shd w:val="clear" w:color="auto" w:fill="FFFFFF"/>
              </w:rPr>
              <w:t>percent evaluation but the VA exam was misread by the</w:t>
            </w:r>
            <w:r w:rsidRPr="006740B6">
              <w:rPr>
                <w:shd w:val="clear" w:color="auto" w:fill="FFFFFF"/>
              </w:rPr>
              <w:t xml:space="preserve"> </w:t>
            </w:r>
            <w:r w:rsidR="00833C99" w:rsidRPr="006740B6">
              <w:rPr>
                <w:shd w:val="clear" w:color="auto" w:fill="FFFFFF"/>
              </w:rPr>
              <w:t>Rating Veterans Service Representative (</w:t>
            </w:r>
            <w:r w:rsidRPr="006740B6">
              <w:rPr>
                <w:shd w:val="clear" w:color="auto" w:fill="FFFFFF"/>
              </w:rPr>
              <w:t>RVSR</w:t>
            </w:r>
            <w:r w:rsidR="00833C99" w:rsidRPr="006740B6">
              <w:rPr>
                <w:shd w:val="clear" w:color="auto" w:fill="FFFFFF"/>
              </w:rPr>
              <w:t>)</w:t>
            </w:r>
            <w:r w:rsidRPr="006740B6">
              <w:rPr>
                <w:shd w:val="clear" w:color="auto" w:fill="FFFFFF"/>
              </w:rPr>
              <w:t xml:space="preserve"> </w:t>
            </w:r>
            <w:r w:rsidR="00382569" w:rsidRPr="006740B6">
              <w:rPr>
                <w:shd w:val="clear" w:color="auto" w:fill="FFFFFF"/>
              </w:rPr>
              <w:t>as</w:t>
            </w:r>
            <w:r w:rsidRPr="006740B6">
              <w:rPr>
                <w:shd w:val="clear" w:color="auto" w:fill="FFFFFF"/>
              </w:rPr>
              <w:t xml:space="preserve"> </w:t>
            </w:r>
            <w:r w:rsidR="00382569" w:rsidRPr="006740B6">
              <w:rPr>
                <w:shd w:val="clear" w:color="auto" w:fill="FFFFFF"/>
              </w:rPr>
              <w:t xml:space="preserve">involving </w:t>
            </w:r>
            <w:r w:rsidRPr="006740B6">
              <w:rPr>
                <w:shd w:val="clear" w:color="auto" w:fill="FFFFFF"/>
              </w:rPr>
              <w:t xml:space="preserve">three </w:t>
            </w:r>
            <w:r w:rsidRPr="006740B6">
              <w:rPr>
                <w:i/>
                <w:shd w:val="clear" w:color="auto" w:fill="FFFFFF"/>
              </w:rPr>
              <w:t>incapacitating</w:t>
            </w:r>
            <w:r w:rsidRPr="006740B6">
              <w:rPr>
                <w:shd w:val="clear" w:color="auto" w:fill="FFFFFF"/>
              </w:rPr>
              <w:t xml:space="preserve"> episodes.  </w:t>
            </w:r>
            <w:r w:rsidR="00382569" w:rsidRPr="006740B6">
              <w:rPr>
                <w:shd w:val="clear" w:color="auto" w:fill="FFFFFF"/>
              </w:rPr>
              <w:t>The current</w:t>
            </w:r>
            <w:r w:rsidRPr="006740B6">
              <w:rPr>
                <w:shd w:val="clear" w:color="auto" w:fill="FFFFFF"/>
              </w:rPr>
              <w:t xml:space="preserve"> VA exam still shows symptomatology warrant</w:t>
            </w:r>
            <w:r w:rsidR="00382569" w:rsidRPr="006740B6">
              <w:rPr>
                <w:shd w:val="clear" w:color="auto" w:fill="FFFFFF"/>
              </w:rPr>
              <w:t>ing</w:t>
            </w:r>
            <w:r w:rsidRPr="006740B6">
              <w:rPr>
                <w:shd w:val="clear" w:color="auto" w:fill="FFFFFF"/>
              </w:rPr>
              <w:t xml:space="preserve"> a 10</w:t>
            </w:r>
            <w:r w:rsidR="00833C99" w:rsidRPr="006740B6">
              <w:rPr>
                <w:shd w:val="clear" w:color="auto" w:fill="FFFFFF"/>
              </w:rPr>
              <w:t>-</w:t>
            </w:r>
            <w:r w:rsidRPr="006740B6">
              <w:rPr>
                <w:shd w:val="clear" w:color="auto" w:fill="FFFFFF"/>
              </w:rPr>
              <w:t xml:space="preserve">percent evaluation.  However, the 30 percent cannot be reduced because it is </w:t>
            </w:r>
            <w:r w:rsidRPr="006740B6">
              <w:rPr>
                <w:shd w:val="clear" w:color="auto" w:fill="FFFFFF"/>
              </w:rPr>
              <w:lastRenderedPageBreak/>
              <w:t xml:space="preserve">protected.  </w:t>
            </w:r>
          </w:p>
          <w:p w14:paraId="5760EB46" w14:textId="77777777" w:rsidR="00AD35E7" w:rsidRPr="006740B6" w:rsidRDefault="00AD35E7" w:rsidP="00250FDC">
            <w:pPr>
              <w:pStyle w:val="BlockText"/>
              <w:rPr>
                <w:shd w:val="clear" w:color="auto" w:fill="FFFFFF"/>
              </w:rPr>
            </w:pPr>
          </w:p>
          <w:p w14:paraId="21EEB284" w14:textId="61932B79" w:rsidR="00CC6D53" w:rsidRPr="006740B6" w:rsidRDefault="00AD35E7" w:rsidP="00250FDC">
            <w:pPr>
              <w:pStyle w:val="BlockText"/>
            </w:pPr>
            <w:r w:rsidRPr="006740B6">
              <w:rPr>
                <w:b/>
                <w:i/>
                <w:shd w:val="clear" w:color="auto" w:fill="FFFFFF"/>
              </w:rPr>
              <w:t>Reference</w:t>
            </w:r>
            <w:r w:rsidRPr="006740B6">
              <w:rPr>
                <w:shd w:val="clear" w:color="auto" w:fill="FFFFFF"/>
              </w:rPr>
              <w:t xml:space="preserve">:  For a definition of fraud, see </w:t>
            </w:r>
            <w:hyperlink r:id="rId14" w:history="1">
              <w:r w:rsidRPr="006740B6">
                <w:rPr>
                  <w:rStyle w:val="Hyperlink"/>
                  <w:shd w:val="clear" w:color="auto" w:fill="FFFFFF"/>
                </w:rPr>
                <w:t xml:space="preserve">38 CFR 3.901 </w:t>
              </w:r>
            </w:hyperlink>
            <w:r w:rsidRPr="006740B6">
              <w:rPr>
                <w:shd w:val="clear" w:color="auto" w:fill="FFFFFF"/>
              </w:rPr>
              <w:t xml:space="preserve"> </w:t>
            </w:r>
            <w:r w:rsidR="00125F63" w:rsidRPr="006740B6">
              <w:rPr>
                <w:shd w:val="clear" w:color="auto" w:fill="FFFFFF"/>
              </w:rPr>
              <w:t xml:space="preserve"> </w:t>
            </w:r>
          </w:p>
        </w:tc>
      </w:tr>
    </w:tbl>
    <w:p w14:paraId="1097D4BF" w14:textId="67947CC1"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125F63" w:rsidRPr="006740B6" w14:paraId="0B1E900A" w14:textId="77777777" w:rsidTr="00125F63">
        <w:tc>
          <w:tcPr>
            <w:tcW w:w="1728" w:type="dxa"/>
            <w:shd w:val="clear" w:color="auto" w:fill="auto"/>
          </w:tcPr>
          <w:p w14:paraId="7301B773" w14:textId="361D7958" w:rsidR="00125F63" w:rsidRPr="006740B6" w:rsidRDefault="003605D4" w:rsidP="00612EC3">
            <w:pPr>
              <w:pStyle w:val="Heading5"/>
            </w:pPr>
            <w:proofErr w:type="gramStart"/>
            <w:r w:rsidRPr="006740B6">
              <w:t xml:space="preserve">b.  </w:t>
            </w:r>
            <w:r w:rsidR="00612EC3" w:rsidRPr="006740B6">
              <w:t>Determining</w:t>
            </w:r>
            <w:proofErr w:type="gramEnd"/>
            <w:r w:rsidR="00612EC3" w:rsidRPr="006740B6">
              <w:t xml:space="preserve"> Whether </w:t>
            </w:r>
            <w:r w:rsidR="00125F63" w:rsidRPr="006740B6">
              <w:t xml:space="preserve">20-Year </w:t>
            </w:r>
            <w:r w:rsidR="00612EC3" w:rsidRPr="006740B6">
              <w:t xml:space="preserve">Protection Applies Under </w:t>
            </w:r>
            <w:r w:rsidR="00125F63" w:rsidRPr="006740B6">
              <w:t xml:space="preserve"> 38 CFR 3.951(b)</w:t>
            </w:r>
          </w:p>
        </w:tc>
        <w:tc>
          <w:tcPr>
            <w:tcW w:w="7740" w:type="dxa"/>
            <w:shd w:val="clear" w:color="auto" w:fill="auto"/>
          </w:tcPr>
          <w:p w14:paraId="6BC3BB5C" w14:textId="3C3FC445" w:rsidR="009F34C4" w:rsidRPr="006740B6" w:rsidRDefault="009F34C4" w:rsidP="00125F63">
            <w:pPr>
              <w:pStyle w:val="BlockText"/>
            </w:pPr>
            <w:r w:rsidRPr="006740B6">
              <w:t xml:space="preserve">Use the following table to </w:t>
            </w:r>
            <w:r w:rsidR="009B1DCA" w:rsidRPr="006740B6">
              <w:t>determine whether</w:t>
            </w:r>
            <w:r w:rsidRPr="006740B6">
              <w:t xml:space="preserve"> 20-year </w:t>
            </w:r>
            <w:r w:rsidR="009B1DCA" w:rsidRPr="006740B6">
              <w:t xml:space="preserve">protection applies </w:t>
            </w:r>
            <w:r w:rsidRPr="006740B6">
              <w:t xml:space="preserve">under </w:t>
            </w:r>
            <w:hyperlink r:id="rId15" w:history="1">
              <w:r w:rsidRPr="006740B6">
                <w:rPr>
                  <w:rStyle w:val="Hyperlink"/>
                  <w:shd w:val="clear" w:color="auto" w:fill="FFFFFF"/>
                </w:rPr>
                <w:t>38 CFR 3.951(b)</w:t>
              </w:r>
            </w:hyperlink>
            <w:r w:rsidRPr="006740B6">
              <w:rPr>
                <w:shd w:val="clear" w:color="auto" w:fill="FFFFFF"/>
              </w:rPr>
              <w:t>.</w:t>
            </w:r>
          </w:p>
          <w:p w14:paraId="23E7B52F" w14:textId="09C0AA53" w:rsidR="00125F63" w:rsidRPr="006740B6" w:rsidRDefault="00125F63" w:rsidP="000915E7">
            <w:pPr>
              <w:pStyle w:val="BulletText1"/>
              <w:numPr>
                <w:ilvl w:val="0"/>
                <w:numId w:val="0"/>
              </w:numPr>
              <w:ind w:left="173" w:hanging="173"/>
            </w:pPr>
          </w:p>
        </w:tc>
      </w:tr>
    </w:tbl>
    <w:p w14:paraId="3BE1269C" w14:textId="10B35E86" w:rsidR="00125F63" w:rsidRPr="006740B6" w:rsidRDefault="00125F63" w:rsidP="000915E7"/>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34"/>
        <w:gridCol w:w="5486"/>
      </w:tblGrid>
      <w:tr w:rsidR="009F34C4" w:rsidRPr="006740B6" w14:paraId="6C4C23E4" w14:textId="77777777" w:rsidTr="00645387">
        <w:tc>
          <w:tcPr>
            <w:tcW w:w="2057" w:type="pct"/>
            <w:shd w:val="clear" w:color="auto" w:fill="auto"/>
          </w:tcPr>
          <w:p w14:paraId="5F96A040" w14:textId="0C971460" w:rsidR="009F34C4" w:rsidRPr="006740B6" w:rsidRDefault="009F34C4" w:rsidP="000915E7">
            <w:pPr>
              <w:pStyle w:val="TableHeaderText"/>
              <w:jc w:val="left"/>
            </w:pPr>
            <w:r w:rsidRPr="006740B6">
              <w:t>If</w:t>
            </w:r>
            <w:r w:rsidR="009B6FF0" w:rsidRPr="006740B6">
              <w:t xml:space="preserve"> your purpose is to</w:t>
            </w:r>
            <w:r w:rsidRPr="006740B6">
              <w:t>...</w:t>
            </w:r>
          </w:p>
        </w:tc>
        <w:tc>
          <w:tcPr>
            <w:tcW w:w="2943" w:type="pct"/>
            <w:shd w:val="clear" w:color="auto" w:fill="auto"/>
          </w:tcPr>
          <w:p w14:paraId="308EAB3E" w14:textId="64BBD760" w:rsidR="009F34C4" w:rsidRPr="006740B6" w:rsidRDefault="009F34C4" w:rsidP="000915E7">
            <w:pPr>
              <w:pStyle w:val="TableHeaderText"/>
              <w:jc w:val="left"/>
            </w:pPr>
            <w:r w:rsidRPr="006740B6">
              <w:t>Then</w:t>
            </w:r>
            <w:r w:rsidR="00F601FD" w:rsidRPr="006740B6">
              <w:t xml:space="preserve"> calculate the period of time by considering</w:t>
            </w:r>
            <w:r w:rsidRPr="006740B6">
              <w:t>...</w:t>
            </w:r>
          </w:p>
        </w:tc>
      </w:tr>
      <w:tr w:rsidR="007C6FDA" w:rsidRPr="006740B6" w14:paraId="565CE33D" w14:textId="77777777" w:rsidTr="00645387">
        <w:tc>
          <w:tcPr>
            <w:tcW w:w="2057" w:type="pct"/>
            <w:shd w:val="clear" w:color="auto" w:fill="auto"/>
          </w:tcPr>
          <w:p w14:paraId="0E9C47BB" w14:textId="5FF15510" w:rsidR="007C6FDA" w:rsidRPr="006740B6" w:rsidRDefault="009B6FF0" w:rsidP="009B6FF0">
            <w:pPr>
              <w:pStyle w:val="TableHeaderText"/>
              <w:jc w:val="left"/>
              <w:rPr>
                <w:b w:val="0"/>
              </w:rPr>
            </w:pPr>
            <w:r w:rsidRPr="006740B6">
              <w:rPr>
                <w:b w:val="0"/>
              </w:rPr>
              <w:t xml:space="preserve">determine </w:t>
            </w:r>
            <w:r w:rsidR="007C6FDA" w:rsidRPr="006740B6">
              <w:rPr>
                <w:b w:val="0"/>
              </w:rPr>
              <w:t xml:space="preserve">whether a compensation evaluation that </w:t>
            </w:r>
            <w:r w:rsidRPr="006740B6">
              <w:rPr>
                <w:b w:val="0"/>
              </w:rPr>
              <w:t xml:space="preserve">was </w:t>
            </w:r>
            <w:r w:rsidR="007C6FDA" w:rsidRPr="006740B6">
              <w:rPr>
                <w:b w:val="0"/>
              </w:rPr>
              <w:t xml:space="preserve"> reduced to a lower level was protected</w:t>
            </w:r>
            <w:r w:rsidRPr="006740B6">
              <w:rPr>
                <w:b w:val="0"/>
              </w:rPr>
              <w:t xml:space="preserve"> </w:t>
            </w:r>
            <w:r w:rsidR="007C6FDA" w:rsidRPr="006740B6">
              <w:rPr>
                <w:b w:val="0"/>
              </w:rPr>
              <w:t xml:space="preserve"> </w:t>
            </w:r>
          </w:p>
        </w:tc>
        <w:tc>
          <w:tcPr>
            <w:tcW w:w="2943" w:type="pct"/>
            <w:shd w:val="clear" w:color="auto" w:fill="auto"/>
          </w:tcPr>
          <w:p w14:paraId="67BE81DE" w14:textId="3E2B9D8F" w:rsidR="007C6FDA" w:rsidRPr="006740B6" w:rsidRDefault="007C6FDA" w:rsidP="00F601FD">
            <w:pPr>
              <w:pStyle w:val="BulletText1"/>
            </w:pPr>
            <w:r w:rsidRPr="006740B6">
              <w:t xml:space="preserve">the starting date </w:t>
            </w:r>
            <w:r w:rsidR="00F601FD" w:rsidRPr="006740B6">
              <w:t>a</w:t>
            </w:r>
            <w:r w:rsidRPr="006740B6">
              <w:t xml:space="preserve">s the effective date of the </w:t>
            </w:r>
            <w:r w:rsidR="00A06E3E" w:rsidRPr="006740B6">
              <w:t>higher</w:t>
            </w:r>
            <w:r w:rsidRPr="006740B6">
              <w:t xml:space="preserve"> evaluation</w:t>
            </w:r>
            <w:r w:rsidR="00A06E3E" w:rsidRPr="006740B6">
              <w:t xml:space="preserve"> that was reduced</w:t>
            </w:r>
            <w:r w:rsidRPr="006740B6">
              <w:t>, and</w:t>
            </w:r>
          </w:p>
          <w:p w14:paraId="3C9A689E" w14:textId="48593EC6" w:rsidR="007C6FDA" w:rsidRPr="006740B6" w:rsidRDefault="007C6FDA" w:rsidP="0052564E">
            <w:pPr>
              <w:pStyle w:val="BulletText1"/>
            </w:pPr>
            <w:proofErr w:type="gramStart"/>
            <w:r w:rsidRPr="006740B6">
              <w:t>the</w:t>
            </w:r>
            <w:proofErr w:type="gramEnd"/>
            <w:r w:rsidRPr="006740B6">
              <w:t xml:space="preserve"> ending date </w:t>
            </w:r>
            <w:r w:rsidR="00C96C70" w:rsidRPr="006740B6">
              <w:t>a</w:t>
            </w:r>
            <w:r w:rsidRPr="006740B6">
              <w:t>s the effective date of the lower evaluation subsequently assigned.</w:t>
            </w:r>
          </w:p>
          <w:p w14:paraId="41B4ECB7" w14:textId="77777777" w:rsidR="009B1DCA" w:rsidRPr="006740B6" w:rsidRDefault="009B1DCA" w:rsidP="000915E7">
            <w:pPr>
              <w:pStyle w:val="BulletText1"/>
              <w:numPr>
                <w:ilvl w:val="0"/>
                <w:numId w:val="0"/>
              </w:numPr>
              <w:ind w:left="173" w:hanging="173"/>
            </w:pPr>
          </w:p>
          <w:p w14:paraId="0C9FC8E9" w14:textId="69B3940B" w:rsidR="00A06E3E" w:rsidRPr="006740B6" w:rsidRDefault="00A06E3E" w:rsidP="000915E7">
            <w:pPr>
              <w:pStyle w:val="BulletText1"/>
              <w:numPr>
                <w:ilvl w:val="0"/>
                <w:numId w:val="0"/>
              </w:numPr>
              <w:ind w:left="173" w:hanging="173"/>
            </w:pPr>
            <w:r w:rsidRPr="006740B6">
              <w:rPr>
                <w:b/>
                <w:i/>
              </w:rPr>
              <w:t>Example</w:t>
            </w:r>
            <w:r w:rsidR="002E7782" w:rsidRPr="006740B6">
              <w:rPr>
                <w:b/>
                <w:i/>
              </w:rPr>
              <w:t xml:space="preserve"> 1</w:t>
            </w:r>
            <w:r w:rsidRPr="006740B6">
              <w:t xml:space="preserve">: </w:t>
            </w:r>
          </w:p>
          <w:p w14:paraId="22CBBD82" w14:textId="77777777" w:rsidR="00A06E3E" w:rsidRPr="006740B6" w:rsidRDefault="00A06E3E" w:rsidP="000915E7">
            <w:pPr>
              <w:pStyle w:val="BulletText1"/>
              <w:numPr>
                <w:ilvl w:val="0"/>
                <w:numId w:val="0"/>
              </w:numPr>
              <w:ind w:left="173" w:hanging="173"/>
            </w:pPr>
          </w:p>
          <w:p w14:paraId="29E6A7CB" w14:textId="04F265E1" w:rsidR="002E7782" w:rsidRPr="006740B6" w:rsidRDefault="002E7782" w:rsidP="000915E7">
            <w:pPr>
              <w:pStyle w:val="BulletText1"/>
              <w:numPr>
                <w:ilvl w:val="0"/>
                <w:numId w:val="0"/>
              </w:numPr>
            </w:pPr>
            <w:r w:rsidRPr="006740B6">
              <w:t>Reduction from 50 percent to 30 percent</w:t>
            </w:r>
          </w:p>
          <w:p w14:paraId="6F97B423" w14:textId="77777777" w:rsidR="002E7782" w:rsidRPr="006740B6" w:rsidRDefault="002E7782" w:rsidP="000915E7">
            <w:pPr>
              <w:pStyle w:val="BulletText1"/>
              <w:numPr>
                <w:ilvl w:val="0"/>
                <w:numId w:val="0"/>
              </w:numPr>
              <w:ind w:left="173" w:hanging="173"/>
            </w:pPr>
          </w:p>
          <w:p w14:paraId="63E5D0BF" w14:textId="022D311A" w:rsidR="00A06E3E" w:rsidRPr="006740B6" w:rsidRDefault="002E7782" w:rsidP="000915E7">
            <w:pPr>
              <w:pStyle w:val="BulletText1"/>
            </w:pPr>
            <w:r w:rsidRPr="006740B6">
              <w:t>50 percent effective 1/1/1996</w:t>
            </w:r>
          </w:p>
          <w:p w14:paraId="1C1A6A96" w14:textId="3C77C865" w:rsidR="002E7782" w:rsidRPr="006740B6" w:rsidRDefault="002E7782" w:rsidP="000915E7">
            <w:pPr>
              <w:pStyle w:val="BulletText1"/>
            </w:pPr>
            <w:r w:rsidRPr="006740B6">
              <w:t>30 percent effective 1/1/2015</w:t>
            </w:r>
          </w:p>
          <w:p w14:paraId="50DDD7FB" w14:textId="77777777" w:rsidR="002E7782" w:rsidRPr="006740B6" w:rsidRDefault="002E7782" w:rsidP="000915E7">
            <w:pPr>
              <w:pStyle w:val="BulletText1"/>
              <w:numPr>
                <w:ilvl w:val="0"/>
                <w:numId w:val="0"/>
              </w:numPr>
              <w:ind w:left="173" w:hanging="173"/>
            </w:pPr>
          </w:p>
          <w:p w14:paraId="1AC169D2" w14:textId="5FC31EF5" w:rsidR="002E7782" w:rsidRPr="006740B6" w:rsidRDefault="00833C99" w:rsidP="000915E7">
            <w:pPr>
              <w:pStyle w:val="TableText"/>
            </w:pPr>
            <w:r w:rsidRPr="006740B6">
              <w:t>The 50-</w:t>
            </w:r>
            <w:r w:rsidR="002E7782" w:rsidRPr="006740B6">
              <w:t>percent evaluation was in effect for 19 years on effective date of reduction to the lower evaluation and, as such, was not protected.</w:t>
            </w:r>
          </w:p>
          <w:p w14:paraId="2D4E687D" w14:textId="77777777" w:rsidR="002E7782" w:rsidRPr="006740B6" w:rsidRDefault="002E7782" w:rsidP="000915E7">
            <w:pPr>
              <w:pStyle w:val="BulletText1"/>
              <w:numPr>
                <w:ilvl w:val="0"/>
                <w:numId w:val="0"/>
              </w:numPr>
              <w:ind w:left="173" w:hanging="173"/>
            </w:pPr>
          </w:p>
          <w:p w14:paraId="29435E5D" w14:textId="2CC23B32" w:rsidR="002E7782" w:rsidRPr="006740B6" w:rsidRDefault="002E7782" w:rsidP="000915E7">
            <w:pPr>
              <w:pStyle w:val="BulletText1"/>
              <w:numPr>
                <w:ilvl w:val="0"/>
                <w:numId w:val="0"/>
              </w:numPr>
              <w:ind w:left="173" w:hanging="173"/>
            </w:pPr>
            <w:r w:rsidRPr="006740B6">
              <w:rPr>
                <w:b/>
                <w:i/>
              </w:rPr>
              <w:t>Example 2</w:t>
            </w:r>
            <w:r w:rsidRPr="006740B6">
              <w:t xml:space="preserve">: </w:t>
            </w:r>
          </w:p>
          <w:p w14:paraId="3265A68F" w14:textId="77777777" w:rsidR="002E7782" w:rsidRPr="006740B6" w:rsidRDefault="002E7782" w:rsidP="000915E7">
            <w:pPr>
              <w:pStyle w:val="BulletText1"/>
              <w:numPr>
                <w:ilvl w:val="0"/>
                <w:numId w:val="0"/>
              </w:numPr>
              <w:ind w:left="173" w:hanging="173"/>
            </w:pPr>
          </w:p>
          <w:p w14:paraId="00B39B0A" w14:textId="77777777" w:rsidR="002E7782" w:rsidRPr="006740B6" w:rsidRDefault="002E7782" w:rsidP="000915E7">
            <w:pPr>
              <w:pStyle w:val="BulletText1"/>
              <w:numPr>
                <w:ilvl w:val="0"/>
                <w:numId w:val="0"/>
              </w:numPr>
              <w:ind w:left="173" w:hanging="173"/>
            </w:pPr>
            <w:r w:rsidRPr="006740B6">
              <w:t>Reduction from 50 percent to 30 percent</w:t>
            </w:r>
          </w:p>
          <w:p w14:paraId="054F6F01" w14:textId="428BCABA" w:rsidR="002E7782" w:rsidRPr="006740B6" w:rsidRDefault="002E7782" w:rsidP="000915E7">
            <w:pPr>
              <w:pStyle w:val="BulletText1"/>
            </w:pPr>
            <w:r w:rsidRPr="006740B6">
              <w:t>50 percent effective 1/1/1994</w:t>
            </w:r>
          </w:p>
          <w:p w14:paraId="7B10F23D" w14:textId="6A1A32B0" w:rsidR="002E7782" w:rsidRPr="006740B6" w:rsidRDefault="002E7782" w:rsidP="000915E7">
            <w:pPr>
              <w:pStyle w:val="BulletText1"/>
            </w:pPr>
            <w:r w:rsidRPr="006740B6">
              <w:t>30 percent effective 1/1/2015</w:t>
            </w:r>
          </w:p>
          <w:p w14:paraId="07ED1857" w14:textId="77777777" w:rsidR="002E7782" w:rsidRPr="006740B6" w:rsidRDefault="002E7782" w:rsidP="000915E7">
            <w:pPr>
              <w:pStyle w:val="BulletText1"/>
              <w:numPr>
                <w:ilvl w:val="0"/>
                <w:numId w:val="0"/>
              </w:numPr>
              <w:ind w:left="173" w:hanging="173"/>
            </w:pPr>
          </w:p>
          <w:p w14:paraId="734BA1CC" w14:textId="480BCB64" w:rsidR="002E7782" w:rsidRPr="006740B6" w:rsidRDefault="00833C99" w:rsidP="000915E7">
            <w:pPr>
              <w:pStyle w:val="TableText"/>
            </w:pPr>
            <w:r w:rsidRPr="006740B6">
              <w:t>The 50-</w:t>
            </w:r>
            <w:r w:rsidR="002E7782" w:rsidRPr="006740B6">
              <w:t>percent evaluation was in effect for 21 years on the date of reduction t</w:t>
            </w:r>
            <w:r w:rsidRPr="006740B6">
              <w:t>o the lower evaluation.  The 50-</w:t>
            </w:r>
            <w:r w:rsidR="002E7782" w:rsidRPr="006740B6">
              <w:t xml:space="preserve">percent evaluation was protected.  Reduction from 50 percent to 30 percent was not permitted. </w:t>
            </w:r>
          </w:p>
          <w:p w14:paraId="1C788396" w14:textId="05ECAE42" w:rsidR="002E7782" w:rsidRPr="006740B6" w:rsidRDefault="002E7782" w:rsidP="000915E7">
            <w:pPr>
              <w:pStyle w:val="BulletText1"/>
              <w:numPr>
                <w:ilvl w:val="0"/>
                <w:numId w:val="0"/>
              </w:numPr>
              <w:ind w:left="173" w:hanging="173"/>
            </w:pPr>
          </w:p>
        </w:tc>
      </w:tr>
      <w:tr w:rsidR="009F34C4" w:rsidRPr="006740B6" w14:paraId="00BE9F42" w14:textId="77777777" w:rsidTr="00645387">
        <w:tc>
          <w:tcPr>
            <w:tcW w:w="2057" w:type="pct"/>
            <w:shd w:val="clear" w:color="auto" w:fill="auto"/>
          </w:tcPr>
          <w:p w14:paraId="4009CEC6" w14:textId="50BD7C4F" w:rsidR="009F34C4" w:rsidRPr="006740B6" w:rsidRDefault="007C6FDA" w:rsidP="00CD19B7">
            <w:pPr>
              <w:pStyle w:val="TableText"/>
            </w:pPr>
            <w:r w:rsidRPr="006740B6">
              <w:t>determin</w:t>
            </w:r>
            <w:r w:rsidR="00CD19B7" w:rsidRPr="006740B6">
              <w:t>e</w:t>
            </w:r>
            <w:r w:rsidRPr="006740B6">
              <w:t xml:space="preserve"> whether </w:t>
            </w:r>
            <w:r w:rsidR="009B6FF0" w:rsidRPr="006740B6">
              <w:t xml:space="preserve">it is possible to finalize reduction before a disability </w:t>
            </w:r>
            <w:r w:rsidR="00BB11A4" w:rsidRPr="006740B6">
              <w:t xml:space="preserve">evaluation </w:t>
            </w:r>
            <w:r w:rsidR="009B6FF0" w:rsidRPr="006740B6">
              <w:t xml:space="preserve">becomes protected </w:t>
            </w:r>
          </w:p>
        </w:tc>
        <w:tc>
          <w:tcPr>
            <w:tcW w:w="2943" w:type="pct"/>
            <w:shd w:val="clear" w:color="auto" w:fill="auto"/>
          </w:tcPr>
          <w:p w14:paraId="135DFE92" w14:textId="1056C0BD" w:rsidR="009F34C4" w:rsidRPr="006740B6" w:rsidRDefault="009F34C4" w:rsidP="001D7BC4">
            <w:pPr>
              <w:pStyle w:val="BulletText1"/>
            </w:pPr>
            <w:r w:rsidRPr="006740B6">
              <w:t xml:space="preserve">the starting date </w:t>
            </w:r>
            <w:r w:rsidR="00F601FD" w:rsidRPr="006740B6">
              <w:t>a</w:t>
            </w:r>
            <w:r w:rsidRPr="006740B6">
              <w:t>s the effective date of the current evaluation, and</w:t>
            </w:r>
          </w:p>
          <w:p w14:paraId="0C9D9C59" w14:textId="480421F0" w:rsidR="009F34C4" w:rsidRPr="006740B6" w:rsidRDefault="009F34C4" w:rsidP="001D7BC4">
            <w:pPr>
              <w:pStyle w:val="BulletText1"/>
            </w:pPr>
            <w:proofErr w:type="gramStart"/>
            <w:r w:rsidRPr="006740B6">
              <w:t>the</w:t>
            </w:r>
            <w:proofErr w:type="gramEnd"/>
            <w:r w:rsidRPr="006740B6">
              <w:t xml:space="preserve"> ending date </w:t>
            </w:r>
            <w:r w:rsidR="00F601FD" w:rsidRPr="006740B6">
              <w:t>a</w:t>
            </w:r>
            <w:r w:rsidRPr="006740B6">
              <w:t xml:space="preserve">s the earliest date that a reduction </w:t>
            </w:r>
            <w:r w:rsidRPr="006740B6">
              <w:rPr>
                <w:i/>
              </w:rPr>
              <w:t>could become effective</w:t>
            </w:r>
            <w:r w:rsidRPr="006740B6">
              <w:t>.</w:t>
            </w:r>
            <w:r w:rsidR="009B1DCA" w:rsidRPr="006740B6">
              <w:t xml:space="preserve">  </w:t>
            </w:r>
          </w:p>
          <w:p w14:paraId="066CD92B" w14:textId="77777777" w:rsidR="009B1DCA" w:rsidRPr="006740B6" w:rsidRDefault="009B1DCA" w:rsidP="000915E7">
            <w:pPr>
              <w:pStyle w:val="BulletText1"/>
              <w:numPr>
                <w:ilvl w:val="0"/>
                <w:numId w:val="0"/>
              </w:numPr>
              <w:ind w:left="173" w:hanging="173"/>
            </w:pPr>
          </w:p>
          <w:p w14:paraId="534E5FD0" w14:textId="3337D598" w:rsidR="009F34C4" w:rsidRPr="006740B6" w:rsidRDefault="005E0705" w:rsidP="00F7147F">
            <w:pPr>
              <w:pStyle w:val="BulletText1"/>
              <w:numPr>
                <w:ilvl w:val="0"/>
                <w:numId w:val="0"/>
              </w:numPr>
            </w:pPr>
            <w:r w:rsidRPr="006740B6">
              <w:rPr>
                <w:b/>
                <w:i/>
              </w:rPr>
              <w:t>Important</w:t>
            </w:r>
            <w:r w:rsidRPr="006740B6">
              <w:t xml:space="preserve">:  </w:t>
            </w:r>
            <w:r w:rsidR="00F7147F" w:rsidRPr="006740B6">
              <w:t xml:space="preserve">Where a disability evaluation has been in effect for close to 20 years the application of </w:t>
            </w:r>
            <w:hyperlink r:id="rId16" w:history="1">
              <w:r w:rsidR="00F7147F" w:rsidRPr="006740B6">
                <w:rPr>
                  <w:rStyle w:val="Hyperlink"/>
                </w:rPr>
                <w:t>38 CFR 3.344</w:t>
              </w:r>
            </w:hyperlink>
            <w:r w:rsidR="00F7147F" w:rsidRPr="006740B6">
              <w:t xml:space="preserve"> and </w:t>
            </w:r>
            <w:hyperlink r:id="rId17" w:history="1">
              <w:r w:rsidR="00F7147F" w:rsidRPr="006740B6">
                <w:rPr>
                  <w:rStyle w:val="Hyperlink"/>
                </w:rPr>
                <w:t>38 CFR 3.105</w:t>
              </w:r>
            </w:hyperlink>
            <w:r w:rsidR="00F7147F" w:rsidRPr="006740B6">
              <w:t xml:space="preserve"> may make it </w:t>
            </w:r>
            <w:r w:rsidR="00BB11A4" w:rsidRPr="006740B6">
              <w:t xml:space="preserve">impossible to </w:t>
            </w:r>
            <w:r w:rsidR="00BB11A4" w:rsidRPr="006740B6">
              <w:lastRenderedPageBreak/>
              <w:t>finalize a reduction</w:t>
            </w:r>
            <w:r w:rsidR="001D7BC4" w:rsidRPr="006740B6">
              <w:t xml:space="preserve"> before protection applies.</w:t>
            </w:r>
          </w:p>
        </w:tc>
      </w:tr>
    </w:tbl>
    <w:p w14:paraId="37A8E85F" w14:textId="770D4085"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5E0705" w:rsidRPr="006740B6" w14:paraId="662CC8AE" w14:textId="77777777" w:rsidTr="0030122C">
        <w:trPr>
          <w:trHeight w:val="3870"/>
        </w:trPr>
        <w:tc>
          <w:tcPr>
            <w:tcW w:w="1728" w:type="dxa"/>
            <w:shd w:val="clear" w:color="auto" w:fill="auto"/>
          </w:tcPr>
          <w:p w14:paraId="767A0C15" w14:textId="55F644ED" w:rsidR="005E0705" w:rsidRPr="006740B6" w:rsidRDefault="003605D4" w:rsidP="00D34E52">
            <w:pPr>
              <w:pStyle w:val="Heading5"/>
            </w:pPr>
            <w:proofErr w:type="gramStart"/>
            <w:r w:rsidRPr="006740B6">
              <w:t xml:space="preserve">c.  </w:t>
            </w:r>
            <w:r w:rsidR="008642EE" w:rsidRPr="006740B6">
              <w:t>Protection</w:t>
            </w:r>
            <w:proofErr w:type="gramEnd"/>
            <w:r w:rsidR="008642EE" w:rsidRPr="006740B6">
              <w:t xml:space="preserve"> at Lower </w:t>
            </w:r>
            <w:r w:rsidR="00C644A7" w:rsidRPr="006740B6">
              <w:t>T</w:t>
            </w:r>
            <w:r w:rsidR="008642EE" w:rsidRPr="006740B6">
              <w:t>han the Current Evaluation</w:t>
            </w:r>
          </w:p>
        </w:tc>
        <w:tc>
          <w:tcPr>
            <w:tcW w:w="7740" w:type="dxa"/>
            <w:shd w:val="clear" w:color="auto" w:fill="auto"/>
          </w:tcPr>
          <w:p w14:paraId="0575A78E" w14:textId="0009FCBE" w:rsidR="008642EE" w:rsidRPr="006740B6" w:rsidRDefault="008642EE" w:rsidP="00D34E52">
            <w:pPr>
              <w:pStyle w:val="BlockText"/>
            </w:pPr>
            <w:r w:rsidRPr="006740B6">
              <w:t xml:space="preserve">In some cases </w:t>
            </w:r>
            <w:r w:rsidR="00C123F1" w:rsidRPr="006740B6">
              <w:t xml:space="preserve">the current evaluation may not have </w:t>
            </w:r>
            <w:r w:rsidRPr="006740B6">
              <w:t xml:space="preserve">been in effect for 20 years but the evaluation has been at a lower level </w:t>
            </w:r>
            <w:r w:rsidR="00C123F1" w:rsidRPr="006740B6">
              <w:t xml:space="preserve">for the requisite 20-year period.  </w:t>
            </w:r>
          </w:p>
          <w:p w14:paraId="06B5FD04" w14:textId="77777777" w:rsidR="008642EE" w:rsidRPr="006740B6" w:rsidRDefault="008642EE" w:rsidP="00D34E52">
            <w:pPr>
              <w:pStyle w:val="BlockText"/>
            </w:pPr>
          </w:p>
          <w:p w14:paraId="1A8B526A" w14:textId="23B067AA" w:rsidR="00C123F1" w:rsidRPr="006740B6" w:rsidRDefault="00C123F1" w:rsidP="00D34E52">
            <w:pPr>
              <w:pStyle w:val="BlockText"/>
            </w:pPr>
            <w:r w:rsidRPr="006740B6">
              <w:t>In such cases</w:t>
            </w:r>
            <w:r w:rsidR="00242D0A" w:rsidRPr="006740B6">
              <w:t>,</w:t>
            </w:r>
            <w:r w:rsidRPr="006740B6">
              <w:t xml:space="preserve"> the current evaluation is not the protected evaluation</w:t>
            </w:r>
            <w:r w:rsidR="008642EE" w:rsidRPr="006740B6">
              <w:t xml:space="preserve"> but the lower evaluation is protected.  A reduction can be accomplished but not below the protected evaluation. </w:t>
            </w:r>
          </w:p>
          <w:p w14:paraId="16DED2D9" w14:textId="77777777" w:rsidR="00C123F1" w:rsidRPr="006740B6" w:rsidRDefault="00C123F1" w:rsidP="00D34E52">
            <w:pPr>
              <w:pStyle w:val="BlockText"/>
            </w:pPr>
          </w:p>
          <w:p w14:paraId="116264E4" w14:textId="105DAE21" w:rsidR="00A24016" w:rsidRPr="006740B6" w:rsidRDefault="00C123F1" w:rsidP="00A24016">
            <w:pPr>
              <w:pStyle w:val="BlockText"/>
            </w:pPr>
            <w:r w:rsidRPr="006740B6">
              <w:rPr>
                <w:b/>
                <w:i/>
              </w:rPr>
              <w:t>Example</w:t>
            </w:r>
            <w:r w:rsidRPr="006740B6">
              <w:t xml:space="preserve">:  </w:t>
            </w:r>
            <w:r w:rsidR="008642EE" w:rsidRPr="006740B6">
              <w:t>R</w:t>
            </w:r>
            <w:r w:rsidR="00A24016" w:rsidRPr="006740B6">
              <w:t xml:space="preserve">eduction of the evaluation of a </w:t>
            </w:r>
            <w:r w:rsidR="00CA3E6C" w:rsidRPr="006740B6">
              <w:t>knee strain</w:t>
            </w:r>
            <w:r w:rsidR="00A24016" w:rsidRPr="006740B6">
              <w:t xml:space="preserve"> (</w:t>
            </w:r>
            <w:hyperlink r:id="rId18" w:history="1">
              <w:r w:rsidR="00B63C84" w:rsidRPr="006740B6">
                <w:rPr>
                  <w:rStyle w:val="Hyperlink"/>
                </w:rPr>
                <w:t>38 CFR 4.71a, diagnostic code (DC) 5260</w:t>
              </w:r>
            </w:hyperlink>
            <w:r w:rsidR="00A24016" w:rsidRPr="006740B6">
              <w:t xml:space="preserve">) </w:t>
            </w:r>
            <w:r w:rsidR="008642EE" w:rsidRPr="006740B6">
              <w:t xml:space="preserve">can be accomplished by </w:t>
            </w:r>
            <w:r w:rsidR="000B02DE" w:rsidRPr="006740B6">
              <w:t>2/1/15.</w:t>
            </w:r>
            <w:r w:rsidR="00A24016" w:rsidRPr="006740B6">
              <w:t xml:space="preserve"> </w:t>
            </w:r>
            <w:r w:rsidR="000B02DE" w:rsidRPr="006740B6">
              <w:t xml:space="preserve"> </w:t>
            </w:r>
            <w:r w:rsidR="00833C99" w:rsidRPr="006740B6">
              <w:t>Evidence supports 10-</w:t>
            </w:r>
            <w:r w:rsidR="00CA3E6C" w:rsidRPr="006740B6">
              <w:t xml:space="preserve">percent disability.  </w:t>
            </w:r>
            <w:r w:rsidR="00A24016" w:rsidRPr="006740B6">
              <w:t xml:space="preserve">Assume compliance with </w:t>
            </w:r>
            <w:hyperlink r:id="rId19" w:history="1">
              <w:r w:rsidR="00A24016" w:rsidRPr="006740B6">
                <w:rPr>
                  <w:rStyle w:val="Hyperlink"/>
                </w:rPr>
                <w:t>38 CFR 3.105</w:t>
              </w:r>
            </w:hyperlink>
            <w:r w:rsidR="00A24016" w:rsidRPr="006740B6">
              <w:t xml:space="preserve"> and </w:t>
            </w:r>
            <w:hyperlink r:id="rId20" w:history="1">
              <w:r w:rsidR="00A24016" w:rsidRPr="006740B6">
                <w:rPr>
                  <w:rStyle w:val="Hyperlink"/>
                </w:rPr>
                <w:t>38 CFR 3.344</w:t>
              </w:r>
            </w:hyperlink>
            <w:r w:rsidR="00A24016" w:rsidRPr="006740B6">
              <w:t>.</w:t>
            </w:r>
            <w:r w:rsidR="004359A5" w:rsidRPr="006740B6">
              <w:t xml:space="preserve"> </w:t>
            </w:r>
            <w:r w:rsidR="00A24016" w:rsidRPr="006740B6">
              <w:t xml:space="preserve"> The codesheet shows the following evaluation history:</w:t>
            </w:r>
          </w:p>
          <w:p w14:paraId="0721550B" w14:textId="77777777" w:rsidR="00C123F1" w:rsidRPr="006740B6" w:rsidRDefault="00C123F1" w:rsidP="00D34E52">
            <w:pPr>
              <w:pStyle w:val="BlockText"/>
            </w:pPr>
          </w:p>
          <w:p w14:paraId="6A9DB0E2" w14:textId="5860B89A" w:rsidR="00C123F1" w:rsidRPr="006740B6" w:rsidRDefault="00A24016" w:rsidP="0073514E">
            <w:pPr>
              <w:pStyle w:val="BlockText"/>
              <w:numPr>
                <w:ilvl w:val="0"/>
                <w:numId w:val="10"/>
              </w:numPr>
            </w:pPr>
            <w:r w:rsidRPr="006740B6">
              <w:t xml:space="preserve">0 percent, effective </w:t>
            </w:r>
            <w:r w:rsidR="000B02DE" w:rsidRPr="006740B6">
              <w:t xml:space="preserve">3/5/1987 </w:t>
            </w:r>
          </w:p>
          <w:p w14:paraId="1196D1C7" w14:textId="16B87D32" w:rsidR="00CA3E6C" w:rsidRPr="006740B6" w:rsidRDefault="00CA3E6C" w:rsidP="0073514E">
            <w:pPr>
              <w:pStyle w:val="BlockText"/>
              <w:numPr>
                <w:ilvl w:val="0"/>
                <w:numId w:val="10"/>
              </w:numPr>
            </w:pPr>
            <w:r w:rsidRPr="006740B6">
              <w:t>10 percent, effective 1/1/1990</w:t>
            </w:r>
          </w:p>
          <w:p w14:paraId="75EF6DBC" w14:textId="4D49FF84" w:rsidR="00C123F1" w:rsidRPr="006740B6" w:rsidRDefault="000B02DE" w:rsidP="0073514E">
            <w:pPr>
              <w:pStyle w:val="BlockText"/>
              <w:numPr>
                <w:ilvl w:val="0"/>
                <w:numId w:val="10"/>
              </w:numPr>
            </w:pPr>
            <w:r w:rsidRPr="006740B6">
              <w:t>20</w:t>
            </w:r>
            <w:r w:rsidR="00C123F1" w:rsidRPr="006740B6">
              <w:t xml:space="preserve"> percent</w:t>
            </w:r>
            <w:r w:rsidR="00A24016" w:rsidRPr="006740B6">
              <w:t xml:space="preserve">, </w:t>
            </w:r>
            <w:r w:rsidR="00C123F1" w:rsidRPr="006740B6">
              <w:t>effective</w:t>
            </w:r>
            <w:r w:rsidRPr="006740B6">
              <w:t xml:space="preserve"> 5/1/</w:t>
            </w:r>
            <w:r w:rsidR="00A24016" w:rsidRPr="006740B6">
              <w:t>1993</w:t>
            </w:r>
          </w:p>
          <w:p w14:paraId="6B12F84B" w14:textId="2436BBCE" w:rsidR="00C123F1" w:rsidRPr="006740B6" w:rsidRDefault="00CA3E6C" w:rsidP="0073514E">
            <w:pPr>
              <w:pStyle w:val="BlockText"/>
              <w:numPr>
                <w:ilvl w:val="0"/>
                <w:numId w:val="10"/>
              </w:numPr>
            </w:pPr>
            <w:r w:rsidRPr="006740B6">
              <w:t>3</w:t>
            </w:r>
            <w:r w:rsidR="000B02DE" w:rsidRPr="006740B6">
              <w:t xml:space="preserve">0 </w:t>
            </w:r>
            <w:r w:rsidR="00C123F1" w:rsidRPr="006740B6">
              <w:t>percent</w:t>
            </w:r>
            <w:r w:rsidR="00A24016" w:rsidRPr="006740B6">
              <w:t>, effective 2/1/1997</w:t>
            </w:r>
          </w:p>
          <w:p w14:paraId="49EC79D7" w14:textId="77777777" w:rsidR="008642EE" w:rsidRPr="006740B6" w:rsidRDefault="008642EE" w:rsidP="00D34E52">
            <w:pPr>
              <w:pStyle w:val="BlockText"/>
            </w:pPr>
          </w:p>
          <w:p w14:paraId="432E66DB" w14:textId="1006C733" w:rsidR="00C123F1" w:rsidRPr="006740B6" w:rsidRDefault="00A24016" w:rsidP="00AC6473">
            <w:pPr>
              <w:pStyle w:val="BlockText"/>
            </w:pPr>
            <w:r w:rsidRPr="006740B6">
              <w:t xml:space="preserve">On the earliest potential date of reduction </w:t>
            </w:r>
            <w:r w:rsidR="00CA3E6C" w:rsidRPr="006740B6">
              <w:t xml:space="preserve">(2/1/15) </w:t>
            </w:r>
            <w:r w:rsidRPr="006740B6">
              <w:t xml:space="preserve">the </w:t>
            </w:r>
            <w:r w:rsidR="00CA3E6C" w:rsidRPr="006740B6">
              <w:t>3</w:t>
            </w:r>
            <w:r w:rsidR="00833C99" w:rsidRPr="006740B6">
              <w:t>0-</w:t>
            </w:r>
            <w:r w:rsidRPr="006740B6">
              <w:t xml:space="preserve">percent evaluation will have been in effect for only 18 years.  </w:t>
            </w:r>
            <w:r w:rsidR="00AC6473" w:rsidRPr="006740B6">
              <w:t>T</w:t>
            </w:r>
            <w:r w:rsidR="00CA3E6C" w:rsidRPr="006740B6">
              <w:t>herefore</w:t>
            </w:r>
            <w:r w:rsidR="00AC6473" w:rsidRPr="006740B6">
              <w:t>,</w:t>
            </w:r>
            <w:r w:rsidR="00CA3E6C" w:rsidRPr="006740B6">
              <w:t xml:space="preserve"> </w:t>
            </w:r>
            <w:r w:rsidR="00242D0A" w:rsidRPr="006740B6">
              <w:t xml:space="preserve">it </w:t>
            </w:r>
            <w:r w:rsidR="00CA3E6C" w:rsidRPr="006740B6">
              <w:t>is not and will not be</w:t>
            </w:r>
            <w:r w:rsidRPr="006740B6">
              <w:t xml:space="preserve"> protected</w:t>
            </w:r>
            <w:r w:rsidR="00CA3E6C" w:rsidRPr="006740B6">
              <w:t xml:space="preserve"> for the purpose of the proposed reduction</w:t>
            </w:r>
            <w:r w:rsidRPr="006740B6">
              <w:t xml:space="preserve">.  </w:t>
            </w:r>
            <w:r w:rsidR="00CA3E6C" w:rsidRPr="006740B6">
              <w:t xml:space="preserve">Some </w:t>
            </w:r>
            <w:r w:rsidRPr="006740B6">
              <w:t>reduction is possible.  However</w:t>
            </w:r>
            <w:r w:rsidR="00AC6473" w:rsidRPr="006740B6">
              <w:t>,</w:t>
            </w:r>
            <w:r w:rsidRPr="006740B6">
              <w:t xml:space="preserve"> an evaluation of at least 20 percent</w:t>
            </w:r>
            <w:r w:rsidR="00AC6473" w:rsidRPr="006740B6">
              <w:t xml:space="preserve"> </w:t>
            </w:r>
            <w:r w:rsidRPr="006740B6">
              <w:t xml:space="preserve">will have been in effect for more than 20 years. </w:t>
            </w:r>
            <w:r w:rsidR="00CA3E6C" w:rsidRPr="006740B6">
              <w:t xml:space="preserve"> </w:t>
            </w:r>
            <w:r w:rsidRPr="006740B6">
              <w:t>Therefore</w:t>
            </w:r>
            <w:r w:rsidR="00AC6473" w:rsidRPr="006740B6">
              <w:t>,</w:t>
            </w:r>
            <w:r w:rsidRPr="006740B6">
              <w:t xml:space="preserve"> </w:t>
            </w:r>
            <w:r w:rsidR="00CA3E6C" w:rsidRPr="006740B6">
              <w:t>even tho</w:t>
            </w:r>
            <w:r w:rsidR="00833C99" w:rsidRPr="006740B6">
              <w:t>ugh the facts support only a 10-</w:t>
            </w:r>
            <w:r w:rsidR="00CA3E6C" w:rsidRPr="006740B6">
              <w:t xml:space="preserve">percent evaluation, </w:t>
            </w:r>
            <w:r w:rsidRPr="006740B6">
              <w:t xml:space="preserve">the maximum reduction possible is to 20 percent. </w:t>
            </w:r>
          </w:p>
        </w:tc>
      </w:tr>
    </w:tbl>
    <w:p w14:paraId="2A8420B8" w14:textId="45BCECF0"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250FDC" w:rsidRPr="006740B6" w14:paraId="3EB9249E" w14:textId="77777777" w:rsidTr="00D34E52">
        <w:tc>
          <w:tcPr>
            <w:tcW w:w="1728" w:type="dxa"/>
            <w:shd w:val="clear" w:color="auto" w:fill="auto"/>
          </w:tcPr>
          <w:p w14:paraId="6D65FC35" w14:textId="077A3DFE" w:rsidR="00250FDC" w:rsidRPr="006740B6" w:rsidRDefault="003605D4" w:rsidP="009B6FF0">
            <w:pPr>
              <w:pStyle w:val="Heading5"/>
            </w:pPr>
            <w:proofErr w:type="gramStart"/>
            <w:r w:rsidRPr="006740B6">
              <w:t xml:space="preserve">d.  </w:t>
            </w:r>
            <w:r w:rsidR="005E0705" w:rsidRPr="006740B6">
              <w:t>Evaluation</w:t>
            </w:r>
            <w:proofErr w:type="gramEnd"/>
            <w:r w:rsidR="005E0705" w:rsidRPr="006740B6">
              <w:t xml:space="preserve"> Continuously in Effect</w:t>
            </w:r>
            <w:r w:rsidR="009B6FF0" w:rsidRPr="006740B6">
              <w:t xml:space="preserve"> Regardless of</w:t>
            </w:r>
            <w:r w:rsidR="00250FDC" w:rsidRPr="006740B6">
              <w:t xml:space="preserve"> Recoupments and Deductions</w:t>
            </w:r>
          </w:p>
        </w:tc>
        <w:tc>
          <w:tcPr>
            <w:tcW w:w="7740" w:type="dxa"/>
            <w:shd w:val="clear" w:color="auto" w:fill="auto"/>
          </w:tcPr>
          <w:p w14:paraId="7C896A1F" w14:textId="40DC45FE" w:rsidR="00250FDC" w:rsidRPr="006740B6" w:rsidRDefault="00250FDC" w:rsidP="00D34E52">
            <w:pPr>
              <w:pStyle w:val="BlockText"/>
            </w:pPr>
            <w:r w:rsidRPr="006740B6">
              <w:t xml:space="preserve">For purposes of determining whether </w:t>
            </w:r>
            <w:r w:rsidR="005E0705" w:rsidRPr="006740B6">
              <w:t>an evaluation has been continuously in effect for</w:t>
            </w:r>
            <w:r w:rsidRPr="006740B6">
              <w:t xml:space="preserve"> 20 years, include periods during which recoupment or deduction applied to</w:t>
            </w:r>
            <w:r w:rsidR="005E0705" w:rsidRPr="006740B6">
              <w:t xml:space="preserve"> an award.</w:t>
            </w:r>
          </w:p>
        </w:tc>
      </w:tr>
    </w:tbl>
    <w:p w14:paraId="31246E8A" w14:textId="7D8DE760"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8B" w14:textId="77777777" w:rsidTr="00D34E52">
        <w:tc>
          <w:tcPr>
            <w:tcW w:w="1728" w:type="dxa"/>
          </w:tcPr>
          <w:p w14:paraId="21EEB287" w14:textId="2DE1900A" w:rsidR="00CC6D53" w:rsidRPr="006740B6" w:rsidRDefault="003605D4">
            <w:pPr>
              <w:pStyle w:val="Heading5"/>
            </w:pPr>
            <w:proofErr w:type="gramStart"/>
            <w:r w:rsidRPr="006740B6">
              <w:t xml:space="preserve">e.  </w:t>
            </w:r>
            <w:r w:rsidR="00AA02A6" w:rsidRPr="006740B6">
              <w:t>Protection</w:t>
            </w:r>
            <w:proofErr w:type="gramEnd"/>
            <w:r w:rsidR="00AA02A6" w:rsidRPr="006740B6">
              <w:t xml:space="preserve"> in the Absence of a Monetary Award </w:t>
            </w:r>
          </w:p>
        </w:tc>
        <w:tc>
          <w:tcPr>
            <w:tcW w:w="7740" w:type="dxa"/>
          </w:tcPr>
          <w:p w14:paraId="21EEB288" w14:textId="61626A93" w:rsidR="00CC6D53" w:rsidRPr="006740B6" w:rsidRDefault="00AA02A6">
            <w:pPr>
              <w:pStyle w:val="BlockText"/>
            </w:pPr>
            <w:r w:rsidRPr="006740B6">
              <w:t xml:space="preserve">The protective provisions of </w:t>
            </w:r>
            <w:hyperlink r:id="rId21" w:history="1">
              <w:r w:rsidRPr="006740B6">
                <w:rPr>
                  <w:rStyle w:val="Hyperlink"/>
                </w:rPr>
                <w:t>38 U.S.C. 110</w:t>
              </w:r>
            </w:hyperlink>
            <w:r w:rsidRPr="006740B6">
              <w:t xml:space="preserve"> and </w:t>
            </w:r>
            <w:hyperlink r:id="rId22" w:history="1">
              <w:r w:rsidR="00571785" w:rsidRPr="006740B6">
                <w:rPr>
                  <w:rStyle w:val="Hyperlink"/>
                </w:rPr>
                <w:t>38 CFR 3.951 (b)</w:t>
              </w:r>
            </w:hyperlink>
            <w:r w:rsidRPr="006740B6">
              <w:t xml:space="preserve"> do not require a concurrent award of monetary benefits.</w:t>
            </w:r>
          </w:p>
          <w:p w14:paraId="21EEB289" w14:textId="77777777" w:rsidR="00CC6D53" w:rsidRPr="006740B6" w:rsidRDefault="00CC6D53">
            <w:pPr>
              <w:pStyle w:val="BlockText"/>
            </w:pPr>
          </w:p>
          <w:p w14:paraId="28A9C2C2" w14:textId="2F73201B" w:rsidR="00CC6D53" w:rsidRPr="006740B6" w:rsidRDefault="00F949E5">
            <w:pPr>
              <w:pStyle w:val="BlockText"/>
            </w:pPr>
            <w:r w:rsidRPr="006740B6">
              <w:rPr>
                <w:b/>
                <w:i/>
              </w:rPr>
              <w:t>Example</w:t>
            </w:r>
            <w:r w:rsidRPr="006740B6">
              <w:t xml:space="preserve">:  </w:t>
            </w:r>
            <w:r w:rsidR="00CC49EC" w:rsidRPr="006740B6">
              <w:t xml:space="preserve">Even though a beneficiary has elected not to receive compensation for an evaluation which has been in effect for more than 20 years, the evaluation is protected. </w:t>
            </w:r>
          </w:p>
          <w:p w14:paraId="13A14C48" w14:textId="77777777" w:rsidR="00D34E52" w:rsidRPr="006740B6" w:rsidRDefault="00D34E52">
            <w:pPr>
              <w:pStyle w:val="BlockText"/>
            </w:pPr>
          </w:p>
          <w:p w14:paraId="21EEB28A" w14:textId="30E808EE" w:rsidR="00D34E52" w:rsidRPr="006740B6" w:rsidRDefault="00D34E52">
            <w:pPr>
              <w:pStyle w:val="BlockText"/>
            </w:pPr>
            <w:r w:rsidRPr="006740B6">
              <w:rPr>
                <w:b/>
                <w:i/>
              </w:rPr>
              <w:t>Reference</w:t>
            </w:r>
            <w:r w:rsidRPr="006740B6">
              <w:t>:</w:t>
            </w:r>
            <w:r w:rsidR="00833C99" w:rsidRPr="006740B6">
              <w:t xml:space="preserve"> </w:t>
            </w:r>
            <w:r w:rsidRPr="006740B6">
              <w:t xml:space="preserve"> For more information on protection in the absence of a monetary award, see </w:t>
            </w:r>
            <w:hyperlink r:id="rId23" w:anchor="bms" w:history="1">
              <w:r w:rsidRPr="006740B6">
                <w:rPr>
                  <w:rStyle w:val="Hyperlink"/>
                  <w:i/>
                </w:rPr>
                <w:t>Salgado v. Brown</w:t>
              </w:r>
            </w:hyperlink>
            <w:r w:rsidRPr="006740B6">
              <w:t xml:space="preserve">, 4.Vet.App. 316 (1993).  </w:t>
            </w:r>
          </w:p>
        </w:tc>
      </w:tr>
    </w:tbl>
    <w:p w14:paraId="58396A0A" w14:textId="520C1E28"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94" w14:textId="77777777">
        <w:trPr>
          <w:cantSplit/>
        </w:trPr>
        <w:tc>
          <w:tcPr>
            <w:tcW w:w="1728" w:type="dxa"/>
          </w:tcPr>
          <w:p w14:paraId="21EEB28F" w14:textId="720F38F5" w:rsidR="00CC6D53" w:rsidRPr="006740B6" w:rsidRDefault="003605D4" w:rsidP="003605D4">
            <w:pPr>
              <w:pStyle w:val="Heading5"/>
            </w:pPr>
            <w:proofErr w:type="gramStart"/>
            <w:r w:rsidRPr="006740B6">
              <w:lastRenderedPageBreak/>
              <w:t xml:space="preserve">f.  </w:t>
            </w:r>
            <w:r w:rsidR="00AA02A6" w:rsidRPr="006740B6">
              <w:t>When</w:t>
            </w:r>
            <w:proofErr w:type="gramEnd"/>
            <w:r w:rsidR="00AA02A6" w:rsidRPr="006740B6">
              <w:t xml:space="preserve"> Protection Does Not Accrue</w:t>
            </w:r>
          </w:p>
        </w:tc>
        <w:tc>
          <w:tcPr>
            <w:tcW w:w="7740" w:type="dxa"/>
          </w:tcPr>
          <w:p w14:paraId="21EEB290" w14:textId="17C67CD5" w:rsidR="00CC6D53" w:rsidRPr="006740B6" w:rsidRDefault="00AA02A6">
            <w:pPr>
              <w:pStyle w:val="BlockText"/>
            </w:pPr>
            <w:r w:rsidRPr="006740B6">
              <w:t xml:space="preserve">Under </w:t>
            </w:r>
            <w:hyperlink r:id="rId24" w:history="1">
              <w:r w:rsidRPr="006740B6">
                <w:rPr>
                  <w:rStyle w:val="Hyperlink"/>
                </w:rPr>
                <w:t>38 U.S.C. 110</w:t>
              </w:r>
            </w:hyperlink>
            <w:r w:rsidRPr="006740B6">
              <w:t xml:space="preserve"> and </w:t>
            </w:r>
            <w:hyperlink r:id="rId25" w:history="1">
              <w:r w:rsidR="00571785" w:rsidRPr="006740B6">
                <w:rPr>
                  <w:rStyle w:val="Hyperlink"/>
                </w:rPr>
                <w:t>38 CFR 3.951(b)</w:t>
              </w:r>
            </w:hyperlink>
            <w:r w:rsidR="00560D4D" w:rsidRPr="006740B6">
              <w:t>,</w:t>
            </w:r>
            <w:r w:rsidRPr="006740B6">
              <w:t xml:space="preserve"> protection does not accrue for</w:t>
            </w:r>
            <w:r w:rsidRPr="006740B6">
              <w:rPr>
                <w:shd w:val="clear" w:color="auto" w:fill="FFFF00"/>
              </w:rPr>
              <w:t xml:space="preserve"> </w:t>
            </w:r>
          </w:p>
          <w:p w14:paraId="21EEB291" w14:textId="77777777" w:rsidR="00CC6D53" w:rsidRPr="006740B6" w:rsidRDefault="00CC6D53">
            <w:pPr>
              <w:pStyle w:val="BlockText"/>
            </w:pPr>
          </w:p>
          <w:p w14:paraId="21EEB292" w14:textId="471B2E0E" w:rsidR="00CC6D53" w:rsidRPr="006740B6" w:rsidRDefault="00AA02A6">
            <w:pPr>
              <w:pStyle w:val="BulletText1"/>
            </w:pPr>
            <w:r w:rsidRPr="006740B6">
              <w:t xml:space="preserve">a </w:t>
            </w:r>
            <w:r w:rsidR="00511747" w:rsidRPr="006740B6">
              <w:t>V</w:t>
            </w:r>
            <w:r w:rsidRPr="006740B6">
              <w:t>eteran who renounces entitlement to disability benefits, or</w:t>
            </w:r>
          </w:p>
          <w:p w14:paraId="21EEB293" w14:textId="3941AF2A" w:rsidR="00AB17ED" w:rsidRPr="006740B6" w:rsidRDefault="00AA02A6" w:rsidP="00AB17ED">
            <w:pPr>
              <w:pStyle w:val="BulletText1"/>
            </w:pPr>
            <w:proofErr w:type="gramStart"/>
            <w:r w:rsidRPr="006740B6">
              <w:t>ratings</w:t>
            </w:r>
            <w:proofErr w:type="gramEnd"/>
            <w:r w:rsidRPr="006740B6">
              <w:t xml:space="preserve"> for other than compensation purposes, such as ancillary benefits.</w:t>
            </w:r>
          </w:p>
        </w:tc>
      </w:tr>
    </w:tbl>
    <w:p w14:paraId="6A107E28" w14:textId="3549B9AC"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38019D" w:rsidRPr="006740B6" w14:paraId="1524A583" w14:textId="77777777" w:rsidTr="0038019D">
        <w:tc>
          <w:tcPr>
            <w:tcW w:w="1728" w:type="dxa"/>
            <w:shd w:val="clear" w:color="auto" w:fill="auto"/>
          </w:tcPr>
          <w:p w14:paraId="76210875" w14:textId="4110FF81" w:rsidR="0038019D" w:rsidRPr="006740B6" w:rsidRDefault="004E62ED" w:rsidP="0038019D">
            <w:pPr>
              <w:pStyle w:val="Heading5"/>
            </w:pPr>
            <w:proofErr w:type="gramStart"/>
            <w:r w:rsidRPr="006740B6">
              <w:t xml:space="preserve">g.  </w:t>
            </w:r>
            <w:r w:rsidR="0038019D" w:rsidRPr="006740B6">
              <w:t>Protection</w:t>
            </w:r>
            <w:proofErr w:type="gramEnd"/>
            <w:r w:rsidR="0038019D" w:rsidRPr="006740B6">
              <w:t xml:space="preserve"> of SMC evaluations</w:t>
            </w:r>
          </w:p>
        </w:tc>
        <w:tc>
          <w:tcPr>
            <w:tcW w:w="7740" w:type="dxa"/>
            <w:shd w:val="clear" w:color="auto" w:fill="auto"/>
          </w:tcPr>
          <w:p w14:paraId="5444124C" w14:textId="77777777" w:rsidR="0038019D" w:rsidRPr="006740B6" w:rsidRDefault="0038019D" w:rsidP="0038019D">
            <w:pPr>
              <w:pStyle w:val="BlockText"/>
            </w:pPr>
            <w:r w:rsidRPr="006740B6">
              <w:t xml:space="preserve">Protection under </w:t>
            </w:r>
            <w:hyperlink r:id="rId26" w:history="1">
              <w:r w:rsidRPr="006740B6">
                <w:rPr>
                  <w:rStyle w:val="Hyperlink"/>
                </w:rPr>
                <w:t>38 U.S.C. 110</w:t>
              </w:r>
            </w:hyperlink>
            <w:r w:rsidRPr="006740B6">
              <w:t xml:space="preserve"> and </w:t>
            </w:r>
            <w:hyperlink r:id="rId27" w:history="1">
              <w:r w:rsidRPr="006740B6">
                <w:rPr>
                  <w:rStyle w:val="Hyperlink"/>
                </w:rPr>
                <w:t>38 CFR 3.951(b)</w:t>
              </w:r>
            </w:hyperlink>
            <w:r w:rsidRPr="006740B6">
              <w:t xml:space="preserve"> applies to grants of special monthly compensation (SMC).  </w:t>
            </w:r>
          </w:p>
          <w:p w14:paraId="527EE139" w14:textId="77777777" w:rsidR="0038019D" w:rsidRPr="006740B6" w:rsidRDefault="0038019D" w:rsidP="0038019D">
            <w:pPr>
              <w:pStyle w:val="BlockText"/>
            </w:pPr>
          </w:p>
          <w:p w14:paraId="6C4E5BCD" w14:textId="44C72875" w:rsidR="0038019D" w:rsidRPr="006740B6" w:rsidRDefault="0038019D" w:rsidP="0038019D">
            <w:pPr>
              <w:pStyle w:val="BlockText"/>
            </w:pPr>
            <w:r w:rsidRPr="006740B6">
              <w:t xml:space="preserve">Although SMC is an ancillary benefit, it is compensation and the legislative intent of </w:t>
            </w:r>
            <w:r w:rsidRPr="006740B6">
              <w:rPr>
                <w:i/>
              </w:rPr>
              <w:t>Public Law (PL) 102-86</w:t>
            </w:r>
            <w:r w:rsidRPr="006740B6">
              <w:t xml:space="preserve"> amendments to </w:t>
            </w:r>
            <w:hyperlink r:id="rId28" w:history="1">
              <w:r w:rsidRPr="006740B6">
                <w:rPr>
                  <w:rStyle w:val="Hyperlink"/>
                </w:rPr>
                <w:t>38 U.S.C. 110</w:t>
              </w:r>
            </w:hyperlink>
            <w:r w:rsidRPr="006740B6">
              <w:t xml:space="preserve"> was to extend the 20-year protection</w:t>
            </w:r>
            <w:r w:rsidR="002A1C72" w:rsidRPr="006740B6">
              <w:t xml:space="preserve"> principle to SMC evaluations. </w:t>
            </w:r>
          </w:p>
        </w:tc>
      </w:tr>
    </w:tbl>
    <w:p w14:paraId="17AC8F30" w14:textId="16BD8ABA"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9850CC" w:rsidRPr="006740B6" w14:paraId="6B3A712F" w14:textId="77777777" w:rsidTr="00B93A5F">
        <w:trPr>
          <w:trHeight w:val="531"/>
        </w:trPr>
        <w:tc>
          <w:tcPr>
            <w:tcW w:w="1728" w:type="dxa"/>
            <w:shd w:val="clear" w:color="auto" w:fill="auto"/>
          </w:tcPr>
          <w:p w14:paraId="23C23C52" w14:textId="4FF5A30F" w:rsidR="009850CC" w:rsidRPr="006740B6" w:rsidRDefault="004E62ED" w:rsidP="0053282A">
            <w:pPr>
              <w:pStyle w:val="Heading5"/>
            </w:pPr>
            <w:proofErr w:type="gramStart"/>
            <w:r w:rsidRPr="006740B6">
              <w:t>h</w:t>
            </w:r>
            <w:r w:rsidR="003605D4" w:rsidRPr="006740B6">
              <w:t>.</w:t>
            </w:r>
            <w:r w:rsidR="00096BC6" w:rsidRPr="006740B6">
              <w:t xml:space="preserve"> </w:t>
            </w:r>
            <w:r w:rsidR="0038019D" w:rsidRPr="006740B6">
              <w:t xml:space="preserve"> </w:t>
            </w:r>
            <w:r w:rsidR="0053282A" w:rsidRPr="006740B6">
              <w:t>Calculation</w:t>
            </w:r>
            <w:proofErr w:type="gramEnd"/>
            <w:r w:rsidR="0053282A" w:rsidRPr="006740B6">
              <w:t xml:space="preserve"> </w:t>
            </w:r>
            <w:r w:rsidR="0038019D" w:rsidRPr="006740B6">
              <w:t xml:space="preserve">of SMC on </w:t>
            </w:r>
            <w:r w:rsidR="0053282A" w:rsidRPr="006740B6">
              <w:t>E</w:t>
            </w:r>
            <w:r w:rsidR="0038019D" w:rsidRPr="006740B6">
              <w:t xml:space="preserve">rroneous </w:t>
            </w:r>
            <w:r w:rsidR="0053282A" w:rsidRPr="006740B6">
              <w:t>Protected Evaluations</w:t>
            </w:r>
          </w:p>
        </w:tc>
        <w:tc>
          <w:tcPr>
            <w:tcW w:w="7740" w:type="dxa"/>
            <w:shd w:val="clear" w:color="auto" w:fill="auto"/>
          </w:tcPr>
          <w:p w14:paraId="151F9655" w14:textId="2CFAF171" w:rsidR="009850CC" w:rsidRPr="006740B6" w:rsidRDefault="004E62ED" w:rsidP="00B93A5F">
            <w:pPr>
              <w:pStyle w:val="BlockText"/>
            </w:pPr>
            <w:r w:rsidRPr="006740B6">
              <w:t>W</w:t>
            </w:r>
            <w:r w:rsidR="0038019D" w:rsidRPr="006740B6">
              <w:t xml:space="preserve">hen </w:t>
            </w:r>
            <w:r w:rsidR="00B60A5A" w:rsidRPr="006740B6">
              <w:t xml:space="preserve">a compensation </w:t>
            </w:r>
            <w:r w:rsidRPr="006740B6">
              <w:t xml:space="preserve">disability </w:t>
            </w:r>
            <w:r w:rsidR="00B60A5A" w:rsidRPr="006740B6">
              <w:t xml:space="preserve">percentage </w:t>
            </w:r>
            <w:r w:rsidR="009850CC" w:rsidRPr="006740B6">
              <w:t>is protected</w:t>
            </w:r>
            <w:r w:rsidR="002716FD" w:rsidRPr="006740B6">
              <w:t xml:space="preserve"> but erroneous, </w:t>
            </w:r>
            <w:r w:rsidR="008E5B6B" w:rsidRPr="006740B6">
              <w:t xml:space="preserve">assess </w:t>
            </w:r>
            <w:r w:rsidR="002716FD" w:rsidRPr="006740B6">
              <w:t xml:space="preserve">entitlement to </w:t>
            </w:r>
            <w:r w:rsidR="009850CC" w:rsidRPr="006740B6">
              <w:t>SMC</w:t>
            </w:r>
            <w:r w:rsidR="002716FD" w:rsidRPr="006740B6">
              <w:t xml:space="preserve"> as if the </w:t>
            </w:r>
            <w:r w:rsidRPr="006740B6">
              <w:t xml:space="preserve">protected disability </w:t>
            </w:r>
            <w:r w:rsidR="008E5B6B" w:rsidRPr="006740B6">
              <w:t xml:space="preserve">evaluation </w:t>
            </w:r>
            <w:r w:rsidR="002716FD" w:rsidRPr="006740B6">
              <w:t xml:space="preserve">was </w:t>
            </w:r>
            <w:r w:rsidRPr="006740B6">
              <w:t>correct</w:t>
            </w:r>
            <w:r w:rsidR="009850CC" w:rsidRPr="006740B6">
              <w:t>.</w:t>
            </w:r>
          </w:p>
          <w:p w14:paraId="77D6FACA" w14:textId="77777777" w:rsidR="009850CC" w:rsidRPr="006740B6" w:rsidRDefault="009850CC" w:rsidP="00B93A5F">
            <w:pPr>
              <w:pStyle w:val="BlockText"/>
            </w:pPr>
          </w:p>
          <w:p w14:paraId="112344E3" w14:textId="10399FFF" w:rsidR="009850CC" w:rsidRPr="006740B6" w:rsidRDefault="009850CC" w:rsidP="00B93A5F">
            <w:pPr>
              <w:pStyle w:val="BlockText"/>
            </w:pPr>
            <w:r w:rsidRPr="006740B6">
              <w:rPr>
                <w:b/>
                <w:i/>
              </w:rPr>
              <w:t>Example</w:t>
            </w:r>
            <w:r w:rsidR="002716FD" w:rsidRPr="006740B6">
              <w:t xml:space="preserve">:  </w:t>
            </w:r>
            <w:r w:rsidR="00B93A5F" w:rsidRPr="006740B6">
              <w:t>W</w:t>
            </w:r>
            <w:r w:rsidR="002716FD" w:rsidRPr="006740B6">
              <w:t>here a 1</w:t>
            </w:r>
            <w:r w:rsidR="00833C99" w:rsidRPr="006740B6">
              <w:t>00-</w:t>
            </w:r>
            <w:r w:rsidRPr="006740B6">
              <w:t xml:space="preserve">percent evaluation </w:t>
            </w:r>
            <w:r w:rsidR="002716FD" w:rsidRPr="006740B6">
              <w:t xml:space="preserve">was just granted for arteriosclerosis and </w:t>
            </w:r>
            <w:r w:rsidRPr="006740B6">
              <w:t xml:space="preserve">a 60 percent evaluation </w:t>
            </w:r>
            <w:r w:rsidR="00E1201F" w:rsidRPr="006740B6">
              <w:t xml:space="preserve">for another SC disability </w:t>
            </w:r>
            <w:r w:rsidR="002716FD" w:rsidRPr="006740B6">
              <w:t>has been in e</w:t>
            </w:r>
            <w:r w:rsidRPr="006740B6">
              <w:t>ffect for 20 years</w:t>
            </w:r>
            <w:r w:rsidR="00B60A5A" w:rsidRPr="006740B6">
              <w:t xml:space="preserve">, </w:t>
            </w:r>
            <w:r w:rsidRPr="006740B6">
              <w:t>SMC(s) (statutory housebound SMC) must be granted even if the 60</w:t>
            </w:r>
            <w:r w:rsidR="00833C99" w:rsidRPr="006740B6">
              <w:t>-</w:t>
            </w:r>
            <w:r w:rsidRPr="006740B6">
              <w:t xml:space="preserve">percent evaluation was erroneous. </w:t>
            </w:r>
          </w:p>
          <w:p w14:paraId="3D4824D8" w14:textId="77777777" w:rsidR="002716FD" w:rsidRPr="006740B6" w:rsidRDefault="002716FD" w:rsidP="00B93A5F">
            <w:pPr>
              <w:pStyle w:val="BlockText"/>
            </w:pPr>
          </w:p>
          <w:p w14:paraId="6D90E8A8" w14:textId="40D67962" w:rsidR="009850CC" w:rsidRPr="006740B6" w:rsidRDefault="009850CC" w:rsidP="00B93A5F">
            <w:pPr>
              <w:pStyle w:val="BlockText"/>
            </w:pPr>
            <w:r w:rsidRPr="006740B6">
              <w:rPr>
                <w:b/>
                <w:i/>
              </w:rPr>
              <w:t>Reference</w:t>
            </w:r>
            <w:r w:rsidRPr="006740B6">
              <w:t>:  For more information</w:t>
            </w:r>
            <w:r w:rsidR="002716FD" w:rsidRPr="006740B6">
              <w:t xml:space="preserve"> on SMC and erroneous</w:t>
            </w:r>
            <w:r w:rsidR="00DB0536" w:rsidRPr="006740B6">
              <w:t>,</w:t>
            </w:r>
            <w:r w:rsidR="002716FD" w:rsidRPr="006740B6">
              <w:t xml:space="preserve"> but protected</w:t>
            </w:r>
            <w:r w:rsidR="00DB0536" w:rsidRPr="006740B6">
              <w:t>,</w:t>
            </w:r>
            <w:r w:rsidR="002716FD" w:rsidRPr="006740B6">
              <w:t xml:space="preserve"> evaluations</w:t>
            </w:r>
            <w:r w:rsidRPr="006740B6">
              <w:t xml:space="preserve">, see </w:t>
            </w:r>
            <w:hyperlink r:id="rId29" w:history="1">
              <w:r w:rsidRPr="006740B6">
                <w:rPr>
                  <w:rStyle w:val="Hyperlink"/>
                </w:rPr>
                <w:t>VAOPGCPREC 16-</w:t>
              </w:r>
              <w:r w:rsidR="00DF7A43" w:rsidRPr="006740B6">
                <w:rPr>
                  <w:rStyle w:val="Hyperlink"/>
                </w:rPr>
                <w:t>19</w:t>
              </w:r>
              <w:r w:rsidRPr="006740B6">
                <w:rPr>
                  <w:rStyle w:val="Hyperlink"/>
                </w:rPr>
                <w:t>89</w:t>
              </w:r>
            </w:hyperlink>
            <w:r w:rsidR="002716FD" w:rsidRPr="006740B6">
              <w:t>.</w:t>
            </w:r>
          </w:p>
        </w:tc>
      </w:tr>
    </w:tbl>
    <w:p w14:paraId="0144C72C" w14:textId="0ACC99F6"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98" w14:textId="77777777">
        <w:trPr>
          <w:cantSplit/>
        </w:trPr>
        <w:tc>
          <w:tcPr>
            <w:tcW w:w="1728" w:type="dxa"/>
          </w:tcPr>
          <w:p w14:paraId="21EEB296" w14:textId="7CEF8EED" w:rsidR="00CC6D53" w:rsidRPr="006740B6" w:rsidRDefault="004E62ED">
            <w:pPr>
              <w:pStyle w:val="Heading5"/>
            </w:pPr>
            <w:proofErr w:type="gramStart"/>
            <w:r w:rsidRPr="006740B6">
              <w:t>i</w:t>
            </w:r>
            <w:r w:rsidR="003605D4" w:rsidRPr="006740B6">
              <w:t>.</w:t>
            </w:r>
            <w:r w:rsidR="00AA02A6" w:rsidRPr="006740B6">
              <w:t xml:space="preserve">  Protection</w:t>
            </w:r>
            <w:proofErr w:type="gramEnd"/>
            <w:r w:rsidR="00AA02A6" w:rsidRPr="006740B6">
              <w:t xml:space="preserve"> Resulting From Retroactive Increases</w:t>
            </w:r>
          </w:p>
        </w:tc>
        <w:tc>
          <w:tcPr>
            <w:tcW w:w="7740" w:type="dxa"/>
          </w:tcPr>
          <w:p w14:paraId="78E84F41" w14:textId="3C27C00F" w:rsidR="00CC6D53" w:rsidRPr="006740B6" w:rsidRDefault="00AA02A6" w:rsidP="00511747">
            <w:pPr>
              <w:pStyle w:val="BlockText"/>
            </w:pPr>
            <w:r w:rsidRPr="006740B6">
              <w:t xml:space="preserve">If a retroactive increase under </w:t>
            </w:r>
            <w:hyperlink r:id="rId30" w:history="1">
              <w:r w:rsidR="0078364A" w:rsidRPr="006740B6">
                <w:rPr>
                  <w:rStyle w:val="Hyperlink"/>
                </w:rPr>
                <w:t>38 CFR 3.105(a)</w:t>
              </w:r>
            </w:hyperlink>
            <w:r w:rsidRPr="006740B6">
              <w:t xml:space="preserve"> results in a </w:t>
            </w:r>
            <w:r w:rsidR="00511747" w:rsidRPr="006740B6">
              <w:t>V</w:t>
            </w:r>
            <w:r w:rsidRPr="006740B6">
              <w:t xml:space="preserve">eteran having been rated for 20 years or longer at a certain level, the evaluation is protected under </w:t>
            </w:r>
            <w:hyperlink r:id="rId31" w:history="1">
              <w:r w:rsidR="00560D4D" w:rsidRPr="006740B6">
                <w:rPr>
                  <w:rStyle w:val="Hyperlink"/>
                </w:rPr>
                <w:t>38 CFR 3.951(b)</w:t>
              </w:r>
            </w:hyperlink>
            <w:r w:rsidRPr="006740B6">
              <w:t xml:space="preserve"> and may </w:t>
            </w:r>
            <w:r w:rsidRPr="006740B6">
              <w:rPr>
                <w:i/>
              </w:rPr>
              <w:t>not</w:t>
            </w:r>
            <w:r w:rsidRPr="006740B6">
              <w:t xml:space="preserve"> be reduced in the absence of a showing of fraud.</w:t>
            </w:r>
          </w:p>
          <w:p w14:paraId="5521FF74" w14:textId="77777777" w:rsidR="006B6929" w:rsidRPr="006740B6" w:rsidRDefault="006B6929" w:rsidP="006B6929"/>
          <w:p w14:paraId="21EEB297" w14:textId="73207FDF" w:rsidR="006B6929" w:rsidRPr="006740B6" w:rsidRDefault="002716FD" w:rsidP="002716FD">
            <w:r w:rsidRPr="006740B6">
              <w:rPr>
                <w:b/>
                <w:i/>
              </w:rPr>
              <w:t>Reference</w:t>
            </w:r>
            <w:r w:rsidRPr="006740B6">
              <w:t xml:space="preserve">:  For more information, see </w:t>
            </w:r>
            <w:hyperlink r:id="rId32" w:history="1">
              <w:r w:rsidRPr="006740B6">
                <w:rPr>
                  <w:rStyle w:val="Hyperlink"/>
                </w:rPr>
                <w:t>VAOPGCPREC 68-</w:t>
              </w:r>
              <w:r w:rsidR="00DF7A43" w:rsidRPr="006740B6">
                <w:rPr>
                  <w:rStyle w:val="Hyperlink"/>
                </w:rPr>
                <w:t>19</w:t>
              </w:r>
              <w:r w:rsidRPr="006740B6">
                <w:rPr>
                  <w:rStyle w:val="Hyperlink"/>
                </w:rPr>
                <w:t>91</w:t>
              </w:r>
            </w:hyperlink>
            <w:r w:rsidRPr="006740B6">
              <w:t>.</w:t>
            </w:r>
          </w:p>
        </w:tc>
      </w:tr>
    </w:tbl>
    <w:p w14:paraId="1752307C" w14:textId="67147F20"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A0" w14:textId="77777777">
        <w:trPr>
          <w:cantSplit/>
        </w:trPr>
        <w:tc>
          <w:tcPr>
            <w:tcW w:w="1728" w:type="dxa"/>
          </w:tcPr>
          <w:p w14:paraId="21EEB29A" w14:textId="2AA51BE5" w:rsidR="00CC6D53" w:rsidRPr="006740B6" w:rsidRDefault="004E62ED" w:rsidP="00B0322A">
            <w:pPr>
              <w:pStyle w:val="Heading5"/>
            </w:pPr>
            <w:proofErr w:type="gramStart"/>
            <w:r w:rsidRPr="006740B6">
              <w:t>j</w:t>
            </w:r>
            <w:r w:rsidR="00AA02A6" w:rsidRPr="006740B6">
              <w:t xml:space="preserve">.  </w:t>
            </w:r>
            <w:r w:rsidR="00C05BFD" w:rsidRPr="006740B6">
              <w:t>Protect</w:t>
            </w:r>
            <w:r w:rsidR="00AA02A6" w:rsidRPr="006740B6">
              <w:t>ed</w:t>
            </w:r>
            <w:proofErr w:type="gramEnd"/>
            <w:r w:rsidR="00AA02A6" w:rsidRPr="006740B6">
              <w:t xml:space="preserve"> Combined Evaluations</w:t>
            </w:r>
          </w:p>
        </w:tc>
        <w:tc>
          <w:tcPr>
            <w:tcW w:w="7740" w:type="dxa"/>
          </w:tcPr>
          <w:p w14:paraId="21EEB29B" w14:textId="6674E723" w:rsidR="00CC6D53" w:rsidRPr="006740B6" w:rsidRDefault="00AA02A6">
            <w:pPr>
              <w:pStyle w:val="BlockText"/>
            </w:pPr>
            <w:r w:rsidRPr="006740B6">
              <w:t xml:space="preserve">Do </w:t>
            </w:r>
            <w:r w:rsidRPr="006740B6">
              <w:rPr>
                <w:i/>
              </w:rPr>
              <w:t>not</w:t>
            </w:r>
            <w:r w:rsidRPr="006740B6">
              <w:t xml:space="preserve"> reduce benefits when a combined evaluation has been in effect for 20 years or more </w:t>
            </w:r>
            <w:r w:rsidRPr="006740B6">
              <w:rPr>
                <w:i/>
              </w:rPr>
              <w:t>except</w:t>
            </w:r>
            <w:r w:rsidRPr="006740B6">
              <w:t xml:space="preserve"> in the case of fraud.  Both the individual evaluations and the combined evaluation are protected under </w:t>
            </w:r>
            <w:hyperlink r:id="rId33" w:history="1">
              <w:r w:rsidR="00560D4D" w:rsidRPr="006740B6">
                <w:rPr>
                  <w:rStyle w:val="Hyperlink"/>
                </w:rPr>
                <w:t>38 CFR 3.951(b)</w:t>
              </w:r>
            </w:hyperlink>
            <w:r w:rsidR="00560D4D" w:rsidRPr="006740B6">
              <w:t>,</w:t>
            </w:r>
            <w:r w:rsidRPr="006740B6">
              <w:t xml:space="preserve"> even if erroneously assigned.</w:t>
            </w:r>
          </w:p>
          <w:p w14:paraId="66B25F88" w14:textId="77777777" w:rsidR="00C05BFD" w:rsidRPr="006740B6" w:rsidRDefault="00C05BFD">
            <w:pPr>
              <w:pStyle w:val="BlockText"/>
            </w:pPr>
          </w:p>
          <w:p w14:paraId="21EEB29D" w14:textId="04477102" w:rsidR="00CC6D53" w:rsidRPr="006740B6" w:rsidRDefault="00AA02A6">
            <w:pPr>
              <w:pStyle w:val="BlockText"/>
            </w:pPr>
            <w:r w:rsidRPr="006740B6">
              <w:rPr>
                <w:b/>
                <w:i/>
              </w:rPr>
              <w:t>Example</w:t>
            </w:r>
            <w:r w:rsidRPr="006740B6">
              <w:t>:  No rating action is warranted to reduce the erroneous 50</w:t>
            </w:r>
            <w:r w:rsidR="00833C99" w:rsidRPr="006740B6">
              <w:t>-</w:t>
            </w:r>
            <w:r w:rsidRPr="006740B6">
              <w:t>percent combined evaluation to the proper 40</w:t>
            </w:r>
            <w:r w:rsidR="00833C99" w:rsidRPr="006740B6">
              <w:t>-</w:t>
            </w:r>
            <w:r w:rsidRPr="006740B6">
              <w:t>percent combined evaluation in a case where</w:t>
            </w:r>
          </w:p>
          <w:p w14:paraId="21EEB29E" w14:textId="206F58B2" w:rsidR="00CC6D53" w:rsidRPr="006740B6" w:rsidRDefault="00AA02A6">
            <w:pPr>
              <w:pStyle w:val="BulletText1"/>
            </w:pPr>
            <w:r w:rsidRPr="006740B6">
              <w:t>two compensable SC disabilities have been evaluated at 30</w:t>
            </w:r>
            <w:r w:rsidR="00833C99" w:rsidRPr="006740B6">
              <w:t>-</w:t>
            </w:r>
            <w:r w:rsidRPr="006740B6">
              <w:t>percent and 20</w:t>
            </w:r>
            <w:r w:rsidR="00833C99" w:rsidRPr="006740B6">
              <w:t>-</w:t>
            </w:r>
            <w:r w:rsidRPr="006740B6">
              <w:t>percent disabling, respectively, and</w:t>
            </w:r>
          </w:p>
          <w:p w14:paraId="21EEB29F" w14:textId="63213FED" w:rsidR="005A60E3" w:rsidRPr="006740B6" w:rsidRDefault="00AA02A6" w:rsidP="00A23166">
            <w:pPr>
              <w:pStyle w:val="BulletText1"/>
            </w:pPr>
            <w:proofErr w:type="gramStart"/>
            <w:r w:rsidRPr="006740B6">
              <w:t>an</w:t>
            </w:r>
            <w:proofErr w:type="gramEnd"/>
            <w:r w:rsidRPr="006740B6">
              <w:t xml:space="preserve"> improperly assigned combined degree of 50 percent has been in effect for 20 or more years.</w:t>
            </w:r>
          </w:p>
        </w:tc>
      </w:tr>
    </w:tbl>
    <w:p w14:paraId="167D6C68" w14:textId="068E5378"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251C6F" w:rsidRPr="006740B6" w14:paraId="4F034EEB" w14:textId="77777777" w:rsidTr="00961154">
        <w:trPr>
          <w:trHeight w:val="1080"/>
        </w:trPr>
        <w:tc>
          <w:tcPr>
            <w:tcW w:w="1728" w:type="dxa"/>
            <w:shd w:val="clear" w:color="auto" w:fill="auto"/>
          </w:tcPr>
          <w:p w14:paraId="798B97A9" w14:textId="1A890D5F" w:rsidR="00251C6F" w:rsidRPr="006740B6" w:rsidRDefault="00961154" w:rsidP="00EE7084">
            <w:pPr>
              <w:pStyle w:val="Heading5"/>
            </w:pPr>
            <w:proofErr w:type="gramStart"/>
            <w:r w:rsidRPr="006740B6">
              <w:lastRenderedPageBreak/>
              <w:t>k</w:t>
            </w:r>
            <w:r w:rsidR="00251C6F" w:rsidRPr="006740B6">
              <w:t>.  Effect</w:t>
            </w:r>
            <w:proofErr w:type="gramEnd"/>
            <w:r w:rsidR="00251C6F" w:rsidRPr="006740B6">
              <w:t xml:space="preserve"> of Change in DC</w:t>
            </w:r>
          </w:p>
        </w:tc>
        <w:tc>
          <w:tcPr>
            <w:tcW w:w="7740" w:type="dxa"/>
            <w:shd w:val="clear" w:color="auto" w:fill="auto"/>
          </w:tcPr>
          <w:p w14:paraId="3075FD00" w14:textId="126E3374" w:rsidR="00DE2552" w:rsidRPr="006740B6" w:rsidRDefault="00251C6F" w:rsidP="00B86D76">
            <w:pPr>
              <w:pStyle w:val="BlockText"/>
            </w:pPr>
            <w:r w:rsidRPr="006740B6">
              <w:t xml:space="preserve">When </w:t>
            </w:r>
            <w:r w:rsidR="000503B3" w:rsidRPr="006740B6">
              <w:t>manifestations</w:t>
            </w:r>
            <w:r w:rsidRPr="006740B6">
              <w:t xml:space="preserve"> of a disability have been evaluated </w:t>
            </w:r>
            <w:r w:rsidR="00B86D76" w:rsidRPr="006740B6">
              <w:t xml:space="preserve">at </w:t>
            </w:r>
            <w:r w:rsidR="00285666" w:rsidRPr="006740B6">
              <w:t>a particular</w:t>
            </w:r>
            <w:r w:rsidR="00B86D76" w:rsidRPr="006740B6">
              <w:t xml:space="preserve"> level </w:t>
            </w:r>
            <w:r w:rsidRPr="006740B6">
              <w:t xml:space="preserve">for 20 years or more, exercise caution </w:t>
            </w:r>
            <w:r w:rsidR="009636E5" w:rsidRPr="006740B6">
              <w:t>when</w:t>
            </w:r>
            <w:r w:rsidRPr="006740B6">
              <w:t xml:space="preserve"> assigning a new </w:t>
            </w:r>
            <w:r w:rsidR="009636E5" w:rsidRPr="006740B6">
              <w:t xml:space="preserve">DC </w:t>
            </w:r>
            <w:r w:rsidRPr="006740B6">
              <w:t xml:space="preserve">for symptoms of that disability.  </w:t>
            </w:r>
            <w:proofErr w:type="spellStart"/>
            <w:r w:rsidR="00933537" w:rsidRPr="006740B6">
              <w:t>Decisionmakers</w:t>
            </w:r>
            <w:proofErr w:type="spellEnd"/>
            <w:r w:rsidR="00933537" w:rsidRPr="006740B6">
              <w:t xml:space="preserve"> </w:t>
            </w:r>
            <w:r w:rsidR="00433827" w:rsidRPr="006740B6">
              <w:t>should</w:t>
            </w:r>
            <w:r w:rsidR="00933537" w:rsidRPr="006740B6">
              <w:t xml:space="preserve"> consider whether</w:t>
            </w:r>
          </w:p>
          <w:p w14:paraId="462B2379" w14:textId="77777777" w:rsidR="00833C99" w:rsidRPr="006740B6" w:rsidRDefault="00833C99" w:rsidP="00B86D76">
            <w:pPr>
              <w:pStyle w:val="BlockText"/>
            </w:pPr>
          </w:p>
          <w:p w14:paraId="1F9CD081" w14:textId="2AF3A88B" w:rsidR="00DE2552" w:rsidRPr="006740B6" w:rsidRDefault="009636E5" w:rsidP="00933537">
            <w:pPr>
              <w:pStyle w:val="BulletText1"/>
            </w:pPr>
            <w:r w:rsidRPr="006740B6">
              <w:t xml:space="preserve">the new </w:t>
            </w:r>
            <w:r w:rsidR="00285666" w:rsidRPr="006740B6">
              <w:t>DC</w:t>
            </w:r>
            <w:r w:rsidRPr="006740B6">
              <w:t xml:space="preserve"> includes </w:t>
            </w:r>
            <w:r w:rsidR="00B86D76" w:rsidRPr="006740B6">
              <w:t xml:space="preserve">the </w:t>
            </w:r>
            <w:r w:rsidRPr="006740B6">
              <w:t xml:space="preserve">symptoms </w:t>
            </w:r>
            <w:r w:rsidR="00B86D76" w:rsidRPr="006740B6">
              <w:t>protected under the current evaluation</w:t>
            </w:r>
            <w:r w:rsidR="00DE2552" w:rsidRPr="006740B6">
              <w:t>,</w:t>
            </w:r>
            <w:r w:rsidR="00B86D76" w:rsidRPr="006740B6">
              <w:t xml:space="preserve"> </w:t>
            </w:r>
            <w:r w:rsidR="00DE2552" w:rsidRPr="006740B6">
              <w:t>or</w:t>
            </w:r>
          </w:p>
          <w:p w14:paraId="7E5156A3" w14:textId="486C084B" w:rsidR="00DE2552" w:rsidRPr="006740B6" w:rsidRDefault="00B86D76" w:rsidP="00933537">
            <w:pPr>
              <w:pStyle w:val="BulletText1"/>
            </w:pPr>
            <w:proofErr w:type="gramStart"/>
            <w:r w:rsidRPr="006740B6">
              <w:t>the</w:t>
            </w:r>
            <w:proofErr w:type="gramEnd"/>
            <w:r w:rsidRPr="006740B6">
              <w:t xml:space="preserve"> new DC considers separate and distinct symptoms. </w:t>
            </w:r>
            <w:r w:rsidR="00964533" w:rsidRPr="006740B6">
              <w:t xml:space="preserve"> </w:t>
            </w:r>
          </w:p>
          <w:p w14:paraId="27CFAF01" w14:textId="77777777" w:rsidR="00DE2552" w:rsidRPr="006740B6" w:rsidRDefault="00DE2552" w:rsidP="00F92138">
            <w:pPr>
              <w:pStyle w:val="ListParagraph"/>
              <w:ind w:left="158"/>
            </w:pPr>
          </w:p>
          <w:p w14:paraId="099306C3" w14:textId="21A9511E" w:rsidR="009F2658" w:rsidRPr="006740B6" w:rsidRDefault="009F2658" w:rsidP="009F2658">
            <w:r w:rsidRPr="006740B6">
              <w:rPr>
                <w:b/>
                <w:i/>
              </w:rPr>
              <w:t>Important</w:t>
            </w:r>
            <w:r w:rsidRPr="006740B6">
              <w:t xml:space="preserve">:  The change in DC does not affect the protected status under </w:t>
            </w:r>
            <w:hyperlink r:id="rId34" w:history="1">
              <w:r w:rsidRPr="006740B6">
                <w:rPr>
                  <w:rStyle w:val="Hyperlink"/>
                </w:rPr>
                <w:t>38 CFR 3.951</w:t>
              </w:r>
            </w:hyperlink>
            <w:r w:rsidRPr="006740B6">
              <w:t xml:space="preserve">. </w:t>
            </w:r>
          </w:p>
          <w:p w14:paraId="75A8D8CF" w14:textId="77777777" w:rsidR="00DE2552" w:rsidRPr="006740B6" w:rsidRDefault="00DE2552" w:rsidP="00B86D76">
            <w:pPr>
              <w:pStyle w:val="BlockText"/>
            </w:pPr>
          </w:p>
          <w:p w14:paraId="69926A5E" w14:textId="01E51EB1" w:rsidR="00DE2552" w:rsidRPr="006740B6" w:rsidRDefault="00DE2552" w:rsidP="00DE2552">
            <w:r w:rsidRPr="006740B6">
              <w:t xml:space="preserve">When progression of a disability warrants a different DC than originally assigned, close out the original DC and establish </w:t>
            </w:r>
            <w:r w:rsidR="0079645F" w:rsidRPr="006740B6">
              <w:t xml:space="preserve">a </w:t>
            </w:r>
            <w:r w:rsidRPr="006740B6">
              <w:t>new DC</w:t>
            </w:r>
            <w:r w:rsidR="00D50F8F" w:rsidRPr="006740B6">
              <w:t xml:space="preserve"> representing the progression of the disability</w:t>
            </w:r>
            <w:r w:rsidR="0079645F" w:rsidRPr="006740B6">
              <w:t>.</w:t>
            </w:r>
            <w:r w:rsidR="007D3985" w:rsidRPr="006740B6">
              <w:t xml:space="preserve"> </w:t>
            </w:r>
            <w:r w:rsidR="0079645F" w:rsidRPr="006740B6">
              <w:t xml:space="preserve"> The effective date of the new DC should be the same as the end date of the original DC. </w:t>
            </w:r>
            <w:r w:rsidR="007D3985" w:rsidRPr="006740B6">
              <w:t xml:space="preserve"> </w:t>
            </w:r>
            <w:r w:rsidR="0079645F" w:rsidRPr="006740B6">
              <w:t>The diagnosis text of the new DC should include the disability name and DC of the original condition</w:t>
            </w:r>
            <w:r w:rsidRPr="006740B6">
              <w:t xml:space="preserve">. </w:t>
            </w:r>
            <w:r w:rsidR="009A6CDD" w:rsidRPr="006740B6">
              <w:t xml:space="preserve"> Decision makers remain responsible for reviewing the entire record and applying </w:t>
            </w:r>
            <w:hyperlink r:id="rId35" w:history="1">
              <w:r w:rsidR="00424C8E" w:rsidRPr="006740B6">
                <w:rPr>
                  <w:rStyle w:val="Hyperlink"/>
                </w:rPr>
                <w:t>38 CFR 3.951</w:t>
              </w:r>
            </w:hyperlink>
            <w:r w:rsidR="009A6CDD" w:rsidRPr="006740B6">
              <w:t xml:space="preserve"> based on the total </w:t>
            </w:r>
            <w:r w:rsidR="00E33FA7" w:rsidRPr="006740B6">
              <w:t xml:space="preserve">history of the </w:t>
            </w:r>
            <w:r w:rsidR="009A6CDD" w:rsidRPr="006740B6">
              <w:t>disability</w:t>
            </w:r>
            <w:r w:rsidR="00E33FA7" w:rsidRPr="006740B6">
              <w:t xml:space="preserve">. </w:t>
            </w:r>
          </w:p>
          <w:p w14:paraId="0F03EBF7" w14:textId="3EA92B09" w:rsidR="009636E5" w:rsidRPr="006740B6" w:rsidRDefault="009636E5" w:rsidP="009F2658"/>
          <w:p w14:paraId="3E5D256C" w14:textId="1671858A" w:rsidR="00751843" w:rsidRPr="006740B6" w:rsidRDefault="00751843" w:rsidP="009F2658">
            <w:r w:rsidRPr="006740B6">
              <w:rPr>
                <w:b/>
                <w:i/>
              </w:rPr>
              <w:t>Examples</w:t>
            </w:r>
            <w:r w:rsidRPr="006740B6">
              <w:t>:</w:t>
            </w:r>
          </w:p>
          <w:p w14:paraId="70F246FA" w14:textId="28B8943A" w:rsidR="009F2658" w:rsidRPr="006740B6" w:rsidRDefault="00492E3C" w:rsidP="00833C99">
            <w:pPr>
              <w:pStyle w:val="ListParagraph"/>
              <w:numPr>
                <w:ilvl w:val="0"/>
                <w:numId w:val="14"/>
              </w:numPr>
              <w:ind w:left="158" w:hanging="187"/>
            </w:pPr>
            <w:r w:rsidRPr="006740B6">
              <w:t>A c</w:t>
            </w:r>
            <w:r w:rsidR="009F2658" w:rsidRPr="006740B6">
              <w:t xml:space="preserve">hange to </w:t>
            </w:r>
            <w:hyperlink r:id="rId36" w:history="1">
              <w:r w:rsidR="00751843" w:rsidRPr="006740B6">
                <w:rPr>
                  <w:rStyle w:val="Hyperlink"/>
                </w:rPr>
                <w:t xml:space="preserve">38 CFR 4.71a, </w:t>
              </w:r>
              <w:r w:rsidR="009F2658" w:rsidRPr="006740B6">
                <w:rPr>
                  <w:rStyle w:val="Hyperlink"/>
                </w:rPr>
                <w:t>DC 5270</w:t>
              </w:r>
            </w:hyperlink>
            <w:r w:rsidR="009F2658" w:rsidRPr="006740B6">
              <w:t xml:space="preserve"> </w:t>
            </w:r>
            <w:proofErr w:type="spellStart"/>
            <w:r w:rsidRPr="006740B6">
              <w:t>ankylosis</w:t>
            </w:r>
            <w:proofErr w:type="spellEnd"/>
            <w:r w:rsidR="009F2658" w:rsidRPr="006740B6">
              <w:t xml:space="preserve"> of the left ankle (previously rated as left ankle limitation of motion, </w:t>
            </w:r>
            <w:r w:rsidR="00B63C84" w:rsidRPr="006740B6">
              <w:t>(</w:t>
            </w:r>
            <w:hyperlink r:id="rId37" w:history="1">
              <w:r w:rsidR="00B63C84" w:rsidRPr="006740B6">
                <w:rPr>
                  <w:rStyle w:val="Hyperlink"/>
                </w:rPr>
                <w:t>38 CFR 4.71a, DC 5271</w:t>
              </w:r>
            </w:hyperlink>
            <w:r w:rsidR="00B63C84" w:rsidRPr="006740B6">
              <w:t>)</w:t>
            </w:r>
            <w:r w:rsidRPr="006740B6">
              <w:t>.</w:t>
            </w:r>
          </w:p>
          <w:p w14:paraId="393C40DE" w14:textId="68FAA3F9" w:rsidR="00BF4AE2" w:rsidRPr="006740B6" w:rsidRDefault="00BF4AE2" w:rsidP="00833C99">
            <w:pPr>
              <w:pStyle w:val="ListParagraph"/>
              <w:numPr>
                <w:ilvl w:val="0"/>
                <w:numId w:val="14"/>
              </w:numPr>
              <w:ind w:left="158" w:hanging="187"/>
            </w:pPr>
            <w:r w:rsidRPr="006740B6">
              <w:t xml:space="preserve">A Vietnam Veteran has been SC for a through-and-through gunshot wound (GSW) to the right leg </w:t>
            </w:r>
            <w:r w:rsidR="008745E0" w:rsidRPr="006740B6">
              <w:t xml:space="preserve">(Muscle Group </w:t>
            </w:r>
            <w:r w:rsidRPr="006740B6">
              <w:t>(MG</w:t>
            </w:r>
            <w:r w:rsidR="008745E0" w:rsidRPr="006740B6">
              <w:t>)</w:t>
            </w:r>
            <w:r w:rsidRPr="006740B6">
              <w:t xml:space="preserve"> XI) evaluated at 10 percent under </w:t>
            </w:r>
            <w:hyperlink r:id="rId38" w:history="1">
              <w:r w:rsidR="00751843" w:rsidRPr="006740B6">
                <w:rPr>
                  <w:rStyle w:val="Hyperlink"/>
                </w:rPr>
                <w:t>38 CFR 4.73, DC 5311</w:t>
              </w:r>
            </w:hyperlink>
            <w:r w:rsidRPr="006740B6">
              <w:t xml:space="preserve"> effective November 21, 1968.  The </w:t>
            </w:r>
            <w:r w:rsidR="00833C99" w:rsidRPr="006740B6">
              <w:t>s</w:t>
            </w:r>
            <w:r w:rsidRPr="006740B6">
              <w:t xml:space="preserve">ervice </w:t>
            </w:r>
            <w:r w:rsidR="00833C99" w:rsidRPr="006740B6">
              <w:t>t</w:t>
            </w:r>
            <w:r w:rsidRPr="006740B6">
              <w:t xml:space="preserve">reatment </w:t>
            </w:r>
            <w:r w:rsidR="00833C99" w:rsidRPr="006740B6">
              <w:t>r</w:t>
            </w:r>
            <w:r w:rsidRPr="006740B6">
              <w:t>ecords</w:t>
            </w:r>
            <w:r w:rsidR="00833C99" w:rsidRPr="006740B6">
              <w:t xml:space="preserve"> (STRs)</w:t>
            </w:r>
            <w:r w:rsidRPr="006740B6">
              <w:t xml:space="preserve"> specifically indicate that the nerves were not affected. Over 40 years later, the Veteran is granted </w:t>
            </w:r>
            <w:r w:rsidR="0041542B" w:rsidRPr="006740B6">
              <w:t>service connection (</w:t>
            </w:r>
            <w:r w:rsidRPr="006740B6">
              <w:t>SC</w:t>
            </w:r>
            <w:r w:rsidR="0041542B" w:rsidRPr="006740B6">
              <w:t>)</w:t>
            </w:r>
            <w:r w:rsidRPr="006740B6">
              <w:t xml:space="preserve"> for type II diabetes mellitus.  The GSW to the right leg has remained static; however, the medical records indicate that he has diabetic neuropathy with right foot drop.  Since both the GSW and the peripheral nerve paralysis (foot drop) affect propulsion of the right lower extremity, separate ratings cannot be granted without pyramiding.  However, a single 40</w:t>
            </w:r>
            <w:r w:rsidR="0096227E" w:rsidRPr="006740B6">
              <w:t>-</w:t>
            </w:r>
            <w:r w:rsidRPr="006740B6">
              <w:t xml:space="preserve">percent evaluation may be granted under </w:t>
            </w:r>
            <w:hyperlink r:id="rId39" w:history="1">
              <w:r w:rsidR="00424C8E" w:rsidRPr="006740B6">
                <w:rPr>
                  <w:rStyle w:val="Hyperlink"/>
                </w:rPr>
                <w:t xml:space="preserve">38 CFR 4.124a, </w:t>
              </w:r>
              <w:r w:rsidRPr="006740B6">
                <w:rPr>
                  <w:rStyle w:val="Hyperlink"/>
                </w:rPr>
                <w:t>DC 8521</w:t>
              </w:r>
            </w:hyperlink>
            <w:r w:rsidRPr="006740B6">
              <w:t>, which would consider both the symptoms of the GSW as well as the new diabetic neuropathy with foot drop.</w:t>
            </w:r>
          </w:p>
          <w:p w14:paraId="4CCF6BB5" w14:textId="77777777" w:rsidR="00BF4AE2" w:rsidRPr="006740B6" w:rsidRDefault="00BF4AE2" w:rsidP="00BF4AE2">
            <w:pPr>
              <w:pStyle w:val="BulletText1"/>
              <w:numPr>
                <w:ilvl w:val="0"/>
                <w:numId w:val="0"/>
              </w:numPr>
              <w:ind w:left="173" w:hanging="173"/>
            </w:pPr>
          </w:p>
          <w:p w14:paraId="4C63D884" w14:textId="4AF45205" w:rsidR="00BF4AE2" w:rsidRPr="006740B6" w:rsidRDefault="00BF4AE2" w:rsidP="00BF4AE2">
            <w:r w:rsidRPr="006740B6">
              <w:t xml:space="preserve">If the new DC addresses different and distinct disability manifestations that would warrant a separate evaluation, then the prior DC must be retained </w:t>
            </w:r>
            <w:r w:rsidR="0096227E" w:rsidRPr="006740B6">
              <w:t>and</w:t>
            </w:r>
            <w:r w:rsidR="0096227E" w:rsidRPr="006740B6">
              <w:rPr>
                <w:rStyle w:val="CommentReference"/>
              </w:rPr>
              <w:t xml:space="preserve"> </w:t>
            </w:r>
            <w:r w:rsidR="0096227E" w:rsidRPr="006740B6">
              <w:t>the</w:t>
            </w:r>
            <w:r w:rsidRPr="006740B6">
              <w:t xml:space="preserve"> new DC established as a separate disability and evaluation. </w:t>
            </w:r>
          </w:p>
          <w:p w14:paraId="2D763105" w14:textId="77777777" w:rsidR="00BF4AE2" w:rsidRPr="006740B6" w:rsidRDefault="00BF4AE2" w:rsidP="00BF4AE2">
            <w:pPr>
              <w:pStyle w:val="BulletText1"/>
              <w:numPr>
                <w:ilvl w:val="0"/>
                <w:numId w:val="0"/>
              </w:numPr>
              <w:ind w:left="173" w:hanging="173"/>
            </w:pPr>
          </w:p>
          <w:p w14:paraId="2A436A54" w14:textId="77713411" w:rsidR="00BF4AE2" w:rsidRPr="006740B6" w:rsidRDefault="00BF4AE2" w:rsidP="00F4520E">
            <w:pPr>
              <w:pStyle w:val="BlockText"/>
            </w:pPr>
            <w:r w:rsidRPr="006740B6">
              <w:rPr>
                <w:b/>
                <w:i/>
              </w:rPr>
              <w:t>Example</w:t>
            </w:r>
            <w:r w:rsidRPr="006740B6">
              <w:t xml:space="preserve">:  </w:t>
            </w:r>
            <w:hyperlink r:id="rId40" w:history="1">
              <w:r w:rsidR="00B63C84" w:rsidRPr="006740B6">
                <w:rPr>
                  <w:rStyle w:val="Hyperlink"/>
                </w:rPr>
                <w:t>38 CFR 4.71a, DC 5260</w:t>
              </w:r>
            </w:hyperlink>
            <w:r w:rsidRPr="006740B6">
              <w:t xml:space="preserve"> limitation of flexion of the knee, painful motion, (protected under </w:t>
            </w:r>
            <w:hyperlink r:id="rId41" w:history="1">
              <w:r w:rsidRPr="006740B6">
                <w:rPr>
                  <w:rStyle w:val="Hyperlink"/>
                </w:rPr>
                <w:t>38 CFR 3.957</w:t>
              </w:r>
            </w:hyperlink>
            <w:r w:rsidRPr="006740B6">
              <w:t xml:space="preserve">); and </w:t>
            </w:r>
            <w:hyperlink r:id="rId42" w:history="1">
              <w:r w:rsidR="00B63C84" w:rsidRPr="006740B6">
                <w:rPr>
                  <w:rStyle w:val="Hyperlink"/>
                </w:rPr>
                <w:t xml:space="preserve">38 CFR 4.71a, DC </w:t>
              </w:r>
              <w:r w:rsidRPr="006740B6">
                <w:rPr>
                  <w:rStyle w:val="Hyperlink"/>
                </w:rPr>
                <w:t xml:space="preserve">5257 </w:t>
              </w:r>
            </w:hyperlink>
            <w:r w:rsidRPr="006740B6">
              <w:t>impairment of the knee, moderate instability.</w:t>
            </w:r>
          </w:p>
          <w:p w14:paraId="7752E65D" w14:textId="77777777" w:rsidR="00BF4AE2" w:rsidRPr="006740B6" w:rsidRDefault="00BF4AE2" w:rsidP="00BF4AE2">
            <w:pPr>
              <w:pStyle w:val="BulletText1"/>
              <w:numPr>
                <w:ilvl w:val="0"/>
                <w:numId w:val="0"/>
              </w:numPr>
              <w:ind w:left="173" w:hanging="173"/>
            </w:pPr>
          </w:p>
          <w:p w14:paraId="425C736C" w14:textId="427FA431" w:rsidR="00BF4AE2" w:rsidRPr="006740B6" w:rsidRDefault="00BF4AE2" w:rsidP="00BF4AE2">
            <w:pPr>
              <w:pStyle w:val="BlockText"/>
            </w:pPr>
            <w:r w:rsidRPr="006740B6">
              <w:rPr>
                <w:b/>
                <w:i/>
              </w:rPr>
              <w:t>Reference</w:t>
            </w:r>
            <w:r w:rsidR="00F4520E" w:rsidRPr="006740B6">
              <w:rPr>
                <w:b/>
                <w:i/>
              </w:rPr>
              <w:t>s</w:t>
            </w:r>
            <w:r w:rsidRPr="006740B6">
              <w:t>:  For more information on</w:t>
            </w:r>
          </w:p>
          <w:p w14:paraId="6FC4D6D0" w14:textId="422E53D1" w:rsidR="00BF4AE2" w:rsidRPr="006740B6" w:rsidRDefault="00BF4AE2" w:rsidP="00BF4AE2">
            <w:pPr>
              <w:pStyle w:val="BulletText1"/>
            </w:pPr>
            <w:proofErr w:type="gramStart"/>
            <w:r w:rsidRPr="006740B6">
              <w:t>protection</w:t>
            </w:r>
            <w:proofErr w:type="gramEnd"/>
            <w:r w:rsidRPr="006740B6">
              <w:t xml:space="preserve"> of evaluations and DC codes, see </w:t>
            </w:r>
            <w:hyperlink r:id="rId43" w:anchor="bmm" w:history="1">
              <w:r w:rsidRPr="006740B6">
                <w:rPr>
                  <w:rStyle w:val="Hyperlink"/>
                  <w:i/>
                </w:rPr>
                <w:t>Murray v. Shinseki</w:t>
              </w:r>
            </w:hyperlink>
            <w:r w:rsidRPr="006740B6">
              <w:t>, 24 Vet. App. 420 (2011)</w:t>
            </w:r>
          </w:p>
          <w:p w14:paraId="6D71EEEF" w14:textId="77777777" w:rsidR="00BF4AE2" w:rsidRPr="006740B6" w:rsidRDefault="00BF4AE2" w:rsidP="00BF4AE2">
            <w:pPr>
              <w:pStyle w:val="BulletText1"/>
            </w:pPr>
            <w:r w:rsidRPr="006740B6">
              <w:t>pyramiding, see</w:t>
            </w:r>
          </w:p>
          <w:p w14:paraId="46E82CF4" w14:textId="77777777" w:rsidR="00BF4AE2" w:rsidRPr="006740B6" w:rsidRDefault="006740B6" w:rsidP="00BF4AE2">
            <w:pPr>
              <w:pStyle w:val="BulletText2"/>
            </w:pPr>
            <w:hyperlink r:id="rId44" w:history="1">
              <w:r w:rsidR="00BF4AE2" w:rsidRPr="006740B6">
                <w:rPr>
                  <w:rStyle w:val="Hyperlink"/>
                </w:rPr>
                <w:t>38 CFR 4.14</w:t>
              </w:r>
            </w:hyperlink>
            <w:r w:rsidR="00BF4AE2" w:rsidRPr="006740B6">
              <w:t xml:space="preserve">, and </w:t>
            </w:r>
          </w:p>
          <w:p w14:paraId="5411564B" w14:textId="06524821" w:rsidR="00BF4AE2" w:rsidRPr="006740B6" w:rsidRDefault="006740B6" w:rsidP="00BF4AE2">
            <w:pPr>
              <w:pStyle w:val="BulletText2"/>
            </w:pPr>
            <w:hyperlink r:id="rId45" w:anchor="bme" w:history="1">
              <w:r w:rsidR="00BF4AE2" w:rsidRPr="006740B6">
                <w:rPr>
                  <w:rStyle w:val="Hyperlink"/>
                  <w:i/>
                </w:rPr>
                <w:t>Esteban v. Brown</w:t>
              </w:r>
            </w:hyperlink>
            <w:r w:rsidR="00BF4AE2" w:rsidRPr="006740B6">
              <w:t xml:space="preserve">, </w:t>
            </w:r>
            <w:proofErr w:type="gramStart"/>
            <w:r w:rsidR="00BF4AE2" w:rsidRPr="006740B6">
              <w:t>6 Vet.App</w:t>
            </w:r>
            <w:proofErr w:type="gramEnd"/>
            <w:r w:rsidR="00BF4AE2" w:rsidRPr="006740B6">
              <w:t>. 259 (1994)</w:t>
            </w:r>
            <w:r w:rsidR="0008242E" w:rsidRPr="006740B6">
              <w:t>, and</w:t>
            </w:r>
          </w:p>
          <w:p w14:paraId="7B463244" w14:textId="121CA261" w:rsidR="00B86D76" w:rsidRPr="006740B6" w:rsidRDefault="0008242E" w:rsidP="00DF7A43">
            <w:pPr>
              <w:pStyle w:val="BulletText1"/>
            </w:pPr>
            <w:proofErr w:type="gramStart"/>
            <w:r w:rsidRPr="006740B6">
              <w:t>e</w:t>
            </w:r>
            <w:r w:rsidR="00A276A7" w:rsidRPr="006740B6">
              <w:t>ntering</w:t>
            </w:r>
            <w:proofErr w:type="gramEnd"/>
            <w:r w:rsidR="00A276A7" w:rsidRPr="006740B6">
              <w:t xml:space="preserve"> historical and current rating information in</w:t>
            </w:r>
            <w:r w:rsidR="00645387" w:rsidRPr="006740B6">
              <w:t xml:space="preserve"> the Veterans Benefits Management System</w:t>
            </w:r>
            <w:r w:rsidR="00A276A7" w:rsidRPr="006740B6">
              <w:t xml:space="preserve"> </w:t>
            </w:r>
            <w:r w:rsidR="00645387" w:rsidRPr="006740B6">
              <w:t>(</w:t>
            </w:r>
            <w:r w:rsidRPr="006740B6">
              <w:t>VBMS</w:t>
            </w:r>
            <w:r w:rsidR="00645387" w:rsidRPr="006740B6">
              <w:t>)</w:t>
            </w:r>
            <w:r w:rsidRPr="006740B6">
              <w:t xml:space="preserve"> </w:t>
            </w:r>
            <w:r w:rsidR="00A276A7" w:rsidRPr="006740B6">
              <w:t>see</w:t>
            </w:r>
            <w:r w:rsidR="00DF7A43" w:rsidRPr="006740B6">
              <w:t xml:space="preserve"> the</w:t>
            </w:r>
            <w:r w:rsidR="00A276A7" w:rsidRPr="006740B6">
              <w:t xml:space="preserve"> </w:t>
            </w:r>
            <w:hyperlink r:id="rId46" w:history="1">
              <w:r w:rsidRPr="006740B6">
                <w:rPr>
                  <w:rStyle w:val="Hyperlink"/>
                </w:rPr>
                <w:t>VBMS</w:t>
              </w:r>
              <w:r w:rsidR="00DF7A43" w:rsidRPr="006740B6">
                <w:rPr>
                  <w:rStyle w:val="Hyperlink"/>
                </w:rPr>
                <w:t>-Rating</w:t>
              </w:r>
              <w:r w:rsidRPr="006740B6">
                <w:rPr>
                  <w:rStyle w:val="Hyperlink"/>
                </w:rPr>
                <w:t xml:space="preserve"> </w:t>
              </w:r>
              <w:r w:rsidR="0096227E" w:rsidRPr="006740B6">
                <w:rPr>
                  <w:rStyle w:val="Hyperlink"/>
                </w:rPr>
                <w:t>(VBMS-R)</w:t>
              </w:r>
              <w:r w:rsidRPr="006740B6">
                <w:rPr>
                  <w:rStyle w:val="Hyperlink"/>
                </w:rPr>
                <w:t xml:space="preserve"> User Guides page</w:t>
              </w:r>
            </w:hyperlink>
            <w:r w:rsidRPr="006740B6">
              <w:t xml:space="preserve">.  </w:t>
            </w:r>
          </w:p>
        </w:tc>
      </w:tr>
    </w:tbl>
    <w:p w14:paraId="2C54C98E" w14:textId="624978D5"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B0322A" w:rsidRPr="006740B6" w14:paraId="6198D90F" w14:textId="77777777" w:rsidTr="00B0322A">
        <w:tc>
          <w:tcPr>
            <w:tcW w:w="1728" w:type="dxa"/>
            <w:shd w:val="clear" w:color="auto" w:fill="auto"/>
          </w:tcPr>
          <w:p w14:paraId="34BA9E59" w14:textId="5357C864" w:rsidR="00B0322A" w:rsidRPr="006740B6" w:rsidRDefault="00961154" w:rsidP="00EE3D37">
            <w:pPr>
              <w:pStyle w:val="Heading5"/>
            </w:pPr>
            <w:proofErr w:type="gramStart"/>
            <w:r w:rsidRPr="006740B6">
              <w:t>l</w:t>
            </w:r>
            <w:r w:rsidR="00B0322A" w:rsidRPr="006740B6">
              <w:t xml:space="preserve">.  </w:t>
            </w:r>
            <w:r w:rsidR="00EE3D37" w:rsidRPr="006740B6">
              <w:t>Protection</w:t>
            </w:r>
            <w:proofErr w:type="gramEnd"/>
            <w:r w:rsidR="00EE3D37" w:rsidRPr="006740B6">
              <w:t xml:space="preserve"> and Breaking out Evaluations of Conditions Erroneously Rated Together</w:t>
            </w:r>
          </w:p>
        </w:tc>
        <w:tc>
          <w:tcPr>
            <w:tcW w:w="7740" w:type="dxa"/>
            <w:shd w:val="clear" w:color="auto" w:fill="auto"/>
          </w:tcPr>
          <w:p w14:paraId="5C3274B7" w14:textId="6F8E20FA" w:rsidR="00356DD5" w:rsidRPr="006740B6" w:rsidRDefault="00F4520E" w:rsidP="00F4520E">
            <w:pPr>
              <w:pStyle w:val="BlockText"/>
            </w:pPr>
            <w:r w:rsidRPr="006740B6">
              <w:t>Where two conditions have been</w:t>
            </w:r>
            <w:r w:rsidR="00B23CD7" w:rsidRPr="006740B6">
              <w:t xml:space="preserve"> erroneously</w:t>
            </w:r>
            <w:r w:rsidRPr="006740B6">
              <w:t xml:space="preserve"> rated as one disability for more than 20 years it is not a violation of protection to rerate them as separate disabilities </w:t>
            </w:r>
            <w:r w:rsidRPr="006740B6">
              <w:rPr>
                <w:i/>
              </w:rPr>
              <w:t>as long a</w:t>
            </w:r>
            <w:r w:rsidR="00356DD5" w:rsidRPr="006740B6">
              <w:rPr>
                <w:i/>
              </w:rPr>
              <w:t>s</w:t>
            </w:r>
          </w:p>
          <w:p w14:paraId="2E5125FB" w14:textId="77777777" w:rsidR="0096227E" w:rsidRPr="006740B6" w:rsidRDefault="0096227E" w:rsidP="00F4520E">
            <w:pPr>
              <w:pStyle w:val="BlockText"/>
            </w:pPr>
          </w:p>
          <w:p w14:paraId="16A8BEA9" w14:textId="4203A857" w:rsidR="00F4520E" w:rsidRPr="006740B6" w:rsidRDefault="00F4520E" w:rsidP="00356DD5">
            <w:pPr>
              <w:pStyle w:val="BulletText1"/>
            </w:pPr>
            <w:r w:rsidRPr="006740B6">
              <w:t>the combination of the</w:t>
            </w:r>
            <w:r w:rsidR="00356DD5" w:rsidRPr="006740B6">
              <w:t xml:space="preserve"> separate</w:t>
            </w:r>
            <w:r w:rsidRPr="006740B6">
              <w:t xml:space="preserve"> evaluations equals or exceeds the prior </w:t>
            </w:r>
            <w:r w:rsidR="00356DD5" w:rsidRPr="006740B6">
              <w:t xml:space="preserve">single </w:t>
            </w:r>
            <w:r w:rsidRPr="006740B6">
              <w:t>evaluation</w:t>
            </w:r>
            <w:r w:rsidR="00356DD5" w:rsidRPr="006740B6">
              <w:t>, and</w:t>
            </w:r>
          </w:p>
          <w:p w14:paraId="7249D790" w14:textId="0F961E42" w:rsidR="00B21A0D" w:rsidRPr="006740B6" w:rsidRDefault="00B21A0D" w:rsidP="00356DD5">
            <w:pPr>
              <w:pStyle w:val="BulletText1"/>
            </w:pPr>
            <w:proofErr w:type="gramStart"/>
            <w:r w:rsidRPr="006740B6">
              <w:t>separate</w:t>
            </w:r>
            <w:proofErr w:type="gramEnd"/>
            <w:r w:rsidRPr="006740B6">
              <w:t xml:space="preserve"> evaluations ar</w:t>
            </w:r>
            <w:r w:rsidR="00356DD5" w:rsidRPr="006740B6">
              <w:t xml:space="preserve">e made </w:t>
            </w:r>
            <w:r w:rsidRPr="006740B6">
              <w:t xml:space="preserve">effective </w:t>
            </w:r>
            <w:r w:rsidR="00356DD5" w:rsidRPr="006740B6">
              <w:t xml:space="preserve">to the </w:t>
            </w:r>
            <w:r w:rsidRPr="006740B6">
              <w:t xml:space="preserve">date </w:t>
            </w:r>
            <w:r w:rsidR="00356DD5" w:rsidRPr="006740B6">
              <w:t xml:space="preserve">of the prior single evaluation.  </w:t>
            </w:r>
            <w:r w:rsidRPr="006740B6">
              <w:t xml:space="preserve">This will ensure that the separate evaluations are properly recognized as protected. </w:t>
            </w:r>
          </w:p>
          <w:p w14:paraId="15DF9A50" w14:textId="77777777" w:rsidR="00B21A0D" w:rsidRPr="006740B6" w:rsidRDefault="00B21A0D" w:rsidP="00B21A0D">
            <w:pPr>
              <w:pStyle w:val="BlockText"/>
            </w:pPr>
          </w:p>
          <w:p w14:paraId="7659798C" w14:textId="7F74F40A" w:rsidR="00B21A0D" w:rsidRPr="006740B6" w:rsidRDefault="00B21A0D" w:rsidP="00B21A0D">
            <w:pPr>
              <w:pStyle w:val="BlockText"/>
            </w:pPr>
            <w:r w:rsidRPr="006740B6">
              <w:rPr>
                <w:b/>
                <w:i/>
              </w:rPr>
              <w:t>Reference</w:t>
            </w:r>
            <w:r w:rsidRPr="006740B6">
              <w:t xml:space="preserve">:  For more information, see </w:t>
            </w:r>
            <w:hyperlink r:id="rId47" w:history="1">
              <w:r w:rsidRPr="006740B6">
                <w:rPr>
                  <w:rStyle w:val="Hyperlink"/>
                </w:rPr>
                <w:t>VAOPGCPREC 4-</w:t>
              </w:r>
              <w:r w:rsidR="00DF7A43" w:rsidRPr="006740B6">
                <w:rPr>
                  <w:rStyle w:val="Hyperlink"/>
                </w:rPr>
                <w:t>19</w:t>
              </w:r>
              <w:r w:rsidRPr="006740B6">
                <w:rPr>
                  <w:rStyle w:val="Hyperlink"/>
                </w:rPr>
                <w:t>96</w:t>
              </w:r>
            </w:hyperlink>
            <w:r w:rsidRPr="006740B6">
              <w:rPr>
                <w:rStyle w:val="Hyperlink"/>
              </w:rPr>
              <w:t>.</w:t>
            </w:r>
            <w:r w:rsidRPr="006740B6">
              <w:t xml:space="preserve"> </w:t>
            </w:r>
          </w:p>
        </w:tc>
      </w:tr>
    </w:tbl>
    <w:p w14:paraId="5CA2EE7D" w14:textId="3ED47677"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F30E65" w:rsidRPr="006740B6" w14:paraId="2AC14D11" w14:textId="77777777" w:rsidTr="00F30E65">
        <w:tc>
          <w:tcPr>
            <w:tcW w:w="1728" w:type="dxa"/>
            <w:shd w:val="clear" w:color="auto" w:fill="auto"/>
          </w:tcPr>
          <w:p w14:paraId="299D064E" w14:textId="5AB21AB7" w:rsidR="00F30E65" w:rsidRPr="006740B6" w:rsidRDefault="00961154" w:rsidP="00F30E65">
            <w:pPr>
              <w:pStyle w:val="Heading5"/>
            </w:pPr>
            <w:proofErr w:type="gramStart"/>
            <w:r w:rsidRPr="006740B6">
              <w:t>m</w:t>
            </w:r>
            <w:r w:rsidR="00F30E65" w:rsidRPr="006740B6">
              <w:t>.</w:t>
            </w:r>
            <w:r w:rsidRPr="006740B6">
              <w:t xml:space="preserve"> </w:t>
            </w:r>
            <w:r w:rsidR="00F30E65" w:rsidRPr="006740B6">
              <w:t xml:space="preserve"> Protection</w:t>
            </w:r>
            <w:proofErr w:type="gramEnd"/>
            <w:r w:rsidR="00F30E65" w:rsidRPr="006740B6">
              <w:t xml:space="preserve"> of Evaluation of </w:t>
            </w:r>
            <w:r w:rsidR="00893034" w:rsidRPr="006740B6">
              <w:t xml:space="preserve">a </w:t>
            </w:r>
            <w:r w:rsidR="00F30E65" w:rsidRPr="006740B6">
              <w:t>Disability Eliminated by NSC Amputation</w:t>
            </w:r>
          </w:p>
        </w:tc>
        <w:tc>
          <w:tcPr>
            <w:tcW w:w="7740" w:type="dxa"/>
            <w:shd w:val="clear" w:color="auto" w:fill="auto"/>
          </w:tcPr>
          <w:p w14:paraId="39E2851C" w14:textId="7F439659" w:rsidR="00F30E65" w:rsidRPr="006740B6" w:rsidRDefault="00F30E65" w:rsidP="00F30E65">
            <w:pPr>
              <w:pStyle w:val="BlockText"/>
            </w:pPr>
            <w:r w:rsidRPr="006740B6">
              <w:t>Where a non-service</w:t>
            </w:r>
            <w:r w:rsidR="004544F5" w:rsidRPr="006740B6">
              <w:t>-</w:t>
            </w:r>
            <w:r w:rsidRPr="006740B6">
              <w:t>connected (NSC) cause necessitates amputation</w:t>
            </w:r>
            <w:r w:rsidR="00663736" w:rsidRPr="006740B6">
              <w:t xml:space="preserve"> of an </w:t>
            </w:r>
            <w:r w:rsidRPr="006740B6">
              <w:t>extremity</w:t>
            </w:r>
            <w:r w:rsidR="00663736" w:rsidRPr="006740B6">
              <w:t xml:space="preserve"> – eliminating </w:t>
            </w:r>
            <w:r w:rsidRPr="006740B6">
              <w:t xml:space="preserve">a </w:t>
            </w:r>
            <w:r w:rsidR="00663736" w:rsidRPr="006740B6">
              <w:t xml:space="preserve">SC </w:t>
            </w:r>
            <w:r w:rsidRPr="006740B6">
              <w:t>disability distal to the site of the amputation that had been in effect for more than 20 years</w:t>
            </w:r>
            <w:r w:rsidR="00663736" w:rsidRPr="006740B6">
              <w:t xml:space="preserve"> – the </w:t>
            </w:r>
            <w:r w:rsidRPr="006740B6">
              <w:t>evaluation of the eliminated disability is protected.</w:t>
            </w:r>
          </w:p>
          <w:p w14:paraId="5E40B9BB" w14:textId="77777777" w:rsidR="00F30E65" w:rsidRPr="006740B6" w:rsidRDefault="00F30E65" w:rsidP="00F30E65">
            <w:pPr>
              <w:pStyle w:val="BlockText"/>
            </w:pPr>
          </w:p>
          <w:p w14:paraId="0807B542" w14:textId="1B844363" w:rsidR="00F30E65" w:rsidRPr="006740B6" w:rsidRDefault="00663736" w:rsidP="00663736">
            <w:pPr>
              <w:pStyle w:val="BlockText"/>
            </w:pPr>
            <w:r w:rsidRPr="006740B6">
              <w:rPr>
                <w:b/>
                <w:i/>
              </w:rPr>
              <w:t>Reference</w:t>
            </w:r>
            <w:r w:rsidRPr="006740B6">
              <w:t>:  For more information on protection due to amputation see, M21-1 Part III, Subpart iv, 8.C.2.e.</w:t>
            </w:r>
          </w:p>
        </w:tc>
      </w:tr>
    </w:tbl>
    <w:p w14:paraId="54CE4DB7" w14:textId="4D05C689"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C1" w14:textId="77777777" w:rsidTr="00B0322A">
        <w:trPr>
          <w:cantSplit/>
          <w:trHeight w:val="3249"/>
        </w:trPr>
        <w:tc>
          <w:tcPr>
            <w:tcW w:w="1728" w:type="dxa"/>
          </w:tcPr>
          <w:p w14:paraId="21EEB2BA" w14:textId="574DB1FD" w:rsidR="00CC6D53" w:rsidRPr="006740B6" w:rsidRDefault="00961154">
            <w:pPr>
              <w:pStyle w:val="Heading5"/>
            </w:pPr>
            <w:proofErr w:type="gramStart"/>
            <w:r w:rsidRPr="006740B6">
              <w:t>n.</w:t>
            </w:r>
            <w:r w:rsidR="00AA02A6" w:rsidRPr="006740B6">
              <w:t xml:space="preserve">  Effect</w:t>
            </w:r>
            <w:proofErr w:type="gramEnd"/>
            <w:r w:rsidR="00AA02A6" w:rsidRPr="006740B6">
              <w:t xml:space="preserve"> of Return to Active Duty</w:t>
            </w:r>
          </w:p>
        </w:tc>
        <w:tc>
          <w:tcPr>
            <w:tcW w:w="7740" w:type="dxa"/>
          </w:tcPr>
          <w:p w14:paraId="21EEB2BB" w14:textId="77777777" w:rsidR="00CC6D53" w:rsidRPr="006740B6" w:rsidRDefault="00AA02A6">
            <w:pPr>
              <w:pStyle w:val="BlockText"/>
            </w:pPr>
            <w:r w:rsidRPr="006740B6">
              <w:t>The statute prohibits payment of compensation for a period in which an individual receives active service pay.  Therefore, where compensation is discontinued following reentry into active service</w:t>
            </w:r>
          </w:p>
          <w:p w14:paraId="21EEB2BC" w14:textId="77777777" w:rsidR="00CC6D53" w:rsidRPr="006740B6" w:rsidRDefault="00CC6D53">
            <w:pPr>
              <w:pStyle w:val="BlockText"/>
            </w:pPr>
          </w:p>
          <w:p w14:paraId="21EEB2BD" w14:textId="701C7E7D" w:rsidR="00CC6D53" w:rsidRPr="006740B6" w:rsidRDefault="00AA02A6">
            <w:pPr>
              <w:pStyle w:val="BulletText1"/>
            </w:pPr>
            <w:r w:rsidRPr="006740B6">
              <w:t xml:space="preserve">continuity of the rating is interrupted for the purposes of achieving the protection offered by </w:t>
            </w:r>
            <w:hyperlink r:id="rId48" w:history="1">
              <w:r w:rsidRPr="006740B6">
                <w:rPr>
                  <w:rStyle w:val="Hyperlink"/>
                </w:rPr>
                <w:t>38 U.S.C. 110</w:t>
              </w:r>
            </w:hyperlink>
            <w:r w:rsidRPr="006740B6">
              <w:t>, and</w:t>
            </w:r>
          </w:p>
          <w:p w14:paraId="21EEB2BE" w14:textId="77777777" w:rsidR="00CC6D53" w:rsidRPr="006740B6" w:rsidRDefault="00AA02A6">
            <w:pPr>
              <w:pStyle w:val="BulletText1"/>
              <w:rPr>
                <w:b/>
                <w:i/>
              </w:rPr>
            </w:pPr>
            <w:proofErr w:type="gramStart"/>
            <w:r w:rsidRPr="006740B6">
              <w:t>the</w:t>
            </w:r>
            <w:proofErr w:type="gramEnd"/>
            <w:r w:rsidRPr="006740B6">
              <w:t xml:space="preserve"> disability cannot be considered to have been continuously rated during the period in which compensation is discontinued.</w:t>
            </w:r>
          </w:p>
          <w:p w14:paraId="21EEB2BF" w14:textId="77777777" w:rsidR="00CC6D53" w:rsidRPr="006740B6" w:rsidRDefault="00CC6D53">
            <w:pPr>
              <w:pStyle w:val="BlockText"/>
            </w:pPr>
          </w:p>
          <w:p w14:paraId="21EEB2C0" w14:textId="5F510DBB" w:rsidR="00CC6D53" w:rsidRPr="006740B6" w:rsidRDefault="00AA02A6" w:rsidP="003A613F">
            <w:pPr>
              <w:pStyle w:val="BlockText"/>
            </w:pPr>
            <w:r w:rsidRPr="006740B6">
              <w:rPr>
                <w:b/>
                <w:i/>
              </w:rPr>
              <w:t>Reference</w:t>
            </w:r>
            <w:r w:rsidRPr="006740B6">
              <w:t>:  For more information on the effects of reentry in active duty on disability evaluations, see</w:t>
            </w:r>
            <w:r w:rsidR="00AD6CD9" w:rsidRPr="006740B6">
              <w:t xml:space="preserve"> </w:t>
            </w:r>
            <w:hyperlink r:id="rId49" w:history="1">
              <w:r w:rsidR="009241B4" w:rsidRPr="006740B6">
                <w:rPr>
                  <w:rStyle w:val="Hyperlink"/>
                </w:rPr>
                <w:t>VAOPGCPREC 5-</w:t>
              </w:r>
              <w:r w:rsidR="00DF7A43" w:rsidRPr="006740B6">
                <w:rPr>
                  <w:rStyle w:val="Hyperlink"/>
                </w:rPr>
                <w:t>19</w:t>
              </w:r>
              <w:r w:rsidR="009241B4" w:rsidRPr="006740B6">
                <w:rPr>
                  <w:rStyle w:val="Hyperlink"/>
                </w:rPr>
                <w:t>95</w:t>
              </w:r>
            </w:hyperlink>
            <w:r w:rsidRPr="006740B6">
              <w:t>.</w:t>
            </w:r>
          </w:p>
        </w:tc>
      </w:tr>
    </w:tbl>
    <w:p w14:paraId="5D380664" w14:textId="1E7B4A7E" w:rsidR="001D7BC4" w:rsidRPr="006740B6" w:rsidRDefault="001D7BC4" w:rsidP="001D7BC4">
      <w:pPr>
        <w:pStyle w:val="BlockLine"/>
        <w:tabs>
          <w:tab w:val="left" w:pos="9360"/>
        </w:tabs>
        <w:ind w:left="1714"/>
      </w:pPr>
    </w:p>
    <w:p w14:paraId="0B247949" w14:textId="5C6D6211" w:rsidR="00CC6D53" w:rsidRPr="006740B6" w:rsidRDefault="001D7BC4" w:rsidP="001D7BC4">
      <w:pPr>
        <w:rPr>
          <w:szCs w:val="20"/>
        </w:rPr>
      </w:pPr>
      <w:r w:rsidRPr="006740B6">
        <w:br w:type="page"/>
      </w:r>
    </w:p>
    <w:p w14:paraId="21EEB2C3" w14:textId="3A940A6F" w:rsidR="00CC6D53" w:rsidRPr="006740B6" w:rsidRDefault="00E2558C">
      <w:pPr>
        <w:pStyle w:val="Heading4"/>
      </w:pPr>
      <w:r w:rsidRPr="006740B6">
        <w:lastRenderedPageBreak/>
        <w:t>2</w:t>
      </w:r>
      <w:r w:rsidR="005008BC" w:rsidRPr="006740B6">
        <w:t>.</w:t>
      </w:r>
      <w:r w:rsidR="00AA02A6" w:rsidRPr="006740B6">
        <w:t xml:space="preserve">  </w:t>
      </w:r>
      <w:r w:rsidR="00645387" w:rsidRPr="006740B6">
        <w:t>Ten</w:t>
      </w:r>
      <w:r w:rsidR="001D7BC4" w:rsidRPr="006740B6">
        <w:t xml:space="preserve">-Year </w:t>
      </w:r>
      <w:r w:rsidR="00AA02A6" w:rsidRPr="006740B6">
        <w:t>Protected S</w:t>
      </w:r>
      <w:r w:rsidR="00395D16" w:rsidRPr="006740B6">
        <w:t>C</w:t>
      </w:r>
      <w:r w:rsidR="00AA02A6" w:rsidRPr="006740B6">
        <w:t xml:space="preserve"> </w:t>
      </w:r>
      <w:proofErr w:type="gramStart"/>
      <w:r w:rsidR="00AA02A6" w:rsidRPr="006740B6">
        <w:t>Under</w:t>
      </w:r>
      <w:proofErr w:type="gramEnd"/>
      <w:r w:rsidR="00AA02A6" w:rsidRPr="006740B6">
        <w:t xml:space="preserve"> 38 CFR 3.957</w:t>
      </w:r>
    </w:p>
    <w:p w14:paraId="6B731DB7" w14:textId="756F8EE8"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CB" w14:textId="77777777" w:rsidTr="00774632">
        <w:trPr>
          <w:cantSplit/>
          <w:trHeight w:val="2376"/>
        </w:trPr>
        <w:tc>
          <w:tcPr>
            <w:tcW w:w="1728" w:type="dxa"/>
          </w:tcPr>
          <w:p w14:paraId="21EEB2C5" w14:textId="77777777" w:rsidR="00CC6D53" w:rsidRPr="006740B6" w:rsidRDefault="00AA02A6">
            <w:pPr>
              <w:pStyle w:val="Heading5"/>
            </w:pPr>
            <w:r w:rsidRPr="006740B6">
              <w:t>Introduction</w:t>
            </w:r>
          </w:p>
        </w:tc>
        <w:tc>
          <w:tcPr>
            <w:tcW w:w="7740" w:type="dxa"/>
          </w:tcPr>
          <w:p w14:paraId="21EEB2C6" w14:textId="7B8C64C2" w:rsidR="00CC6D53" w:rsidRPr="006740B6" w:rsidRDefault="00AA02A6">
            <w:pPr>
              <w:pStyle w:val="BlockText"/>
            </w:pPr>
            <w:r w:rsidRPr="006740B6">
              <w:t xml:space="preserve">This topic contains information about the protection of </w:t>
            </w:r>
            <w:r w:rsidR="00182D75" w:rsidRPr="006740B6">
              <w:t>SC</w:t>
            </w:r>
            <w:r w:rsidRPr="006740B6">
              <w:t xml:space="preserve"> under 38 CFR 3.957, including</w:t>
            </w:r>
          </w:p>
          <w:p w14:paraId="21EEB2C7" w14:textId="77777777" w:rsidR="00CC6D53" w:rsidRPr="006740B6" w:rsidRDefault="00CC6D53">
            <w:pPr>
              <w:pStyle w:val="BlockText"/>
            </w:pPr>
          </w:p>
          <w:p w14:paraId="21EEB2C8" w14:textId="7248D61D" w:rsidR="00CC6D53" w:rsidRPr="006740B6" w:rsidRDefault="00B63BB0">
            <w:pPr>
              <w:pStyle w:val="BulletText1"/>
            </w:pPr>
            <w:r w:rsidRPr="006740B6">
              <w:t>protection under 38 CFR 3.957</w:t>
            </w:r>
          </w:p>
          <w:p w14:paraId="6308C430" w14:textId="10B9B09D" w:rsidR="004359A5" w:rsidRPr="006740B6" w:rsidRDefault="004359A5" w:rsidP="004359A5">
            <w:pPr>
              <w:pStyle w:val="BulletText1"/>
            </w:pPr>
            <w:r w:rsidRPr="006740B6">
              <w:t>determining the ten-year period</w:t>
            </w:r>
          </w:p>
          <w:p w14:paraId="4AF9F3BD" w14:textId="769A1BC5" w:rsidR="008F7BD1" w:rsidRPr="006740B6" w:rsidRDefault="008F7BD1" w:rsidP="0099131E">
            <w:pPr>
              <w:pStyle w:val="BulletText1"/>
              <w:rPr>
                <w:rStyle w:val="Hyperlink"/>
                <w:color w:val="000000"/>
                <w:u w:val="none"/>
              </w:rPr>
            </w:pPr>
            <w:r w:rsidRPr="006740B6">
              <w:t xml:space="preserve">protection of </w:t>
            </w:r>
            <w:r w:rsidR="002A4F52" w:rsidRPr="006740B6">
              <w:t>SC</w:t>
            </w:r>
            <w:r w:rsidRPr="006740B6">
              <w:t xml:space="preserve"> for death</w:t>
            </w:r>
          </w:p>
          <w:p w14:paraId="1C33A8B7" w14:textId="50747BE7" w:rsidR="00663736" w:rsidRPr="006740B6" w:rsidRDefault="004B7711" w:rsidP="0099131E">
            <w:pPr>
              <w:pStyle w:val="BulletText1"/>
              <w:rPr>
                <w:rStyle w:val="Hyperlink"/>
                <w:color w:val="000000"/>
                <w:u w:val="none"/>
              </w:rPr>
            </w:pPr>
            <w:r w:rsidRPr="006740B6">
              <w:t>DC</w:t>
            </w:r>
            <w:r w:rsidR="009241B4" w:rsidRPr="006740B6">
              <w:t xml:space="preserve"> </w:t>
            </w:r>
            <w:r w:rsidRPr="006740B6">
              <w:t>change</w:t>
            </w:r>
            <w:r w:rsidR="009241B4" w:rsidRPr="006740B6">
              <w:t xml:space="preserve"> or corre</w:t>
            </w:r>
            <w:r w:rsidRPr="006740B6">
              <w:t>ction of site of disability and protection of SC</w:t>
            </w:r>
          </w:p>
          <w:p w14:paraId="5D8ECA78" w14:textId="1FAB1667" w:rsidR="0099131E" w:rsidRPr="006740B6" w:rsidRDefault="00663736" w:rsidP="0099131E">
            <w:pPr>
              <w:pStyle w:val="BulletText1"/>
              <w:rPr>
                <w:rStyle w:val="Hyperlink"/>
                <w:color w:val="000000"/>
                <w:u w:val="none"/>
              </w:rPr>
            </w:pPr>
            <w:r w:rsidRPr="006740B6">
              <w:t>protection of SC for disability eliminated by NSC amputation</w:t>
            </w:r>
            <w:r w:rsidR="004359A5" w:rsidRPr="006740B6">
              <w:t>,</w:t>
            </w:r>
            <w:r w:rsidRPr="006740B6">
              <w:rPr>
                <w:rStyle w:val="Hyperlink"/>
                <w:color w:val="auto"/>
                <w:u w:val="none"/>
              </w:rPr>
              <w:t xml:space="preserve"> </w:t>
            </w:r>
            <w:r w:rsidR="008F7BD1" w:rsidRPr="006740B6">
              <w:rPr>
                <w:rStyle w:val="Hyperlink"/>
                <w:color w:val="auto"/>
                <w:u w:val="none"/>
              </w:rPr>
              <w:t xml:space="preserve">and </w:t>
            </w:r>
          </w:p>
          <w:p w14:paraId="21EEB2CA" w14:textId="42D01654" w:rsidR="00CC6D53" w:rsidRPr="006740B6" w:rsidRDefault="00DE0D46" w:rsidP="00DE0D46">
            <w:pPr>
              <w:pStyle w:val="BulletText1"/>
            </w:pPr>
            <w:proofErr w:type="gramStart"/>
            <w:r w:rsidRPr="006740B6">
              <w:t>protection</w:t>
            </w:r>
            <w:proofErr w:type="gramEnd"/>
            <w:r w:rsidRPr="006740B6">
              <w:t xml:space="preserve"> inapplicable for benefits under </w:t>
            </w:r>
            <w:r w:rsidR="009241B4" w:rsidRPr="006740B6">
              <w:t>38 U.S.C. 1151</w:t>
            </w:r>
            <w:r w:rsidR="00AA02A6" w:rsidRPr="006740B6">
              <w:rPr>
                <w:color w:val="auto"/>
              </w:rPr>
              <w:t>.</w:t>
            </w:r>
          </w:p>
        </w:tc>
      </w:tr>
    </w:tbl>
    <w:p w14:paraId="172A7628" w14:textId="4B3CA873"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CF" w14:textId="77777777">
        <w:trPr>
          <w:cantSplit/>
        </w:trPr>
        <w:tc>
          <w:tcPr>
            <w:tcW w:w="1728" w:type="dxa"/>
          </w:tcPr>
          <w:p w14:paraId="21EEB2CD" w14:textId="77777777" w:rsidR="00CC6D53" w:rsidRPr="006740B6" w:rsidRDefault="00AA02A6">
            <w:pPr>
              <w:pStyle w:val="Heading5"/>
            </w:pPr>
            <w:r w:rsidRPr="006740B6">
              <w:t>Change Date</w:t>
            </w:r>
          </w:p>
        </w:tc>
        <w:tc>
          <w:tcPr>
            <w:tcW w:w="7740" w:type="dxa"/>
          </w:tcPr>
          <w:p w14:paraId="21EEB2CE" w14:textId="5C6128A7" w:rsidR="00CC6D53" w:rsidRPr="006740B6" w:rsidRDefault="0096227E">
            <w:pPr>
              <w:pStyle w:val="BlockText"/>
            </w:pPr>
            <w:r w:rsidRPr="006740B6">
              <w:t>February 3, 2016</w:t>
            </w:r>
          </w:p>
        </w:tc>
      </w:tr>
    </w:tbl>
    <w:p w14:paraId="32F23F8C" w14:textId="542D5062"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D6" w14:textId="77777777" w:rsidTr="00C00F03">
        <w:tc>
          <w:tcPr>
            <w:tcW w:w="1728" w:type="dxa"/>
          </w:tcPr>
          <w:p w14:paraId="21EEB2D1" w14:textId="77777777" w:rsidR="00CC6D53" w:rsidRPr="006740B6" w:rsidRDefault="00AA02A6">
            <w:pPr>
              <w:pStyle w:val="Heading5"/>
            </w:pPr>
            <w:proofErr w:type="gramStart"/>
            <w:r w:rsidRPr="006740B6">
              <w:t>a.  Protection</w:t>
            </w:r>
            <w:proofErr w:type="gramEnd"/>
            <w:r w:rsidRPr="006740B6">
              <w:t xml:space="preserve"> Under 38 CFR 3.957</w:t>
            </w:r>
          </w:p>
        </w:tc>
        <w:tc>
          <w:tcPr>
            <w:tcW w:w="7740" w:type="dxa"/>
          </w:tcPr>
          <w:p w14:paraId="1EB26FBB" w14:textId="3EB92CAF" w:rsidR="00DB744C" w:rsidRPr="006740B6" w:rsidRDefault="00DB744C">
            <w:pPr>
              <w:pStyle w:val="BlockText"/>
            </w:pPr>
            <w:r w:rsidRPr="006740B6">
              <w:t xml:space="preserve">Protection from severance of </w:t>
            </w:r>
            <w:r w:rsidR="00182D75" w:rsidRPr="006740B6">
              <w:t xml:space="preserve">SC </w:t>
            </w:r>
            <w:r w:rsidRPr="006740B6">
              <w:t xml:space="preserve">is based </w:t>
            </w:r>
            <w:r w:rsidR="002A4F52" w:rsidRPr="006740B6">
              <w:t xml:space="preserve">on </w:t>
            </w:r>
            <w:hyperlink r:id="rId50" w:history="1">
              <w:r w:rsidRPr="006740B6">
                <w:rPr>
                  <w:rStyle w:val="Hyperlink"/>
                </w:rPr>
                <w:t>38 U.S.C. 1159</w:t>
              </w:r>
            </w:hyperlink>
            <w:r w:rsidRPr="006740B6">
              <w:t xml:space="preserve">, implemented </w:t>
            </w:r>
            <w:r w:rsidR="001C5DC8" w:rsidRPr="006740B6">
              <w:t>by</w:t>
            </w:r>
            <w:r w:rsidRPr="006740B6">
              <w:t xml:space="preserve"> </w:t>
            </w:r>
            <w:hyperlink r:id="rId51" w:history="1">
              <w:r w:rsidRPr="006740B6">
                <w:rPr>
                  <w:rStyle w:val="Hyperlink"/>
                </w:rPr>
                <w:t>38 CFR 3.957</w:t>
              </w:r>
            </w:hyperlink>
            <w:r w:rsidRPr="006740B6">
              <w:rPr>
                <w:rStyle w:val="Hyperlink"/>
                <w:u w:val="none"/>
              </w:rPr>
              <w:t>.</w:t>
            </w:r>
          </w:p>
          <w:p w14:paraId="3E750B83" w14:textId="77777777" w:rsidR="00DB744C" w:rsidRPr="006740B6" w:rsidRDefault="00DB744C">
            <w:pPr>
              <w:pStyle w:val="BlockText"/>
            </w:pPr>
          </w:p>
          <w:p w14:paraId="21EEB2D2" w14:textId="15A0EEB4" w:rsidR="00CC6D53" w:rsidRPr="006740B6" w:rsidRDefault="00DB744C">
            <w:pPr>
              <w:pStyle w:val="BlockText"/>
            </w:pPr>
            <w:r w:rsidRPr="006740B6">
              <w:t>I</w:t>
            </w:r>
            <w:r w:rsidR="00AA02A6" w:rsidRPr="006740B6">
              <w:t xml:space="preserve">f </w:t>
            </w:r>
            <w:r w:rsidR="004A3F23" w:rsidRPr="006740B6">
              <w:t>SC</w:t>
            </w:r>
            <w:r w:rsidR="00AA02A6" w:rsidRPr="006740B6">
              <w:t xml:space="preserve"> for disability or cause of death has been in effect </w:t>
            </w:r>
            <w:r w:rsidR="002D2B2A" w:rsidRPr="006740B6">
              <w:t>10</w:t>
            </w:r>
            <w:r w:rsidR="00AA02A6" w:rsidRPr="006740B6">
              <w:t xml:space="preserve"> or more years, propose severance only if</w:t>
            </w:r>
          </w:p>
          <w:p w14:paraId="21EEB2D3" w14:textId="77777777" w:rsidR="00CC6D53" w:rsidRPr="006740B6" w:rsidRDefault="00CC6D53">
            <w:pPr>
              <w:pStyle w:val="BlockText"/>
            </w:pPr>
          </w:p>
          <w:p w14:paraId="21EEB2D4" w14:textId="423E75E6" w:rsidR="00CC6D53" w:rsidRPr="006740B6" w:rsidRDefault="00AA02A6">
            <w:pPr>
              <w:pStyle w:val="BulletText1"/>
            </w:pPr>
            <w:r w:rsidRPr="006740B6">
              <w:t>the original grant was based on fraud, or</w:t>
            </w:r>
          </w:p>
          <w:p w14:paraId="08630C4A" w14:textId="77777777" w:rsidR="00EB6150" w:rsidRPr="006740B6" w:rsidRDefault="00AA02A6" w:rsidP="00EB6150">
            <w:pPr>
              <w:pStyle w:val="BulletText1"/>
              <w:rPr>
                <w:b/>
              </w:rPr>
            </w:pPr>
            <w:proofErr w:type="gramStart"/>
            <w:r w:rsidRPr="006740B6">
              <w:t>it</w:t>
            </w:r>
            <w:proofErr w:type="gramEnd"/>
            <w:r w:rsidRPr="006740B6">
              <w:t xml:space="preserve"> is clearly shown that the person concerned did not have the requisite service or character of discharge.</w:t>
            </w:r>
          </w:p>
          <w:p w14:paraId="0A3CE1DB" w14:textId="77777777" w:rsidR="009B3E0D" w:rsidRPr="006740B6" w:rsidRDefault="009B3E0D" w:rsidP="00DB744C">
            <w:pPr>
              <w:tabs>
                <w:tab w:val="left" w:pos="9360"/>
              </w:tabs>
            </w:pPr>
          </w:p>
          <w:p w14:paraId="641592E1" w14:textId="433B3BA2" w:rsidR="00363F4B" w:rsidRPr="006740B6" w:rsidRDefault="004C05AA" w:rsidP="00873DBD">
            <w:pPr>
              <w:tabs>
                <w:tab w:val="left" w:pos="9360"/>
              </w:tabs>
            </w:pPr>
            <w:r w:rsidRPr="006740B6">
              <w:rPr>
                <w:b/>
                <w:i/>
              </w:rPr>
              <w:t>Important</w:t>
            </w:r>
            <w:r w:rsidR="00E077A6" w:rsidRPr="006740B6">
              <w:t>:</w:t>
            </w:r>
            <w:r w:rsidR="00136BFB" w:rsidRPr="006740B6">
              <w:t xml:space="preserve"> </w:t>
            </w:r>
            <w:r w:rsidR="002C09C8" w:rsidRPr="006740B6">
              <w:t xml:space="preserve"> </w:t>
            </w:r>
            <w:r w:rsidR="00136BFB" w:rsidRPr="006740B6">
              <w:t xml:space="preserve">Protection against severance does not only </w:t>
            </w:r>
            <w:r w:rsidR="00174A54" w:rsidRPr="006740B6">
              <w:t xml:space="preserve">require continuation of </w:t>
            </w:r>
            <w:r w:rsidR="00136BFB" w:rsidRPr="006740B6">
              <w:t xml:space="preserve">SC </w:t>
            </w:r>
            <w:r w:rsidR="002C09C8" w:rsidRPr="006740B6">
              <w:t xml:space="preserve">status.  </w:t>
            </w:r>
            <w:r w:rsidR="00730A43" w:rsidRPr="006740B6">
              <w:t xml:space="preserve">VA must </w:t>
            </w:r>
            <w:r w:rsidR="00873DBD" w:rsidRPr="006740B6">
              <w:t xml:space="preserve">continue to pay compensation </w:t>
            </w:r>
            <w:r w:rsidR="00E403E4" w:rsidRPr="006740B6">
              <w:t xml:space="preserve">at the appropriate evaluation </w:t>
            </w:r>
            <w:r w:rsidR="00873DBD" w:rsidRPr="006740B6">
              <w:t xml:space="preserve">for the protected condition as if SC was not erroneous, </w:t>
            </w:r>
            <w:r w:rsidR="005E3CD8" w:rsidRPr="006740B6">
              <w:t>except in cases of willful misconduct or alcohol or drug abuse</w:t>
            </w:r>
            <w:r w:rsidR="00363F4B" w:rsidRPr="006740B6">
              <w:t xml:space="preserve">. </w:t>
            </w:r>
            <w:r w:rsidR="00873DBD" w:rsidRPr="006740B6">
              <w:t xml:space="preserve"> </w:t>
            </w:r>
          </w:p>
          <w:p w14:paraId="4ADB9CCD" w14:textId="77777777" w:rsidR="00873DBD" w:rsidRPr="006740B6" w:rsidRDefault="00873DBD" w:rsidP="00873DBD">
            <w:pPr>
              <w:pStyle w:val="BulletText1"/>
              <w:numPr>
                <w:ilvl w:val="0"/>
                <w:numId w:val="0"/>
              </w:numPr>
              <w:ind w:left="173" w:hanging="173"/>
            </w:pPr>
          </w:p>
          <w:p w14:paraId="661B3E89" w14:textId="3E3AF459" w:rsidR="00873DBD" w:rsidRPr="006740B6" w:rsidRDefault="00873DBD" w:rsidP="00873DBD">
            <w:pPr>
              <w:pStyle w:val="BulletText1"/>
              <w:numPr>
                <w:ilvl w:val="0"/>
                <w:numId w:val="0"/>
              </w:numPr>
              <w:ind w:left="173" w:hanging="173"/>
            </w:pPr>
            <w:r w:rsidRPr="006740B6">
              <w:rPr>
                <w:b/>
                <w:i/>
              </w:rPr>
              <w:t>Notes</w:t>
            </w:r>
            <w:r w:rsidRPr="006740B6">
              <w:t>:</w:t>
            </w:r>
          </w:p>
          <w:p w14:paraId="0B1CFD4F" w14:textId="1575C905" w:rsidR="00174A54" w:rsidRPr="006740B6" w:rsidRDefault="005E3CD8" w:rsidP="00174A54">
            <w:pPr>
              <w:pStyle w:val="BulletText1"/>
            </w:pPr>
            <w:r w:rsidRPr="006740B6">
              <w:t>T</w:t>
            </w:r>
            <w:r w:rsidR="00174A54" w:rsidRPr="006740B6">
              <w:t xml:space="preserve">he </w:t>
            </w:r>
            <w:r w:rsidR="00363F4B" w:rsidRPr="006740B6">
              <w:t xml:space="preserve">evaluation </w:t>
            </w:r>
            <w:r w:rsidR="00174A54" w:rsidRPr="006740B6">
              <w:t xml:space="preserve">of the </w:t>
            </w:r>
            <w:r w:rsidR="00873DBD" w:rsidRPr="006740B6">
              <w:t xml:space="preserve">erroneously-SC-but-protected disability </w:t>
            </w:r>
            <w:r w:rsidR="00363F4B" w:rsidRPr="006740B6">
              <w:t>can be increased when supported by the facts</w:t>
            </w:r>
            <w:r w:rsidRPr="006740B6">
              <w:t>.</w:t>
            </w:r>
          </w:p>
          <w:p w14:paraId="4AC6D5C1" w14:textId="5FDD8213" w:rsidR="00363F4B" w:rsidRPr="006740B6" w:rsidRDefault="00174A54" w:rsidP="005E3CD8">
            <w:pPr>
              <w:pStyle w:val="BulletText1"/>
            </w:pPr>
            <w:r w:rsidRPr="006740B6">
              <w:t>SC</w:t>
            </w:r>
            <w:r w:rsidR="00363F4B" w:rsidRPr="006740B6">
              <w:t xml:space="preserve"> can be established </w:t>
            </w:r>
            <w:r w:rsidR="00873DBD" w:rsidRPr="006740B6">
              <w:t xml:space="preserve">for a condition secondary to erroneously-SC-but-protected disability </w:t>
            </w:r>
            <w:r w:rsidR="00363F4B" w:rsidRPr="006740B6">
              <w:t>when supported by the facts.</w:t>
            </w:r>
          </w:p>
          <w:p w14:paraId="0DB25948" w14:textId="77777777" w:rsidR="00C3199D" w:rsidRPr="006740B6" w:rsidRDefault="00C3199D" w:rsidP="004A22BD">
            <w:pPr>
              <w:tabs>
                <w:tab w:val="left" w:pos="9360"/>
              </w:tabs>
            </w:pPr>
          </w:p>
          <w:p w14:paraId="519999DB" w14:textId="77777777" w:rsidR="004C05AA" w:rsidRPr="006740B6" w:rsidRDefault="00C3199D" w:rsidP="004A22BD">
            <w:pPr>
              <w:tabs>
                <w:tab w:val="left" w:pos="9360"/>
              </w:tabs>
            </w:pPr>
            <w:r w:rsidRPr="006740B6">
              <w:rPr>
                <w:b/>
                <w:i/>
              </w:rPr>
              <w:t>Reference</w:t>
            </w:r>
            <w:r w:rsidRPr="006740B6">
              <w:t xml:space="preserve">:  For more information on </w:t>
            </w:r>
          </w:p>
          <w:p w14:paraId="42C740D9" w14:textId="526B8520" w:rsidR="002C09C8" w:rsidRPr="006740B6" w:rsidRDefault="00C3199D" w:rsidP="004C05AA">
            <w:pPr>
              <w:pStyle w:val="BulletText1"/>
            </w:pPr>
            <w:r w:rsidRPr="006740B6">
              <w:t xml:space="preserve">severance of </w:t>
            </w:r>
            <w:r w:rsidR="00395D16" w:rsidRPr="006740B6">
              <w:t>SC</w:t>
            </w:r>
            <w:r w:rsidRPr="006740B6">
              <w:t>, see</w:t>
            </w:r>
          </w:p>
          <w:p w14:paraId="5811B367" w14:textId="01DEFD36" w:rsidR="00E077A6" w:rsidRPr="006740B6" w:rsidRDefault="006740B6" w:rsidP="004C05AA">
            <w:pPr>
              <w:pStyle w:val="BulletText2"/>
              <w:rPr>
                <w:rStyle w:val="Hyperlink"/>
              </w:rPr>
            </w:pPr>
            <w:hyperlink r:id="rId52" w:history="1">
              <w:r w:rsidR="00C3199D" w:rsidRPr="006740B6">
                <w:rPr>
                  <w:rStyle w:val="Hyperlink"/>
                </w:rPr>
                <w:t>38 CFR 3.105(d)</w:t>
              </w:r>
            </w:hyperlink>
          </w:p>
          <w:p w14:paraId="4AFD692F" w14:textId="77777777" w:rsidR="0073514E" w:rsidRPr="006740B6" w:rsidRDefault="0073514E" w:rsidP="0073514E">
            <w:pPr>
              <w:pStyle w:val="BulletText2"/>
              <w:rPr>
                <w:rStyle w:val="Hyperlink"/>
                <w:color w:val="000000"/>
                <w:u w:val="none"/>
              </w:rPr>
            </w:pPr>
            <w:r w:rsidRPr="006740B6">
              <w:rPr>
                <w:rStyle w:val="Hyperlink"/>
                <w:color w:val="auto"/>
                <w:u w:val="none"/>
              </w:rPr>
              <w:t xml:space="preserve">M21-1, Part III, Subpart iv, 8.E.2 </w:t>
            </w:r>
          </w:p>
          <w:p w14:paraId="76B911DA" w14:textId="77777777" w:rsidR="0073514E" w:rsidRPr="006740B6" w:rsidRDefault="0073514E" w:rsidP="0073514E">
            <w:pPr>
              <w:pStyle w:val="BulletText2"/>
              <w:rPr>
                <w:rStyle w:val="Hyperlink"/>
                <w:color w:val="000000"/>
                <w:u w:val="none"/>
              </w:rPr>
            </w:pPr>
            <w:r w:rsidRPr="006740B6">
              <w:rPr>
                <w:rStyle w:val="Hyperlink"/>
                <w:color w:val="auto"/>
                <w:u w:val="none"/>
              </w:rPr>
              <w:t xml:space="preserve">M21-1, Part III, Subpart </w:t>
            </w:r>
            <w:proofErr w:type="gramStart"/>
            <w:r w:rsidRPr="006740B6">
              <w:rPr>
                <w:rStyle w:val="Hyperlink"/>
                <w:color w:val="auto"/>
                <w:u w:val="none"/>
              </w:rPr>
              <w:t>iv</w:t>
            </w:r>
            <w:proofErr w:type="gramEnd"/>
            <w:r w:rsidRPr="006740B6">
              <w:rPr>
                <w:rStyle w:val="Hyperlink"/>
                <w:color w:val="auto"/>
                <w:u w:val="none"/>
              </w:rPr>
              <w:t>. 8.E.3.a</w:t>
            </w:r>
          </w:p>
          <w:p w14:paraId="34EED9F9" w14:textId="409A4185" w:rsidR="0073514E" w:rsidRPr="006740B6" w:rsidRDefault="0073514E" w:rsidP="0073514E">
            <w:pPr>
              <w:pStyle w:val="BulletText2"/>
              <w:rPr>
                <w:rStyle w:val="Hyperlink"/>
                <w:color w:val="000000"/>
                <w:u w:val="none"/>
              </w:rPr>
            </w:pPr>
            <w:r w:rsidRPr="006740B6">
              <w:rPr>
                <w:rStyle w:val="Hyperlink"/>
                <w:color w:val="auto"/>
                <w:u w:val="none"/>
              </w:rPr>
              <w:t>M21</w:t>
            </w:r>
            <w:r w:rsidR="00D02D0A" w:rsidRPr="006740B6">
              <w:rPr>
                <w:rStyle w:val="Hyperlink"/>
                <w:color w:val="auto"/>
                <w:u w:val="none"/>
              </w:rPr>
              <w:t>-1, Part III, Subpart iv, 2.B.4</w:t>
            </w:r>
          </w:p>
          <w:p w14:paraId="4A2CF003" w14:textId="77777777" w:rsidR="0073514E" w:rsidRPr="006740B6" w:rsidRDefault="0073514E" w:rsidP="0073514E">
            <w:pPr>
              <w:pStyle w:val="BulletText2"/>
              <w:rPr>
                <w:rStyle w:val="Hyperlink"/>
                <w:color w:val="000000"/>
                <w:u w:val="none"/>
              </w:rPr>
            </w:pPr>
            <w:r w:rsidRPr="006740B6">
              <w:rPr>
                <w:rStyle w:val="Hyperlink"/>
                <w:color w:val="auto"/>
                <w:u w:val="none"/>
              </w:rPr>
              <w:t>M21-1, Part III, Subpart v, 1.D.4.a, and</w:t>
            </w:r>
          </w:p>
          <w:p w14:paraId="63E064DB" w14:textId="62A4B943" w:rsidR="00C00F03" w:rsidRPr="006740B6" w:rsidRDefault="006740B6" w:rsidP="004C05AA">
            <w:pPr>
              <w:pStyle w:val="BulletText2"/>
              <w:rPr>
                <w:rStyle w:val="Hyperlink"/>
                <w:color w:val="000000"/>
                <w:u w:val="none"/>
              </w:rPr>
            </w:pPr>
            <w:hyperlink r:id="rId53" w:history="1">
              <w:r w:rsidR="002C09C8" w:rsidRPr="006740B6">
                <w:rPr>
                  <w:rStyle w:val="Hyperlink"/>
                </w:rPr>
                <w:t>VAOPGCPREC 6-2002</w:t>
              </w:r>
            </w:hyperlink>
            <w:r w:rsidR="004C05AA" w:rsidRPr="006740B6">
              <w:rPr>
                <w:rStyle w:val="Hyperlink"/>
                <w:color w:val="auto"/>
                <w:u w:val="none"/>
              </w:rPr>
              <w:t xml:space="preserve">, </w:t>
            </w:r>
            <w:r w:rsidR="0073514E" w:rsidRPr="006740B6">
              <w:rPr>
                <w:rStyle w:val="Hyperlink"/>
                <w:color w:val="auto"/>
                <w:u w:val="none"/>
              </w:rPr>
              <w:t>and</w:t>
            </w:r>
          </w:p>
          <w:p w14:paraId="61A7D72C" w14:textId="6AE647A4" w:rsidR="004C05AA" w:rsidRPr="006740B6" w:rsidRDefault="004C05AA" w:rsidP="004C05AA">
            <w:pPr>
              <w:pStyle w:val="BulletText1"/>
              <w:rPr>
                <w:rStyle w:val="Hyperlink"/>
                <w:color w:val="000000"/>
                <w:u w:val="none"/>
              </w:rPr>
            </w:pPr>
            <w:r w:rsidRPr="006740B6">
              <w:rPr>
                <w:rStyle w:val="Hyperlink"/>
                <w:color w:val="000000"/>
                <w:u w:val="none"/>
              </w:rPr>
              <w:t>willful misconduct based on alcohol and drug abuse, see</w:t>
            </w:r>
          </w:p>
          <w:p w14:paraId="049B39D9" w14:textId="766C188B" w:rsidR="004C05AA" w:rsidRPr="006740B6" w:rsidRDefault="006740B6" w:rsidP="0073514E">
            <w:pPr>
              <w:pStyle w:val="BulletText2"/>
              <w:rPr>
                <w:rStyle w:val="Hyperlink"/>
                <w:color w:val="000000"/>
                <w:u w:val="none"/>
              </w:rPr>
            </w:pPr>
            <w:hyperlink r:id="rId54" w:history="1">
              <w:r w:rsidR="004C05AA" w:rsidRPr="006740B6">
                <w:rPr>
                  <w:rStyle w:val="Hyperlink"/>
                </w:rPr>
                <w:t>38 CFR 3.301</w:t>
              </w:r>
            </w:hyperlink>
          </w:p>
          <w:p w14:paraId="0D9E1ABF" w14:textId="59B85B2D" w:rsidR="0073514E" w:rsidRPr="006740B6" w:rsidRDefault="004C05AA" w:rsidP="0073514E">
            <w:pPr>
              <w:pStyle w:val="BulletText2"/>
              <w:rPr>
                <w:rStyle w:val="Hyperlink"/>
                <w:color w:val="000000"/>
                <w:u w:val="none"/>
              </w:rPr>
            </w:pPr>
            <w:r w:rsidRPr="006740B6">
              <w:rPr>
                <w:rStyle w:val="Hyperlink"/>
                <w:color w:val="auto"/>
                <w:u w:val="none"/>
              </w:rPr>
              <w:t>M21-1, Part III, Subpart v, 1.D</w:t>
            </w:r>
          </w:p>
          <w:p w14:paraId="2F27C1CF" w14:textId="0A49BAFA" w:rsidR="002C09C8" w:rsidRPr="006740B6" w:rsidRDefault="004C05AA" w:rsidP="0073514E">
            <w:pPr>
              <w:pStyle w:val="BulletText2"/>
              <w:rPr>
                <w:rStyle w:val="Hyperlink"/>
                <w:color w:val="000000"/>
                <w:u w:val="none"/>
              </w:rPr>
            </w:pPr>
            <w:r w:rsidRPr="006740B6">
              <w:rPr>
                <w:rStyle w:val="Hyperlink"/>
                <w:color w:val="auto"/>
                <w:u w:val="none"/>
              </w:rPr>
              <w:t xml:space="preserve">M21-1, Part IV, Subpart ii, 2.K, </w:t>
            </w:r>
            <w:r w:rsidR="00A87031" w:rsidRPr="006740B6">
              <w:rPr>
                <w:rStyle w:val="Hyperlink"/>
                <w:color w:val="auto"/>
                <w:u w:val="none"/>
              </w:rPr>
              <w:t>and</w:t>
            </w:r>
          </w:p>
          <w:p w14:paraId="4DCA35ED" w14:textId="5F8C6EE3" w:rsidR="00A87031" w:rsidRPr="006740B6" w:rsidRDefault="00A87031" w:rsidP="0073514E">
            <w:pPr>
              <w:pStyle w:val="BulletText2"/>
              <w:rPr>
                <w:rStyle w:val="Hyperlink"/>
                <w:color w:val="000000"/>
                <w:u w:val="none"/>
              </w:rPr>
            </w:pPr>
            <w:r w:rsidRPr="006740B6">
              <w:rPr>
                <w:rStyle w:val="Hyperlink"/>
                <w:color w:val="auto"/>
                <w:u w:val="none"/>
              </w:rPr>
              <w:t>M21-1</w:t>
            </w:r>
            <w:r w:rsidR="0073514E" w:rsidRPr="006740B6">
              <w:rPr>
                <w:rStyle w:val="Hyperlink"/>
                <w:color w:val="auto"/>
                <w:u w:val="none"/>
              </w:rPr>
              <w:t>, Part III, Subpart iv, 4.I.2.h, and</w:t>
            </w:r>
          </w:p>
          <w:p w14:paraId="21EEB2D5" w14:textId="6529BB9B" w:rsidR="0073514E" w:rsidRPr="006740B6" w:rsidRDefault="006740B6" w:rsidP="0073514E">
            <w:pPr>
              <w:pStyle w:val="BulletText2"/>
            </w:pPr>
            <w:hyperlink r:id="rId55" w:history="1">
              <w:r w:rsidR="0073514E" w:rsidRPr="006740B6">
                <w:rPr>
                  <w:rStyle w:val="Hyperlink"/>
                </w:rPr>
                <w:t>VAOPGCPREC 2- 1998</w:t>
              </w:r>
            </w:hyperlink>
            <w:r w:rsidR="0073514E" w:rsidRPr="006740B6">
              <w:rPr>
                <w:rStyle w:val="Hyperlink"/>
                <w:color w:val="auto"/>
                <w:u w:val="none"/>
              </w:rPr>
              <w:t>.</w:t>
            </w:r>
          </w:p>
        </w:tc>
      </w:tr>
    </w:tbl>
    <w:p w14:paraId="5DCC94CD" w14:textId="106092CF"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B63BB0" w:rsidRPr="006740B6" w14:paraId="7BAB6ACA" w14:textId="77777777" w:rsidTr="002C09C8">
        <w:trPr>
          <w:trHeight w:val="1260"/>
        </w:trPr>
        <w:tc>
          <w:tcPr>
            <w:tcW w:w="1728" w:type="dxa"/>
            <w:shd w:val="clear" w:color="auto" w:fill="auto"/>
          </w:tcPr>
          <w:p w14:paraId="029E3F0C" w14:textId="22651D25" w:rsidR="00B63BB0" w:rsidRPr="006740B6" w:rsidRDefault="00774632" w:rsidP="00B63BB0">
            <w:pPr>
              <w:pStyle w:val="Heading5"/>
            </w:pPr>
            <w:r w:rsidRPr="006740B6">
              <w:t xml:space="preserve">b. </w:t>
            </w:r>
            <w:r w:rsidR="00B63BB0" w:rsidRPr="006740B6">
              <w:t xml:space="preserve">Determining the </w:t>
            </w:r>
            <w:r w:rsidR="00645387" w:rsidRPr="006740B6">
              <w:t>10</w:t>
            </w:r>
            <w:r w:rsidR="00B63BB0" w:rsidRPr="006740B6">
              <w:t>-Year Period</w:t>
            </w:r>
          </w:p>
        </w:tc>
        <w:tc>
          <w:tcPr>
            <w:tcW w:w="7740" w:type="dxa"/>
            <w:shd w:val="clear" w:color="auto" w:fill="auto"/>
          </w:tcPr>
          <w:p w14:paraId="299B17BF" w14:textId="1C1BCCCA" w:rsidR="00B63BB0" w:rsidRPr="006740B6" w:rsidRDefault="00B63BB0" w:rsidP="00B63BB0">
            <w:pPr>
              <w:pStyle w:val="BlockText"/>
            </w:pPr>
            <w:r w:rsidRPr="006740B6">
              <w:t xml:space="preserve">Measure the </w:t>
            </w:r>
            <w:r w:rsidR="00645387" w:rsidRPr="006740B6">
              <w:t>10</w:t>
            </w:r>
            <w:r w:rsidRPr="006740B6">
              <w:t xml:space="preserve">-year period </w:t>
            </w:r>
          </w:p>
          <w:p w14:paraId="0D0F0360" w14:textId="77777777" w:rsidR="0096227E" w:rsidRPr="006740B6" w:rsidRDefault="0096227E" w:rsidP="00B63BB0">
            <w:pPr>
              <w:pStyle w:val="BlockText"/>
            </w:pPr>
          </w:p>
          <w:p w14:paraId="3DEAB37C" w14:textId="77777777" w:rsidR="00B63BB0" w:rsidRPr="006740B6" w:rsidRDefault="00B63BB0" w:rsidP="00B63BB0">
            <w:pPr>
              <w:pStyle w:val="BulletText1"/>
            </w:pPr>
            <w:r w:rsidRPr="006740B6">
              <w:t xml:space="preserve">from the effective date of SC, </w:t>
            </w:r>
            <w:r w:rsidRPr="006740B6">
              <w:rPr>
                <w:i/>
              </w:rPr>
              <w:t>not</w:t>
            </w:r>
            <w:r w:rsidRPr="006740B6">
              <w:t xml:space="preserve"> the date of the rating, </w:t>
            </w:r>
          </w:p>
          <w:p w14:paraId="6FF45F41" w14:textId="0BE0A1B7" w:rsidR="00B63BB0" w:rsidRPr="006740B6" w:rsidRDefault="00B63BB0" w:rsidP="00B63BB0">
            <w:pPr>
              <w:pStyle w:val="BulletText1"/>
            </w:pPr>
            <w:proofErr w:type="gramStart"/>
            <w:r w:rsidRPr="006740B6">
              <w:t>to</w:t>
            </w:r>
            <w:proofErr w:type="gramEnd"/>
            <w:r w:rsidRPr="006740B6">
              <w:t xml:space="preserve"> the effective date of the actual or prospective severance.</w:t>
            </w:r>
          </w:p>
          <w:p w14:paraId="02D8F115" w14:textId="77777777" w:rsidR="00C671EA" w:rsidRPr="006740B6" w:rsidRDefault="00C671EA" w:rsidP="00B63BB0">
            <w:pPr>
              <w:pStyle w:val="BlockText"/>
            </w:pPr>
          </w:p>
          <w:p w14:paraId="0BE56DA1" w14:textId="70FE4D2C" w:rsidR="00B63BB0" w:rsidRPr="006740B6" w:rsidRDefault="00C671EA" w:rsidP="00395D16">
            <w:pPr>
              <w:pStyle w:val="BlockText"/>
            </w:pPr>
            <w:r w:rsidRPr="006740B6">
              <w:t xml:space="preserve">A recent erroneous award of </w:t>
            </w:r>
            <w:r w:rsidR="00395D16" w:rsidRPr="006740B6">
              <w:t xml:space="preserve">SC </w:t>
            </w:r>
            <w:r w:rsidRPr="006740B6">
              <w:t>made effective 10 years in the past is the equivalent of a past rating that has been in effect 10 or more years.  See</w:t>
            </w:r>
            <w:r w:rsidR="00F7147F" w:rsidRPr="006740B6">
              <w:t xml:space="preserve"> </w:t>
            </w:r>
            <w:hyperlink r:id="rId56" w:history="1">
              <w:r w:rsidRPr="006740B6">
                <w:rPr>
                  <w:rStyle w:val="Hyperlink"/>
                </w:rPr>
                <w:t>VAOPGCPREC 6-2002</w:t>
              </w:r>
            </w:hyperlink>
            <w:r w:rsidRPr="006740B6">
              <w:t>.</w:t>
            </w:r>
          </w:p>
        </w:tc>
      </w:tr>
    </w:tbl>
    <w:p w14:paraId="1FE47B9F" w14:textId="6389DD75"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774632" w:rsidRPr="006740B6" w14:paraId="688A548C" w14:textId="77777777" w:rsidTr="00774632">
        <w:tc>
          <w:tcPr>
            <w:tcW w:w="1728" w:type="dxa"/>
            <w:shd w:val="clear" w:color="auto" w:fill="auto"/>
          </w:tcPr>
          <w:p w14:paraId="229EFE17" w14:textId="6FF620AF" w:rsidR="00774632" w:rsidRPr="006740B6" w:rsidRDefault="00774632" w:rsidP="00774632">
            <w:pPr>
              <w:pStyle w:val="Heading5"/>
            </w:pPr>
            <w:r w:rsidRPr="006740B6">
              <w:t>c. Protection of SC for Death</w:t>
            </w:r>
          </w:p>
        </w:tc>
        <w:tc>
          <w:tcPr>
            <w:tcW w:w="7740" w:type="dxa"/>
            <w:shd w:val="clear" w:color="auto" w:fill="auto"/>
          </w:tcPr>
          <w:p w14:paraId="6D35924C" w14:textId="66E3965B" w:rsidR="00774632" w:rsidRPr="006740B6" w:rsidRDefault="006740B6" w:rsidP="00774632">
            <w:pPr>
              <w:pStyle w:val="BlockText"/>
              <w:rPr>
                <w:rStyle w:val="Hyperlink"/>
              </w:rPr>
            </w:pPr>
            <w:hyperlink r:id="rId57" w:history="1">
              <w:r w:rsidR="00774632" w:rsidRPr="006740B6">
                <w:rPr>
                  <w:rStyle w:val="Hyperlink"/>
                </w:rPr>
                <w:t>38 CFR 3.957</w:t>
              </w:r>
            </w:hyperlink>
            <w:r w:rsidR="00774632" w:rsidRPr="006740B6">
              <w:t xml:space="preserve"> provides protection against severance of </w:t>
            </w:r>
            <w:r w:rsidR="00395D16" w:rsidRPr="006740B6">
              <w:t>SC</w:t>
            </w:r>
            <w:r w:rsidR="00774632" w:rsidRPr="006740B6">
              <w:t xml:space="preserve"> for the cause of death</w:t>
            </w:r>
            <w:r w:rsidR="003861FF" w:rsidRPr="006740B6">
              <w:t xml:space="preserve">, </w:t>
            </w:r>
            <w:r w:rsidR="00EE0F6E" w:rsidRPr="006740B6">
              <w:t xml:space="preserve">dependency and indemnity compensation </w:t>
            </w:r>
            <w:r w:rsidR="00FE1027" w:rsidRPr="006740B6">
              <w:t xml:space="preserve">(DIC) </w:t>
            </w:r>
            <w:r w:rsidR="003861FF" w:rsidRPr="006740B6">
              <w:t xml:space="preserve">and </w:t>
            </w:r>
            <w:r w:rsidR="00EE0F6E" w:rsidRPr="006740B6">
              <w:t>death compensation.</w:t>
            </w:r>
            <w:r w:rsidR="00774632" w:rsidRPr="006740B6">
              <w:t xml:space="preserve">  </w:t>
            </w:r>
          </w:p>
          <w:p w14:paraId="3B3A4C3F" w14:textId="77777777" w:rsidR="00774632" w:rsidRPr="006740B6" w:rsidRDefault="00774632" w:rsidP="00774632">
            <w:pPr>
              <w:pStyle w:val="BlockText"/>
              <w:rPr>
                <w:rStyle w:val="Hyperlink"/>
              </w:rPr>
            </w:pPr>
          </w:p>
          <w:p w14:paraId="4886702D" w14:textId="440C0730" w:rsidR="00774632" w:rsidRPr="006740B6" w:rsidRDefault="00FE1027" w:rsidP="00395D16">
            <w:pPr>
              <w:pStyle w:val="BlockText"/>
            </w:pPr>
            <w:r w:rsidRPr="006740B6">
              <w:t xml:space="preserve">Protection for </w:t>
            </w:r>
            <w:r w:rsidR="00395D16" w:rsidRPr="006740B6">
              <w:t>SC</w:t>
            </w:r>
            <w:r w:rsidRPr="006740B6">
              <w:t xml:space="preserve"> for cause of death does not apply to an erroneous grant of DIC </w:t>
            </w:r>
            <w:r w:rsidR="00F16F33" w:rsidRPr="006740B6">
              <w:t>when a</w:t>
            </w:r>
            <w:r w:rsidR="00BE6260" w:rsidRPr="006740B6">
              <w:t xml:space="preserve"> rating decision determined </w:t>
            </w:r>
            <w:r w:rsidRPr="006740B6">
              <w:t>that</w:t>
            </w:r>
            <w:r w:rsidR="00BE6260" w:rsidRPr="006740B6">
              <w:t xml:space="preserve"> </w:t>
            </w:r>
            <w:r w:rsidRPr="006740B6">
              <w:t xml:space="preserve">death was not SC.  See </w:t>
            </w:r>
            <w:hyperlink r:id="rId58" w:history="1">
              <w:r w:rsidRPr="006740B6">
                <w:rPr>
                  <w:rStyle w:val="Hyperlink"/>
                </w:rPr>
                <w:t>VAOPGCPREC 8-</w:t>
              </w:r>
              <w:r w:rsidR="009B7162" w:rsidRPr="006740B6">
                <w:rPr>
                  <w:rStyle w:val="Hyperlink"/>
                </w:rPr>
                <w:t>19</w:t>
              </w:r>
              <w:r w:rsidRPr="006740B6">
                <w:rPr>
                  <w:rStyle w:val="Hyperlink"/>
                </w:rPr>
                <w:t>93</w:t>
              </w:r>
            </w:hyperlink>
            <w:r w:rsidRPr="006740B6">
              <w:rPr>
                <w:rStyle w:val="Hyperlink"/>
                <w:u w:val="none"/>
              </w:rPr>
              <w:t>.</w:t>
            </w:r>
            <w:r w:rsidRPr="006740B6">
              <w:rPr>
                <w:rStyle w:val="Hyperlink"/>
              </w:rPr>
              <w:t xml:space="preserve">  </w:t>
            </w:r>
          </w:p>
        </w:tc>
      </w:tr>
    </w:tbl>
    <w:p w14:paraId="2BAFBEED" w14:textId="74B3A3CF"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774632" w:rsidRPr="006740B6" w14:paraId="3CD57CBF" w14:textId="77777777" w:rsidTr="00774632">
        <w:tc>
          <w:tcPr>
            <w:tcW w:w="1728" w:type="dxa"/>
            <w:shd w:val="clear" w:color="auto" w:fill="auto"/>
          </w:tcPr>
          <w:p w14:paraId="2371F4DA" w14:textId="06C88C9B" w:rsidR="00774632" w:rsidRPr="006740B6" w:rsidRDefault="00774632" w:rsidP="004B7711">
            <w:pPr>
              <w:pStyle w:val="Heading5"/>
            </w:pPr>
            <w:r w:rsidRPr="006740B6">
              <w:t xml:space="preserve">d. DC </w:t>
            </w:r>
            <w:proofErr w:type="gramStart"/>
            <w:r w:rsidRPr="006740B6">
              <w:t>Change  or</w:t>
            </w:r>
            <w:proofErr w:type="gramEnd"/>
            <w:r w:rsidRPr="006740B6">
              <w:t xml:space="preserve"> Correction</w:t>
            </w:r>
            <w:r w:rsidR="00E43CCC" w:rsidRPr="006740B6">
              <w:t xml:space="preserve"> </w:t>
            </w:r>
            <w:r w:rsidR="004B7711" w:rsidRPr="006740B6">
              <w:t xml:space="preserve">of Site of Disability </w:t>
            </w:r>
            <w:r w:rsidR="00E43CCC" w:rsidRPr="006740B6">
              <w:t xml:space="preserve">and </w:t>
            </w:r>
            <w:r w:rsidR="002C51F2" w:rsidRPr="006740B6">
              <w:t xml:space="preserve">Protection </w:t>
            </w:r>
            <w:r w:rsidR="004B7711" w:rsidRPr="006740B6">
              <w:t>of SC</w:t>
            </w:r>
          </w:p>
        </w:tc>
        <w:tc>
          <w:tcPr>
            <w:tcW w:w="7740" w:type="dxa"/>
            <w:shd w:val="clear" w:color="auto" w:fill="auto"/>
          </w:tcPr>
          <w:p w14:paraId="322B9027" w14:textId="1C7C8605" w:rsidR="00E713AA" w:rsidRPr="006740B6" w:rsidRDefault="00E713AA" w:rsidP="00E43CCC">
            <w:pPr>
              <w:pStyle w:val="ListParagraph"/>
              <w:ind w:left="0"/>
            </w:pPr>
            <w:r w:rsidRPr="006740B6">
              <w:t>S</w:t>
            </w:r>
            <w:r w:rsidR="00AB2FC6" w:rsidRPr="006740B6">
              <w:t>C</w:t>
            </w:r>
            <w:r w:rsidRPr="006740B6">
              <w:t xml:space="preserve"> for a disability is not severed simply because the site of a disability, or </w:t>
            </w:r>
            <w:r w:rsidR="008745E0" w:rsidRPr="006740B6">
              <w:t xml:space="preserve">DC </w:t>
            </w:r>
            <w:r w:rsidRPr="006740B6">
              <w:t>associated with it, is corrected</w:t>
            </w:r>
            <w:r w:rsidR="00774632" w:rsidRPr="006740B6">
              <w:t xml:space="preserve"> to more accurately </w:t>
            </w:r>
            <w:r w:rsidR="00A43DD3" w:rsidRPr="006740B6">
              <w:t xml:space="preserve">describe </w:t>
            </w:r>
            <w:r w:rsidRPr="006740B6">
              <w:t xml:space="preserve">the correct </w:t>
            </w:r>
            <w:r w:rsidR="00A43DD3" w:rsidRPr="006740B6">
              <w:t>disability</w:t>
            </w:r>
            <w:r w:rsidRPr="006740B6">
              <w:t xml:space="preserve">. </w:t>
            </w:r>
          </w:p>
          <w:p w14:paraId="33ED623A" w14:textId="77777777" w:rsidR="00E713AA" w:rsidRPr="006740B6" w:rsidRDefault="00E713AA" w:rsidP="00E43CCC">
            <w:pPr>
              <w:pStyle w:val="ListParagraph"/>
              <w:ind w:left="0"/>
            </w:pPr>
          </w:p>
          <w:p w14:paraId="63226BAC" w14:textId="77777777" w:rsidR="00774632" w:rsidRPr="006740B6" w:rsidRDefault="00774632" w:rsidP="00774632">
            <w:r w:rsidRPr="006740B6">
              <w:rPr>
                <w:b/>
                <w:i/>
              </w:rPr>
              <w:t>Examples</w:t>
            </w:r>
            <w:r w:rsidRPr="006740B6">
              <w:t xml:space="preserve">:  </w:t>
            </w:r>
          </w:p>
          <w:p w14:paraId="3A89817F" w14:textId="586EB7D2" w:rsidR="00774632" w:rsidRPr="006740B6" w:rsidRDefault="00E713AA" w:rsidP="0073514E">
            <w:pPr>
              <w:pStyle w:val="ListParagraph"/>
              <w:numPr>
                <w:ilvl w:val="0"/>
                <w:numId w:val="7"/>
              </w:numPr>
              <w:ind w:left="158" w:hanging="187"/>
            </w:pPr>
            <w:r w:rsidRPr="006740B6">
              <w:t xml:space="preserve">A disability evaluation for degenerative arthritis under </w:t>
            </w:r>
            <w:hyperlink r:id="rId59" w:history="1">
              <w:r w:rsidR="003E3AF7" w:rsidRPr="006740B6">
                <w:rPr>
                  <w:rStyle w:val="Hyperlink"/>
                </w:rPr>
                <w:t xml:space="preserve">38 CFR 4.71a, </w:t>
              </w:r>
              <w:r w:rsidR="00774632" w:rsidRPr="006740B6">
                <w:rPr>
                  <w:rStyle w:val="Hyperlink"/>
                </w:rPr>
                <w:t>DC 5003</w:t>
              </w:r>
            </w:hyperlink>
            <w:r w:rsidR="00774632" w:rsidRPr="006740B6">
              <w:t xml:space="preserve"> </w:t>
            </w:r>
            <w:r w:rsidRPr="006740B6">
              <w:t xml:space="preserve">that </w:t>
            </w:r>
            <w:r w:rsidR="00774632" w:rsidRPr="006740B6">
              <w:t xml:space="preserve">has been in place for over 10 years can be </w:t>
            </w:r>
            <w:r w:rsidR="00565B45" w:rsidRPr="006740B6">
              <w:t xml:space="preserve">recharacterized as traumatic arthritis under </w:t>
            </w:r>
            <w:hyperlink r:id="rId60" w:history="1">
              <w:r w:rsidR="003E3AF7" w:rsidRPr="006740B6">
                <w:rPr>
                  <w:rStyle w:val="Hyperlink"/>
                </w:rPr>
                <w:t xml:space="preserve">38 CFR 4.71a, </w:t>
              </w:r>
              <w:r w:rsidR="00774632" w:rsidRPr="006740B6">
                <w:rPr>
                  <w:rStyle w:val="Hyperlink"/>
                </w:rPr>
                <w:t>DC 5010</w:t>
              </w:r>
            </w:hyperlink>
            <w:r w:rsidR="00774632" w:rsidRPr="006740B6">
              <w:t>.</w:t>
            </w:r>
          </w:p>
          <w:p w14:paraId="4839C113" w14:textId="77777777" w:rsidR="00774632" w:rsidRPr="006740B6" w:rsidRDefault="00774632" w:rsidP="00774632">
            <w:pPr>
              <w:pStyle w:val="BulletText1"/>
            </w:pPr>
            <w:r w:rsidRPr="006740B6">
              <w:t>SC for a scar of the left iliac crest that has been in effect for more than 10 years may be redesignated as SC for scar of the right iliac crest if the scar incurred in service was, in fact, on the right iliac crest.</w:t>
            </w:r>
          </w:p>
          <w:p w14:paraId="2B1A82C9" w14:textId="24D6C6EE" w:rsidR="00774632" w:rsidRPr="006740B6" w:rsidRDefault="00774632" w:rsidP="00774632">
            <w:pPr>
              <w:rPr>
                <w:b/>
                <w:i/>
              </w:rPr>
            </w:pPr>
          </w:p>
          <w:p w14:paraId="331811E4" w14:textId="702E2F87" w:rsidR="00774632" w:rsidRPr="006740B6" w:rsidRDefault="00774632" w:rsidP="00774632">
            <w:r w:rsidRPr="006740B6">
              <w:rPr>
                <w:b/>
                <w:i/>
              </w:rPr>
              <w:t>Reference</w:t>
            </w:r>
            <w:r w:rsidRPr="006740B6">
              <w:t>:  For more information</w:t>
            </w:r>
            <w:r w:rsidR="00DA679D" w:rsidRPr="006740B6">
              <w:t xml:space="preserve"> on DC change </w:t>
            </w:r>
            <w:r w:rsidR="00F16F33" w:rsidRPr="006740B6">
              <w:t xml:space="preserve">or </w:t>
            </w:r>
            <w:r w:rsidR="00DA679D" w:rsidRPr="006740B6">
              <w:t>correction, see</w:t>
            </w:r>
          </w:p>
          <w:p w14:paraId="3D732C7F" w14:textId="2FD6ECE7" w:rsidR="00774632" w:rsidRPr="006740B6" w:rsidRDefault="006740B6" w:rsidP="0073514E">
            <w:pPr>
              <w:pStyle w:val="ListParagraph"/>
              <w:numPr>
                <w:ilvl w:val="0"/>
                <w:numId w:val="6"/>
              </w:numPr>
              <w:ind w:left="158" w:hanging="187"/>
            </w:pPr>
            <w:hyperlink r:id="rId61" w:anchor="bmr" w:history="1">
              <w:r w:rsidR="00774632" w:rsidRPr="006740B6">
                <w:rPr>
                  <w:rStyle w:val="Hyperlink"/>
                  <w:i/>
                </w:rPr>
                <w:t xml:space="preserve">Read </w:t>
              </w:r>
              <w:r w:rsidR="00D10FAF" w:rsidRPr="006740B6">
                <w:rPr>
                  <w:rStyle w:val="Hyperlink"/>
                  <w:i/>
                </w:rPr>
                <w:t>v. Shinseki</w:t>
              </w:r>
            </w:hyperlink>
            <w:r w:rsidR="00D10FAF" w:rsidRPr="006740B6">
              <w:rPr>
                <w:rStyle w:val="Hyperlink"/>
                <w:color w:val="auto"/>
                <w:u w:val="none"/>
              </w:rPr>
              <w:t>,</w:t>
            </w:r>
            <w:r w:rsidR="00774632" w:rsidRPr="006740B6">
              <w:t xml:space="preserve"> 651 F. 3d 1296 (2011)</w:t>
            </w:r>
          </w:p>
          <w:p w14:paraId="73B1A5EF" w14:textId="36E23359" w:rsidR="00E713AA" w:rsidRPr="006740B6" w:rsidRDefault="006740B6" w:rsidP="0073514E">
            <w:pPr>
              <w:pStyle w:val="ListParagraph"/>
              <w:numPr>
                <w:ilvl w:val="0"/>
                <w:numId w:val="6"/>
              </w:numPr>
              <w:ind w:left="158" w:hanging="187"/>
            </w:pPr>
            <w:hyperlink r:id="rId62" w:anchor="bmg" w:history="1">
              <w:r w:rsidR="00E713AA" w:rsidRPr="006740B6">
                <w:rPr>
                  <w:rStyle w:val="Hyperlink"/>
                  <w:i/>
                </w:rPr>
                <w:t>Gifford v. Brown</w:t>
              </w:r>
            </w:hyperlink>
            <w:r w:rsidR="00E713AA" w:rsidRPr="006740B6">
              <w:t xml:space="preserve">, </w:t>
            </w:r>
            <w:proofErr w:type="gramStart"/>
            <w:r w:rsidR="00E713AA" w:rsidRPr="006740B6">
              <w:t xml:space="preserve">6 </w:t>
            </w:r>
            <w:proofErr w:type="spellStart"/>
            <w:r w:rsidR="00E713AA" w:rsidRPr="006740B6">
              <w:t>Vet.App</w:t>
            </w:r>
            <w:proofErr w:type="spellEnd"/>
            <w:proofErr w:type="gramEnd"/>
            <w:r w:rsidR="00E713AA" w:rsidRPr="006740B6">
              <w:t>. 269 (1994)</w:t>
            </w:r>
          </w:p>
          <w:p w14:paraId="067EE7B8" w14:textId="738DAA31" w:rsidR="00774632" w:rsidRPr="006740B6" w:rsidRDefault="006740B6" w:rsidP="0073514E">
            <w:pPr>
              <w:pStyle w:val="ListParagraph"/>
              <w:numPr>
                <w:ilvl w:val="0"/>
                <w:numId w:val="9"/>
              </w:numPr>
              <w:ind w:left="158" w:hanging="187"/>
            </w:pPr>
            <w:hyperlink r:id="rId63" w:history="1">
              <w:r w:rsidR="00774632" w:rsidRPr="006740B6">
                <w:rPr>
                  <w:rStyle w:val="Hyperlink"/>
                </w:rPr>
                <w:t>VAOPGCPREC 50-</w:t>
              </w:r>
              <w:r w:rsidR="00E60E23" w:rsidRPr="006740B6">
                <w:rPr>
                  <w:rStyle w:val="Hyperlink"/>
                </w:rPr>
                <w:t>19</w:t>
              </w:r>
              <w:r w:rsidR="00774632" w:rsidRPr="006740B6">
                <w:rPr>
                  <w:rStyle w:val="Hyperlink"/>
                </w:rPr>
                <w:t>91</w:t>
              </w:r>
            </w:hyperlink>
            <w:r w:rsidR="004359A5" w:rsidRPr="006740B6">
              <w:t>, and</w:t>
            </w:r>
          </w:p>
          <w:p w14:paraId="65CB219D" w14:textId="1CC6FD62" w:rsidR="00774632" w:rsidRPr="006740B6" w:rsidRDefault="006740B6" w:rsidP="0073514E">
            <w:pPr>
              <w:pStyle w:val="ListParagraph"/>
              <w:numPr>
                <w:ilvl w:val="0"/>
                <w:numId w:val="9"/>
              </w:numPr>
              <w:ind w:left="158" w:hanging="187"/>
            </w:pPr>
            <w:hyperlink r:id="rId64" w:history="1">
              <w:r w:rsidR="00774632" w:rsidRPr="006740B6">
                <w:rPr>
                  <w:rStyle w:val="Hyperlink"/>
                </w:rPr>
                <w:t>VAOPGCPREC 13-</w:t>
              </w:r>
              <w:r w:rsidR="00E60E23" w:rsidRPr="006740B6">
                <w:rPr>
                  <w:rStyle w:val="Hyperlink"/>
                </w:rPr>
                <w:t>19</w:t>
              </w:r>
              <w:r w:rsidR="00774632" w:rsidRPr="006740B6">
                <w:rPr>
                  <w:rStyle w:val="Hyperlink"/>
                </w:rPr>
                <w:t>92</w:t>
              </w:r>
            </w:hyperlink>
            <w:r w:rsidR="004359A5" w:rsidRPr="006740B6">
              <w:rPr>
                <w:rStyle w:val="Hyperlink"/>
                <w:u w:val="none"/>
              </w:rPr>
              <w:t>.</w:t>
            </w:r>
          </w:p>
        </w:tc>
      </w:tr>
    </w:tbl>
    <w:p w14:paraId="595F7005" w14:textId="28961F3C"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F30E65" w:rsidRPr="006740B6" w14:paraId="1950D877" w14:textId="77777777" w:rsidTr="00F30E65">
        <w:tc>
          <w:tcPr>
            <w:tcW w:w="1728" w:type="dxa"/>
            <w:shd w:val="clear" w:color="auto" w:fill="auto"/>
          </w:tcPr>
          <w:p w14:paraId="52452BF5" w14:textId="22DA5EFF" w:rsidR="00F30E65" w:rsidRPr="006740B6" w:rsidRDefault="00663736" w:rsidP="00F30E65">
            <w:pPr>
              <w:pStyle w:val="Heading5"/>
            </w:pPr>
            <w:proofErr w:type="gramStart"/>
            <w:r w:rsidRPr="006740B6">
              <w:t xml:space="preserve">e.  </w:t>
            </w:r>
            <w:r w:rsidR="00F30E65" w:rsidRPr="006740B6">
              <w:t>Protection</w:t>
            </w:r>
            <w:proofErr w:type="gramEnd"/>
            <w:r w:rsidR="00F30E65" w:rsidRPr="006740B6">
              <w:t xml:space="preserve"> of SC for Disability </w:t>
            </w:r>
            <w:r w:rsidR="00F30E65" w:rsidRPr="006740B6">
              <w:lastRenderedPageBreak/>
              <w:t>Eliminated by NSC Amputation</w:t>
            </w:r>
          </w:p>
        </w:tc>
        <w:tc>
          <w:tcPr>
            <w:tcW w:w="7740" w:type="dxa"/>
            <w:shd w:val="clear" w:color="auto" w:fill="auto"/>
          </w:tcPr>
          <w:p w14:paraId="65B395B9" w14:textId="5D292C95" w:rsidR="00F30E65" w:rsidRPr="006740B6" w:rsidRDefault="00F30E65" w:rsidP="00663736">
            <w:pPr>
              <w:pStyle w:val="BlockText"/>
            </w:pPr>
            <w:r w:rsidRPr="006740B6">
              <w:lastRenderedPageBreak/>
              <w:t xml:space="preserve">Where a NSC cause necessitates amputation of an extremity, eliminating a SC disability distal to the site of the amputation that had been in effect for more </w:t>
            </w:r>
            <w:r w:rsidRPr="006740B6">
              <w:lastRenderedPageBreak/>
              <w:t xml:space="preserve">than 10 years, </w:t>
            </w:r>
            <w:r w:rsidR="00663736" w:rsidRPr="006740B6">
              <w:t>SC</w:t>
            </w:r>
            <w:r w:rsidRPr="006740B6">
              <w:t xml:space="preserve"> of the eli</w:t>
            </w:r>
            <w:r w:rsidR="00AB2FC6" w:rsidRPr="006740B6">
              <w:t>minated disability is protected</w:t>
            </w:r>
            <w:r w:rsidRPr="006740B6">
              <w:t xml:space="preserve">.  </w:t>
            </w:r>
          </w:p>
          <w:p w14:paraId="3583B77E" w14:textId="77777777" w:rsidR="00663736" w:rsidRPr="006740B6" w:rsidRDefault="00663736" w:rsidP="00663736">
            <w:pPr>
              <w:pStyle w:val="BlockText"/>
            </w:pPr>
          </w:p>
          <w:p w14:paraId="42B44892" w14:textId="68FA6C9A" w:rsidR="00663736" w:rsidRPr="006740B6" w:rsidRDefault="00663736" w:rsidP="00663736">
            <w:pPr>
              <w:pStyle w:val="BlockText"/>
            </w:pPr>
            <w:r w:rsidRPr="006740B6">
              <w:rPr>
                <w:b/>
                <w:i/>
              </w:rPr>
              <w:t>Reference</w:t>
            </w:r>
            <w:r w:rsidRPr="006740B6">
              <w:t>:  For more information on protection due to amputation see, M21</w:t>
            </w:r>
            <w:r w:rsidR="005650A9" w:rsidRPr="006740B6">
              <w:t>-1 Part III, Subpart iv, 8.C.1.m</w:t>
            </w:r>
            <w:r w:rsidRPr="006740B6">
              <w:t>.</w:t>
            </w:r>
          </w:p>
        </w:tc>
      </w:tr>
    </w:tbl>
    <w:p w14:paraId="6E877C36" w14:textId="6185F693"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A60070" w:rsidRPr="006740B6" w14:paraId="0D879E2C" w14:textId="77777777" w:rsidTr="00A60070">
        <w:tc>
          <w:tcPr>
            <w:tcW w:w="1728" w:type="dxa"/>
            <w:shd w:val="clear" w:color="auto" w:fill="auto"/>
          </w:tcPr>
          <w:p w14:paraId="30312359" w14:textId="45B81115" w:rsidR="00A60070" w:rsidRPr="006740B6" w:rsidRDefault="00663736" w:rsidP="000915E7">
            <w:pPr>
              <w:pStyle w:val="Heading5"/>
            </w:pPr>
            <w:proofErr w:type="gramStart"/>
            <w:r w:rsidRPr="006740B6">
              <w:t>f</w:t>
            </w:r>
            <w:r w:rsidR="00A60070" w:rsidRPr="006740B6">
              <w:t xml:space="preserve">.  </w:t>
            </w:r>
            <w:r w:rsidR="000915E7" w:rsidRPr="006740B6">
              <w:t>Protection</w:t>
            </w:r>
            <w:proofErr w:type="gramEnd"/>
            <w:r w:rsidR="000915E7" w:rsidRPr="006740B6">
              <w:t xml:space="preserve"> Inapplicable for Benefits</w:t>
            </w:r>
            <w:r w:rsidR="00DE0D46" w:rsidRPr="006740B6">
              <w:t xml:space="preserve"> U</w:t>
            </w:r>
            <w:r w:rsidR="000915E7" w:rsidRPr="006740B6">
              <w:t xml:space="preserve">nder 38 U.S.C. 1151. </w:t>
            </w:r>
          </w:p>
        </w:tc>
        <w:tc>
          <w:tcPr>
            <w:tcW w:w="7740" w:type="dxa"/>
            <w:shd w:val="clear" w:color="auto" w:fill="auto"/>
          </w:tcPr>
          <w:p w14:paraId="75546B1E" w14:textId="4A674D25" w:rsidR="00A60070" w:rsidRPr="006740B6" w:rsidRDefault="006740B6" w:rsidP="00A60070">
            <w:hyperlink r:id="rId65" w:history="1">
              <w:r w:rsidR="00E60E23" w:rsidRPr="006740B6">
                <w:rPr>
                  <w:rStyle w:val="Hyperlink"/>
                </w:rPr>
                <w:t>VAOPGCPREC 13-1996</w:t>
              </w:r>
            </w:hyperlink>
            <w:r w:rsidR="00E60E23" w:rsidRPr="006740B6">
              <w:t xml:space="preserve"> h</w:t>
            </w:r>
            <w:r w:rsidR="00A60070" w:rsidRPr="006740B6">
              <w:t>eld that</w:t>
            </w:r>
          </w:p>
          <w:p w14:paraId="429E4141" w14:textId="77777777" w:rsidR="00A60070" w:rsidRPr="006740B6" w:rsidRDefault="00A60070" w:rsidP="00A60070"/>
          <w:p w14:paraId="4C3A2EE8" w14:textId="788B0096" w:rsidR="00A60070" w:rsidRPr="006740B6" w:rsidRDefault="00A60070" w:rsidP="0073514E">
            <w:pPr>
              <w:pStyle w:val="ListParagraph"/>
              <w:numPr>
                <w:ilvl w:val="0"/>
                <w:numId w:val="5"/>
              </w:numPr>
              <w:ind w:left="158" w:hanging="187"/>
            </w:pPr>
            <w:r w:rsidRPr="006740B6">
              <w:t xml:space="preserve">the protection of </w:t>
            </w:r>
            <w:r w:rsidR="00395D16" w:rsidRPr="006740B6">
              <w:t xml:space="preserve">SC </w:t>
            </w:r>
            <w:r w:rsidRPr="006740B6">
              <w:t xml:space="preserve">under </w:t>
            </w:r>
            <w:hyperlink r:id="rId66" w:history="1">
              <w:r w:rsidRPr="006740B6">
                <w:rPr>
                  <w:rStyle w:val="Hyperlink"/>
                </w:rPr>
                <w:t>38 U.S.</w:t>
              </w:r>
              <w:r w:rsidR="000915E7" w:rsidRPr="006740B6">
                <w:rPr>
                  <w:rStyle w:val="Hyperlink"/>
                </w:rPr>
                <w:t xml:space="preserve">C. </w:t>
              </w:r>
              <w:r w:rsidRPr="006740B6">
                <w:rPr>
                  <w:rStyle w:val="Hyperlink"/>
                </w:rPr>
                <w:t>1159</w:t>
              </w:r>
            </w:hyperlink>
            <w:r w:rsidRPr="006740B6">
              <w:t xml:space="preserve"> is not applicable to disabilities compensated under </w:t>
            </w:r>
            <w:hyperlink r:id="rId67" w:history="1">
              <w:r w:rsidRPr="006740B6">
                <w:rPr>
                  <w:rStyle w:val="Hyperlink"/>
                </w:rPr>
                <w:t>38 U.S.</w:t>
              </w:r>
              <w:r w:rsidR="00DE0D46" w:rsidRPr="006740B6">
                <w:rPr>
                  <w:rStyle w:val="Hyperlink"/>
                </w:rPr>
                <w:t xml:space="preserve">C. </w:t>
              </w:r>
              <w:r w:rsidRPr="006740B6">
                <w:rPr>
                  <w:rStyle w:val="Hyperlink"/>
                </w:rPr>
                <w:t>1151</w:t>
              </w:r>
            </w:hyperlink>
            <w:r w:rsidRPr="006740B6">
              <w:t>, and</w:t>
            </w:r>
          </w:p>
          <w:p w14:paraId="6F266161" w14:textId="1C97321D" w:rsidR="00A60070" w:rsidRPr="006740B6" w:rsidRDefault="00A60070" w:rsidP="0073514E">
            <w:pPr>
              <w:pStyle w:val="ListParagraph"/>
              <w:numPr>
                <w:ilvl w:val="0"/>
                <w:numId w:val="5"/>
              </w:numPr>
              <w:spacing w:before="240"/>
              <w:ind w:left="158" w:hanging="187"/>
            </w:pPr>
            <w:r w:rsidRPr="006740B6">
              <w:t xml:space="preserve">such termination is not subject to the requirements of </w:t>
            </w:r>
            <w:hyperlink r:id="rId68" w:history="1">
              <w:r w:rsidRPr="006740B6">
                <w:rPr>
                  <w:rStyle w:val="Hyperlink"/>
                </w:rPr>
                <w:t>38 CFR 3.105(d)</w:t>
              </w:r>
            </w:hyperlink>
            <w:r w:rsidRPr="006740B6">
              <w:t xml:space="preserve">  regarding severance of SC, but is subject to similar requirements for due process and appellate rights </w:t>
            </w:r>
            <w:hyperlink r:id="rId69" w:history="1">
              <w:r w:rsidRPr="006740B6">
                <w:rPr>
                  <w:rStyle w:val="Hyperlink"/>
                </w:rPr>
                <w:t>(38 CFR 3.103)</w:t>
              </w:r>
            </w:hyperlink>
            <w:r w:rsidRPr="006740B6">
              <w:t xml:space="preserve"> and revision of erroneous decisions (</w:t>
            </w:r>
            <w:hyperlink r:id="rId70" w:history="1">
              <w:r w:rsidR="00FD7785" w:rsidRPr="006740B6">
                <w:rPr>
                  <w:rStyle w:val="Hyperlink"/>
                </w:rPr>
                <w:t>38 CFR 3</w:t>
              </w:r>
              <w:r w:rsidRPr="006740B6">
                <w:rPr>
                  <w:rStyle w:val="Hyperlink"/>
                </w:rPr>
                <w:t>.105 (a)</w:t>
              </w:r>
            </w:hyperlink>
            <w:r w:rsidR="004359A5" w:rsidRPr="006740B6">
              <w:rPr>
                <w:rStyle w:val="Hyperlink"/>
                <w:color w:val="auto"/>
                <w:u w:val="none"/>
              </w:rPr>
              <w:t>)</w:t>
            </w:r>
            <w:r w:rsidRPr="006740B6">
              <w:t>.</w:t>
            </w:r>
          </w:p>
          <w:p w14:paraId="3B796086" w14:textId="77777777" w:rsidR="00A60070" w:rsidRPr="006740B6" w:rsidRDefault="00A60070" w:rsidP="00A60070">
            <w:pPr>
              <w:pStyle w:val="BlockText"/>
            </w:pPr>
          </w:p>
          <w:p w14:paraId="6825CF1E" w14:textId="3FDA918F" w:rsidR="000915E7" w:rsidRPr="006740B6" w:rsidRDefault="000915E7" w:rsidP="00A60070">
            <w:pPr>
              <w:pStyle w:val="BlockText"/>
            </w:pPr>
            <w:r w:rsidRPr="006740B6">
              <w:rPr>
                <w:b/>
                <w:i/>
              </w:rPr>
              <w:t>Reference</w:t>
            </w:r>
            <w:r w:rsidRPr="006740B6">
              <w:t>:</w:t>
            </w:r>
            <w:r w:rsidR="0096227E" w:rsidRPr="006740B6">
              <w:t xml:space="preserve"> </w:t>
            </w:r>
            <w:r w:rsidRPr="006740B6">
              <w:t xml:space="preserve"> For more information on</w:t>
            </w:r>
            <w:r w:rsidR="00DE0D46" w:rsidRPr="006740B6">
              <w:t xml:space="preserve"> benefits under 38 U.S.C. 1151, see M21-1, Part IV, Subpart ii, 2.G.</w:t>
            </w:r>
            <w:r w:rsidRPr="006740B6">
              <w:t xml:space="preserve"> </w:t>
            </w:r>
          </w:p>
        </w:tc>
      </w:tr>
    </w:tbl>
    <w:p w14:paraId="37D6149B" w14:textId="21A65F7D" w:rsidR="00AB2FC6" w:rsidRPr="006740B6" w:rsidRDefault="00AB2FC6" w:rsidP="00AB2FC6">
      <w:pPr>
        <w:pStyle w:val="BlockLine"/>
        <w:tabs>
          <w:tab w:val="left" w:pos="9360"/>
        </w:tabs>
        <w:ind w:left="1714"/>
      </w:pPr>
    </w:p>
    <w:p w14:paraId="3DC304AF" w14:textId="77777777" w:rsidR="0096227E" w:rsidRPr="006740B6" w:rsidRDefault="0096227E">
      <w:pPr>
        <w:rPr>
          <w:rFonts w:ascii="Arial" w:hAnsi="Arial" w:cs="Arial"/>
          <w:b/>
          <w:sz w:val="32"/>
          <w:szCs w:val="20"/>
        </w:rPr>
      </w:pPr>
      <w:r w:rsidRPr="006740B6">
        <w:br w:type="page"/>
      </w:r>
    </w:p>
    <w:p w14:paraId="21EEB2E3" w14:textId="3F0F01C0" w:rsidR="00CC6D53" w:rsidRPr="006740B6" w:rsidRDefault="00E2558C" w:rsidP="0099131E">
      <w:pPr>
        <w:pStyle w:val="Heading4"/>
      </w:pPr>
      <w:r w:rsidRPr="006740B6">
        <w:lastRenderedPageBreak/>
        <w:t>3</w:t>
      </w:r>
      <w:r w:rsidR="00AA02A6" w:rsidRPr="006740B6">
        <w:t xml:space="preserve">.  </w:t>
      </w:r>
      <w:r w:rsidR="00AB2FC6" w:rsidRPr="006740B6">
        <w:t>Twenty</w:t>
      </w:r>
      <w:r w:rsidR="001D7BC4" w:rsidRPr="006740B6">
        <w:t xml:space="preserve">-Year </w:t>
      </w:r>
      <w:r w:rsidR="00AA02A6" w:rsidRPr="006740B6">
        <w:t xml:space="preserve">Protected Pension Ratings </w:t>
      </w:r>
      <w:proofErr w:type="gramStart"/>
      <w:r w:rsidR="00AA02A6" w:rsidRPr="006740B6">
        <w:t>Under</w:t>
      </w:r>
      <w:proofErr w:type="gramEnd"/>
      <w:r w:rsidR="00AA02A6" w:rsidRPr="006740B6">
        <w:t xml:space="preserve"> 38 CFR 3.951(b)</w:t>
      </w:r>
    </w:p>
    <w:p w14:paraId="1FAE3F2C" w14:textId="54197097"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EA" w14:textId="77777777" w:rsidTr="00AD0020">
        <w:trPr>
          <w:cantSplit/>
        </w:trPr>
        <w:tc>
          <w:tcPr>
            <w:tcW w:w="1728" w:type="dxa"/>
          </w:tcPr>
          <w:p w14:paraId="21EEB2E5" w14:textId="77777777" w:rsidR="00CC6D53" w:rsidRPr="006740B6" w:rsidRDefault="00AA02A6">
            <w:pPr>
              <w:pStyle w:val="Heading5"/>
            </w:pPr>
            <w:r w:rsidRPr="006740B6">
              <w:t>Introduction</w:t>
            </w:r>
          </w:p>
        </w:tc>
        <w:tc>
          <w:tcPr>
            <w:tcW w:w="7740" w:type="dxa"/>
          </w:tcPr>
          <w:p w14:paraId="21EEB2E6" w14:textId="77777777" w:rsidR="00CC6D53" w:rsidRPr="006740B6" w:rsidRDefault="00AA02A6">
            <w:pPr>
              <w:pStyle w:val="BlockText"/>
            </w:pPr>
            <w:r w:rsidRPr="006740B6">
              <w:t>This topic contains information about protected pension entitlement, including</w:t>
            </w:r>
          </w:p>
          <w:p w14:paraId="21EEB2E7" w14:textId="77777777" w:rsidR="00CC6D53" w:rsidRPr="006740B6" w:rsidRDefault="00CC6D53">
            <w:pPr>
              <w:pStyle w:val="BlockText"/>
            </w:pPr>
          </w:p>
          <w:p w14:paraId="21EEB2E8" w14:textId="2B0D0E82" w:rsidR="00CC6D53" w:rsidRPr="006740B6" w:rsidRDefault="00AA02A6">
            <w:pPr>
              <w:pStyle w:val="BulletText1"/>
            </w:pPr>
            <w:r w:rsidRPr="006740B6">
              <w:t>protection under 38 CFR 3.951(b), and</w:t>
            </w:r>
          </w:p>
          <w:p w14:paraId="21EEB2E9" w14:textId="20EECBCC" w:rsidR="00CC6D53" w:rsidRPr="006740B6" w:rsidRDefault="00AA02A6">
            <w:pPr>
              <w:pStyle w:val="BulletText1"/>
            </w:pPr>
            <w:proofErr w:type="gramStart"/>
            <w:r w:rsidRPr="006740B6">
              <w:t>limits</w:t>
            </w:r>
            <w:proofErr w:type="gramEnd"/>
            <w:r w:rsidRPr="006740B6">
              <w:t xml:space="preserve"> of protection.</w:t>
            </w:r>
          </w:p>
        </w:tc>
      </w:tr>
    </w:tbl>
    <w:p w14:paraId="36C9F8E0" w14:textId="060CD757"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EE" w14:textId="77777777">
        <w:trPr>
          <w:cantSplit/>
        </w:trPr>
        <w:tc>
          <w:tcPr>
            <w:tcW w:w="1728" w:type="dxa"/>
          </w:tcPr>
          <w:p w14:paraId="21EEB2EC" w14:textId="7871F1C7" w:rsidR="00CC6D53" w:rsidRPr="006740B6" w:rsidRDefault="00AA02A6">
            <w:pPr>
              <w:pStyle w:val="Heading5"/>
            </w:pPr>
            <w:r w:rsidRPr="006740B6">
              <w:t>Change Date</w:t>
            </w:r>
          </w:p>
        </w:tc>
        <w:tc>
          <w:tcPr>
            <w:tcW w:w="7740" w:type="dxa"/>
          </w:tcPr>
          <w:p w14:paraId="21EEB2ED" w14:textId="77777777" w:rsidR="00CC6D53" w:rsidRPr="006740B6" w:rsidRDefault="00AA02A6">
            <w:pPr>
              <w:pStyle w:val="BlockText"/>
            </w:pPr>
            <w:r w:rsidRPr="006740B6">
              <w:t>December 13, 2005</w:t>
            </w:r>
          </w:p>
        </w:tc>
      </w:tr>
    </w:tbl>
    <w:p w14:paraId="65508C0F" w14:textId="27F4A640"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F2" w14:textId="77777777">
        <w:trPr>
          <w:cantSplit/>
        </w:trPr>
        <w:tc>
          <w:tcPr>
            <w:tcW w:w="1728" w:type="dxa"/>
          </w:tcPr>
          <w:p w14:paraId="21EEB2F0" w14:textId="77777777" w:rsidR="00CC6D53" w:rsidRPr="006740B6" w:rsidRDefault="00AA02A6">
            <w:pPr>
              <w:pStyle w:val="Heading5"/>
            </w:pPr>
            <w:proofErr w:type="gramStart"/>
            <w:r w:rsidRPr="006740B6">
              <w:t>a.  Protection</w:t>
            </w:r>
            <w:proofErr w:type="gramEnd"/>
            <w:r w:rsidRPr="006740B6">
              <w:t xml:space="preserve"> Under 38 CFR 3.951(b)</w:t>
            </w:r>
          </w:p>
        </w:tc>
        <w:tc>
          <w:tcPr>
            <w:tcW w:w="7740" w:type="dxa"/>
          </w:tcPr>
          <w:p w14:paraId="21EEB2F1" w14:textId="65A3459B" w:rsidR="00CC6D53" w:rsidRPr="006740B6" w:rsidRDefault="00AA02A6" w:rsidP="009F0D4F">
            <w:pPr>
              <w:pStyle w:val="BlockText"/>
            </w:pPr>
            <w:r w:rsidRPr="006740B6">
              <w:t>Under</w:t>
            </w:r>
            <w:r w:rsidR="00360837" w:rsidRPr="006740B6">
              <w:t xml:space="preserve"> </w:t>
            </w:r>
            <w:hyperlink r:id="rId71" w:history="1">
              <w:r w:rsidR="009F0D4F" w:rsidRPr="006740B6">
                <w:rPr>
                  <w:rStyle w:val="Hyperlink"/>
                </w:rPr>
                <w:t>38 CFR 3.951(b)</w:t>
              </w:r>
            </w:hyperlink>
            <w:r w:rsidR="009F0D4F" w:rsidRPr="006740B6">
              <w:t xml:space="preserve">, </w:t>
            </w:r>
            <w:r w:rsidRPr="006740B6">
              <w:t xml:space="preserve">do not discontinue a rating of permanent total disability for pension purposes which has been in force for 20 or more years </w:t>
            </w:r>
            <w:r w:rsidRPr="006740B6">
              <w:rPr>
                <w:i/>
              </w:rPr>
              <w:t>except</w:t>
            </w:r>
            <w:r w:rsidRPr="006740B6">
              <w:t xml:space="preserve"> in the case of fraud.</w:t>
            </w:r>
          </w:p>
        </w:tc>
      </w:tr>
    </w:tbl>
    <w:p w14:paraId="0A817088" w14:textId="41C05E24"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CC6D53" w:rsidRPr="006740B6" w14:paraId="21EEB2F6" w14:textId="77777777">
        <w:trPr>
          <w:cantSplit/>
        </w:trPr>
        <w:tc>
          <w:tcPr>
            <w:tcW w:w="1728" w:type="dxa"/>
          </w:tcPr>
          <w:p w14:paraId="21EEB2F4" w14:textId="77777777" w:rsidR="00CC6D53" w:rsidRPr="006740B6" w:rsidRDefault="00AA02A6">
            <w:pPr>
              <w:pStyle w:val="Heading5"/>
            </w:pPr>
            <w:proofErr w:type="gramStart"/>
            <w:r w:rsidRPr="006740B6">
              <w:t>b.  Limits</w:t>
            </w:r>
            <w:proofErr w:type="gramEnd"/>
            <w:r w:rsidRPr="006740B6">
              <w:t xml:space="preserve"> of Protection</w:t>
            </w:r>
          </w:p>
        </w:tc>
        <w:tc>
          <w:tcPr>
            <w:tcW w:w="7740" w:type="dxa"/>
          </w:tcPr>
          <w:p w14:paraId="21EEB2F5" w14:textId="0299F1EF" w:rsidR="00CC6D53" w:rsidRPr="006740B6" w:rsidRDefault="00AA02A6" w:rsidP="009F0D4F">
            <w:pPr>
              <w:pStyle w:val="BlockText"/>
            </w:pPr>
            <w:r w:rsidRPr="006740B6">
              <w:t xml:space="preserve">The protection of pension entitlement under </w:t>
            </w:r>
            <w:hyperlink r:id="rId72" w:history="1">
              <w:r w:rsidR="009F0D4F" w:rsidRPr="006740B6">
                <w:rPr>
                  <w:rStyle w:val="Hyperlink"/>
                </w:rPr>
                <w:t>38 CFR 3.951(b)</w:t>
              </w:r>
            </w:hyperlink>
            <w:r w:rsidRPr="006740B6">
              <w:t xml:space="preserve"> does not extend to Special Monthly Pension (SMP).</w:t>
            </w:r>
          </w:p>
        </w:tc>
      </w:tr>
    </w:tbl>
    <w:p w14:paraId="20727418" w14:textId="62C8A8D0" w:rsidR="001D7BC4" w:rsidRPr="006740B6" w:rsidRDefault="001D7BC4" w:rsidP="001D7BC4">
      <w:pPr>
        <w:pStyle w:val="BlockLine"/>
        <w:tabs>
          <w:tab w:val="left" w:pos="9360"/>
        </w:tabs>
        <w:ind w:left="1714"/>
      </w:pPr>
    </w:p>
    <w:p w14:paraId="72A0A7DD" w14:textId="03B9C854" w:rsidR="00AA02A6" w:rsidRPr="006740B6" w:rsidRDefault="001D7BC4" w:rsidP="001D7BC4">
      <w:pPr>
        <w:rPr>
          <w:szCs w:val="20"/>
        </w:rPr>
      </w:pPr>
      <w:r w:rsidRPr="006740B6">
        <w:br w:type="page"/>
      </w:r>
    </w:p>
    <w:p w14:paraId="38450A43" w14:textId="437623BA" w:rsidR="005C1271" w:rsidRPr="006740B6" w:rsidRDefault="005C1271" w:rsidP="005C1271">
      <w:pPr>
        <w:pStyle w:val="Heading4"/>
      </w:pPr>
      <w:r w:rsidRPr="006740B6">
        <w:lastRenderedPageBreak/>
        <w:t xml:space="preserve">4. </w:t>
      </w:r>
      <w:r w:rsidR="00961154" w:rsidRPr="006740B6">
        <w:t xml:space="preserve"> </w:t>
      </w:r>
      <w:r w:rsidRPr="006740B6">
        <w:t>Protection and Rating Schedule Changes</w:t>
      </w:r>
    </w:p>
    <w:p w14:paraId="5B344F43" w14:textId="05567DBB"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5C1271" w:rsidRPr="006740B6" w14:paraId="138EC669" w14:textId="77777777" w:rsidTr="005C1271">
        <w:tc>
          <w:tcPr>
            <w:tcW w:w="1728" w:type="dxa"/>
            <w:shd w:val="clear" w:color="auto" w:fill="auto"/>
          </w:tcPr>
          <w:p w14:paraId="3FFAB88B" w14:textId="086B1A5A" w:rsidR="005C1271" w:rsidRPr="006740B6" w:rsidRDefault="00961154" w:rsidP="005C1271">
            <w:pPr>
              <w:pStyle w:val="Heading5"/>
            </w:pPr>
            <w:r w:rsidRPr="006740B6">
              <w:t>Introduction</w:t>
            </w:r>
          </w:p>
        </w:tc>
        <w:tc>
          <w:tcPr>
            <w:tcW w:w="7740" w:type="dxa"/>
            <w:shd w:val="clear" w:color="auto" w:fill="auto"/>
          </w:tcPr>
          <w:p w14:paraId="4D5B2B69" w14:textId="77777777" w:rsidR="005C1271" w:rsidRPr="006740B6" w:rsidRDefault="00961154" w:rsidP="005C1271">
            <w:pPr>
              <w:pStyle w:val="BlockText"/>
            </w:pPr>
            <w:r w:rsidRPr="006740B6">
              <w:t>This topic includes information about protection and rating schedule changes including</w:t>
            </w:r>
          </w:p>
          <w:p w14:paraId="46F75965" w14:textId="6787413F" w:rsidR="00961154" w:rsidRPr="006740B6" w:rsidRDefault="00961154" w:rsidP="00F7147F">
            <w:pPr>
              <w:pStyle w:val="BulletText1"/>
            </w:pPr>
            <w:r w:rsidRPr="006740B6">
              <w:t>protection against rating schedule changes under 38 CFR 3.951(a)</w:t>
            </w:r>
          </w:p>
          <w:p w14:paraId="51CB07A8" w14:textId="683270C9" w:rsidR="00961154" w:rsidRPr="006740B6" w:rsidRDefault="00961154" w:rsidP="00F7147F">
            <w:pPr>
              <w:pStyle w:val="BulletText1"/>
            </w:pPr>
            <w:r w:rsidRPr="006740B6">
              <w:t>protection against rating  scheduled changes under 38 CFR 3.952, and</w:t>
            </w:r>
          </w:p>
          <w:p w14:paraId="10868451" w14:textId="721DCB2C" w:rsidR="00961154" w:rsidRPr="006740B6" w:rsidRDefault="00961154" w:rsidP="00F7147F">
            <w:pPr>
              <w:pStyle w:val="BulletText1"/>
            </w:pPr>
            <w:proofErr w:type="gramStart"/>
            <w:r w:rsidRPr="006740B6">
              <w:t>reviewing</w:t>
            </w:r>
            <w:proofErr w:type="gramEnd"/>
            <w:r w:rsidRPr="006740B6">
              <w:t xml:space="preserve"> evaluations after a rating schedule change. </w:t>
            </w:r>
          </w:p>
        </w:tc>
      </w:tr>
    </w:tbl>
    <w:p w14:paraId="43BD8F49" w14:textId="4E31A372"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F7147F" w:rsidRPr="006740B6" w14:paraId="71FF2209" w14:textId="77777777" w:rsidTr="00F7147F">
        <w:tc>
          <w:tcPr>
            <w:tcW w:w="1728" w:type="dxa"/>
            <w:shd w:val="clear" w:color="auto" w:fill="auto"/>
          </w:tcPr>
          <w:p w14:paraId="102DC412" w14:textId="2EDD6E21" w:rsidR="00F7147F" w:rsidRPr="006740B6" w:rsidRDefault="00F7147F" w:rsidP="00F7147F">
            <w:pPr>
              <w:pStyle w:val="Heading5"/>
            </w:pPr>
            <w:r w:rsidRPr="006740B6">
              <w:t>Change Date</w:t>
            </w:r>
          </w:p>
        </w:tc>
        <w:tc>
          <w:tcPr>
            <w:tcW w:w="7740" w:type="dxa"/>
            <w:shd w:val="clear" w:color="auto" w:fill="auto"/>
          </w:tcPr>
          <w:p w14:paraId="46C7972B" w14:textId="3CBD2BC7" w:rsidR="00F7147F" w:rsidRPr="006740B6" w:rsidRDefault="00282076" w:rsidP="00F7147F">
            <w:pPr>
              <w:pStyle w:val="BlockText"/>
            </w:pPr>
            <w:r w:rsidRPr="006740B6">
              <w:t>April 22, 2015</w:t>
            </w:r>
          </w:p>
        </w:tc>
      </w:tr>
    </w:tbl>
    <w:p w14:paraId="0C720701" w14:textId="0801F847" w:rsidR="00AB2FC6" w:rsidRPr="006740B6" w:rsidRDefault="00AB2FC6" w:rsidP="00AB2FC6">
      <w:pPr>
        <w:pStyle w:val="BlockLine"/>
        <w:pBdr>
          <w:top w:val="single" w:sz="6" w:space="0" w:color="000000"/>
        </w:pBdr>
        <w:tabs>
          <w:tab w:val="left" w:pos="9360"/>
        </w:tabs>
        <w:ind w:left="1714"/>
      </w:pPr>
    </w:p>
    <w:tbl>
      <w:tblPr>
        <w:tblW w:w="0" w:type="auto"/>
        <w:tblLayout w:type="fixed"/>
        <w:tblLook w:val="0000" w:firstRow="0" w:lastRow="0" w:firstColumn="0" w:lastColumn="0" w:noHBand="0" w:noVBand="0"/>
      </w:tblPr>
      <w:tblGrid>
        <w:gridCol w:w="1728"/>
        <w:gridCol w:w="7740"/>
      </w:tblGrid>
      <w:tr w:rsidR="005C1271" w:rsidRPr="006740B6" w14:paraId="43DEB7F7" w14:textId="77777777" w:rsidTr="005C1271">
        <w:tc>
          <w:tcPr>
            <w:tcW w:w="1728" w:type="dxa"/>
            <w:shd w:val="clear" w:color="auto" w:fill="auto"/>
          </w:tcPr>
          <w:p w14:paraId="3C9654BB" w14:textId="5B313A5D" w:rsidR="005C1271" w:rsidRPr="006740B6" w:rsidRDefault="005C1271" w:rsidP="005C1271">
            <w:pPr>
              <w:pStyle w:val="Heading5"/>
            </w:pPr>
            <w:proofErr w:type="gramStart"/>
            <w:r w:rsidRPr="006740B6">
              <w:t>a.  Protection</w:t>
            </w:r>
            <w:proofErr w:type="gramEnd"/>
            <w:r w:rsidRPr="006740B6">
              <w:t xml:space="preserve"> Against Rating Schedule Changes </w:t>
            </w:r>
            <w:r w:rsidR="00447824" w:rsidRPr="006740B6">
              <w:t xml:space="preserve">Under </w:t>
            </w:r>
            <w:r w:rsidRPr="006740B6">
              <w:t>38 CFR 3.951(a)</w:t>
            </w:r>
          </w:p>
        </w:tc>
        <w:tc>
          <w:tcPr>
            <w:tcW w:w="7740" w:type="dxa"/>
            <w:shd w:val="clear" w:color="auto" w:fill="auto"/>
          </w:tcPr>
          <w:p w14:paraId="3AED8106" w14:textId="006383BE" w:rsidR="005C1271" w:rsidRPr="006740B6" w:rsidRDefault="005C1271" w:rsidP="000B38B4">
            <w:pPr>
              <w:pStyle w:val="BlockText"/>
            </w:pPr>
            <w:r w:rsidRPr="006740B6">
              <w:rPr>
                <w:i/>
              </w:rPr>
              <w:t>PL 102-86</w:t>
            </w:r>
            <w:r w:rsidRPr="006740B6">
              <w:t xml:space="preserve"> states that a rating evaluation cannot be reduced solely because of a change to the rating schedule subsequent to August 13, 1991</w:t>
            </w:r>
            <w:r w:rsidRPr="006740B6">
              <w:rPr>
                <w:color w:val="auto"/>
              </w:rPr>
              <w:t>.</w:t>
            </w:r>
            <w:r w:rsidR="00447824" w:rsidRPr="006740B6">
              <w:rPr>
                <w:color w:val="auto"/>
              </w:rPr>
              <w:t xml:space="preserve"> </w:t>
            </w:r>
            <w:r w:rsidRPr="006740B6">
              <w:rPr>
                <w:color w:val="auto"/>
              </w:rPr>
              <w:t xml:space="preserve"> </w:t>
            </w:r>
            <w:hyperlink r:id="rId73" w:history="1">
              <w:r w:rsidRPr="006740B6">
                <w:rPr>
                  <w:rStyle w:val="Hyperlink"/>
                </w:rPr>
                <w:t>38 CFR 3.951(a)</w:t>
              </w:r>
            </w:hyperlink>
            <w:r w:rsidRPr="006740B6">
              <w:rPr>
                <w:rStyle w:val="Hyperlink"/>
                <w:color w:val="auto"/>
                <w:u w:val="none"/>
              </w:rPr>
              <w:t xml:space="preserve"> provides that a readjustment to the Schedule for Rating Disabilities shall not be grounds for reduction of a disability rating in effect on the date of the readjustment unless medical evidence establishes that the disability to be evaluated has actually improved.</w:t>
            </w:r>
          </w:p>
          <w:p w14:paraId="447B8F88" w14:textId="77777777" w:rsidR="005C1271" w:rsidRPr="006740B6" w:rsidRDefault="005C1271" w:rsidP="000B38B4">
            <w:pPr>
              <w:pStyle w:val="BlockText"/>
            </w:pPr>
          </w:p>
          <w:p w14:paraId="219AF37A" w14:textId="77777777" w:rsidR="005C1271" w:rsidRPr="006740B6" w:rsidRDefault="005C1271" w:rsidP="000B38B4">
            <w:pPr>
              <w:pStyle w:val="BlockText"/>
            </w:pPr>
            <w:r w:rsidRPr="006740B6">
              <w:rPr>
                <w:b/>
                <w:i/>
              </w:rPr>
              <w:t>Reference</w:t>
            </w:r>
            <w:r w:rsidRPr="006740B6">
              <w:t>:  For more information on the preservation of disability evaluations after rating schedule changes, see</w:t>
            </w:r>
          </w:p>
          <w:p w14:paraId="507B51EE" w14:textId="518E8F45" w:rsidR="005C1271" w:rsidRPr="006740B6" w:rsidRDefault="006740B6" w:rsidP="000B38B4">
            <w:pPr>
              <w:pStyle w:val="BulletText1"/>
            </w:pPr>
            <w:hyperlink r:id="rId74" w:history="1">
              <w:r w:rsidR="005C1271" w:rsidRPr="006740B6">
                <w:rPr>
                  <w:rStyle w:val="Hyperlink"/>
                </w:rPr>
                <w:t>38 CFR 3.951(a)</w:t>
              </w:r>
            </w:hyperlink>
            <w:r w:rsidR="005C1271" w:rsidRPr="006740B6">
              <w:t>, and</w:t>
            </w:r>
          </w:p>
          <w:p w14:paraId="6E3D61D2" w14:textId="5CB028F5" w:rsidR="005C1271" w:rsidRPr="006740B6" w:rsidRDefault="006740B6" w:rsidP="005C1271">
            <w:pPr>
              <w:pStyle w:val="BulletText1"/>
            </w:pPr>
            <w:hyperlink r:id="rId75" w:history="1">
              <w:r w:rsidR="005C1271" w:rsidRPr="006740B6">
                <w:rPr>
                  <w:rStyle w:val="Hyperlink"/>
                </w:rPr>
                <w:t>38 U.S.C. 1155</w:t>
              </w:r>
            </w:hyperlink>
            <w:r w:rsidR="005C1271" w:rsidRPr="006740B6">
              <w:t>.</w:t>
            </w:r>
          </w:p>
        </w:tc>
      </w:tr>
    </w:tbl>
    <w:p w14:paraId="64CB3E08" w14:textId="7BBE0002"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5C1271" w:rsidRPr="006740B6" w14:paraId="25DF1EE4" w14:textId="77777777" w:rsidTr="00E60E23">
        <w:trPr>
          <w:trHeight w:val="2205"/>
        </w:trPr>
        <w:tc>
          <w:tcPr>
            <w:tcW w:w="1728" w:type="dxa"/>
            <w:shd w:val="clear" w:color="auto" w:fill="auto"/>
          </w:tcPr>
          <w:p w14:paraId="3F3C3D34" w14:textId="7939AECD" w:rsidR="005C1271" w:rsidRPr="006740B6" w:rsidRDefault="005C1271" w:rsidP="005C1271">
            <w:pPr>
              <w:pStyle w:val="Heading5"/>
            </w:pPr>
            <w:proofErr w:type="gramStart"/>
            <w:r w:rsidRPr="006740B6">
              <w:t>b.  Protection</w:t>
            </w:r>
            <w:proofErr w:type="gramEnd"/>
            <w:r w:rsidRPr="006740B6">
              <w:t xml:space="preserve"> Against Rating Schedule Changes </w:t>
            </w:r>
            <w:r w:rsidR="00447824" w:rsidRPr="006740B6">
              <w:t xml:space="preserve">Under </w:t>
            </w:r>
            <w:r w:rsidRPr="006740B6">
              <w:t>38 CFR 3.952</w:t>
            </w:r>
          </w:p>
        </w:tc>
        <w:tc>
          <w:tcPr>
            <w:tcW w:w="7740" w:type="dxa"/>
            <w:shd w:val="clear" w:color="auto" w:fill="auto"/>
          </w:tcPr>
          <w:p w14:paraId="3C6E3D41" w14:textId="77777777" w:rsidR="005C1271" w:rsidRPr="006740B6" w:rsidRDefault="006740B6" w:rsidP="005C1271">
            <w:pPr>
              <w:pStyle w:val="BlockText"/>
            </w:pPr>
            <w:hyperlink r:id="rId76" w:history="1">
              <w:r w:rsidR="005C1271" w:rsidRPr="006740B6">
                <w:rPr>
                  <w:rStyle w:val="Hyperlink"/>
                </w:rPr>
                <w:t>38 CFR 3.952</w:t>
              </w:r>
            </w:hyperlink>
            <w:r w:rsidR="005C1271" w:rsidRPr="006740B6">
              <w:t xml:space="preserve"> protects rating evaluations under the 1925 rating schedule that were the basis of compensation on April 1, 1946.</w:t>
            </w:r>
          </w:p>
          <w:p w14:paraId="6C30C432" w14:textId="77777777" w:rsidR="005C1271" w:rsidRPr="006740B6" w:rsidRDefault="005C1271" w:rsidP="005C1271">
            <w:pPr>
              <w:pStyle w:val="BlockText"/>
            </w:pPr>
          </w:p>
          <w:p w14:paraId="0504D800" w14:textId="04C1B5CB" w:rsidR="005C1271" w:rsidRPr="006740B6" w:rsidRDefault="005C1271" w:rsidP="005C1271">
            <w:pPr>
              <w:pStyle w:val="BlockText"/>
            </w:pPr>
            <w:r w:rsidRPr="006740B6">
              <w:rPr>
                <w:b/>
                <w:i/>
              </w:rPr>
              <w:t>Note</w:t>
            </w:r>
            <w:r w:rsidRPr="006740B6">
              <w:t xml:space="preserve">:  Evaluations in effect when previous changes to the 1945 rating schedule occurred are </w:t>
            </w:r>
            <w:r w:rsidRPr="006740B6">
              <w:rPr>
                <w:i/>
              </w:rPr>
              <w:t>not</w:t>
            </w:r>
            <w:r w:rsidRPr="006740B6">
              <w:t xml:space="preserve"> protected by </w:t>
            </w:r>
            <w:r w:rsidRPr="006740B6">
              <w:rPr>
                <w:i/>
              </w:rPr>
              <w:t>PL 102-86</w:t>
            </w:r>
            <w:r w:rsidRPr="006740B6">
              <w:t>.  Therefore, evaluations assigned prior to August 13, 1991</w:t>
            </w:r>
            <w:r w:rsidR="006740B6" w:rsidRPr="006740B6">
              <w:t>,</w:t>
            </w:r>
            <w:r w:rsidRPr="006740B6">
              <w:t xml:space="preserve"> could be reduced solely based on a change to the rating schedule, as provided by </w:t>
            </w:r>
            <w:hyperlink r:id="rId77" w:history="1">
              <w:r w:rsidRPr="006740B6">
                <w:rPr>
                  <w:rStyle w:val="Hyperlink"/>
                </w:rPr>
                <w:t>38 CFR 3.952</w:t>
              </w:r>
            </w:hyperlink>
            <w:r w:rsidRPr="006740B6">
              <w:t xml:space="preserve">  unless they had been in existence for 20 years or more.  </w:t>
            </w:r>
          </w:p>
        </w:tc>
      </w:tr>
    </w:tbl>
    <w:p w14:paraId="70E3953A" w14:textId="78FEA67E"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5C1271" w:rsidRPr="006740B6" w14:paraId="190C9876" w14:textId="77777777" w:rsidTr="005C1271">
        <w:tc>
          <w:tcPr>
            <w:tcW w:w="1728" w:type="dxa"/>
            <w:shd w:val="clear" w:color="auto" w:fill="auto"/>
          </w:tcPr>
          <w:p w14:paraId="2AF6131F" w14:textId="48492FDE" w:rsidR="005C1271" w:rsidRPr="006740B6" w:rsidRDefault="005C1271" w:rsidP="005C1271">
            <w:pPr>
              <w:pStyle w:val="Heading5"/>
            </w:pPr>
            <w:proofErr w:type="gramStart"/>
            <w:r w:rsidRPr="006740B6">
              <w:t>c.  Reviewing</w:t>
            </w:r>
            <w:proofErr w:type="gramEnd"/>
            <w:r w:rsidRPr="006740B6">
              <w:t xml:space="preserve"> Evaluations After a Rating Schedule Change</w:t>
            </w:r>
          </w:p>
        </w:tc>
        <w:tc>
          <w:tcPr>
            <w:tcW w:w="7740" w:type="dxa"/>
            <w:shd w:val="clear" w:color="auto" w:fill="auto"/>
          </w:tcPr>
          <w:p w14:paraId="3BD986A2" w14:textId="77777777" w:rsidR="005C1271" w:rsidRPr="006740B6" w:rsidRDefault="005C1271" w:rsidP="000B38B4">
            <w:pPr>
              <w:pStyle w:val="BlockText"/>
            </w:pPr>
            <w:r w:rsidRPr="006740B6">
              <w:t>When reviewing a disability evaluation after a change in the rating schedule, determine whether the current evaluation would be continued or decreased under the prior schedule.</w:t>
            </w:r>
          </w:p>
          <w:p w14:paraId="230ED224" w14:textId="77777777" w:rsidR="005C1271" w:rsidRPr="006740B6" w:rsidRDefault="005C1271" w:rsidP="000B38B4">
            <w:pPr>
              <w:pStyle w:val="BlockText"/>
            </w:pPr>
          </w:p>
          <w:p w14:paraId="3D48485B" w14:textId="0AA06807" w:rsidR="005C1271" w:rsidRPr="006740B6" w:rsidRDefault="005C1271" w:rsidP="005C1271">
            <w:pPr>
              <w:pStyle w:val="BlockText"/>
            </w:pPr>
            <w:r w:rsidRPr="006740B6">
              <w:rPr>
                <w:b/>
                <w:i/>
              </w:rPr>
              <w:t>Note</w:t>
            </w:r>
            <w:r w:rsidRPr="006740B6">
              <w:t>:  The disability evaluation cannot be reduced unless you can show the Veteran’s condition improved enough to have warranted reduction under the prior schedule.</w:t>
            </w:r>
          </w:p>
        </w:tc>
      </w:tr>
    </w:tbl>
    <w:p w14:paraId="47012EAB" w14:textId="0BEA38A0" w:rsidR="001D7BC4" w:rsidRPr="006740B6" w:rsidRDefault="001D7BC4" w:rsidP="001D7BC4">
      <w:pPr>
        <w:tabs>
          <w:tab w:val="left" w:pos="9360"/>
        </w:tabs>
        <w:ind w:left="1714"/>
      </w:pPr>
      <w:r w:rsidRPr="006740B6">
        <w:rPr>
          <w:u w:val="single"/>
        </w:rPr>
        <w:tab/>
      </w:r>
    </w:p>
    <w:p w14:paraId="338B0BD2" w14:textId="78514BE1" w:rsidR="001D7BC4" w:rsidRPr="006740B6" w:rsidRDefault="001D7BC4" w:rsidP="001D7BC4">
      <w:pPr>
        <w:ind w:left="1714"/>
      </w:pPr>
    </w:p>
    <w:p w14:paraId="2185C534" w14:textId="77777777" w:rsidR="001D7BC4" w:rsidRPr="006740B6" w:rsidRDefault="001D7BC4">
      <w:pPr>
        <w:rPr>
          <w:rFonts w:ascii="Arial" w:hAnsi="Arial" w:cs="Arial"/>
          <w:b/>
          <w:sz w:val="32"/>
          <w:szCs w:val="20"/>
        </w:rPr>
      </w:pPr>
      <w:r w:rsidRPr="006740B6">
        <w:br w:type="page"/>
      </w:r>
    </w:p>
    <w:p w14:paraId="6776A9D3" w14:textId="136840AC" w:rsidR="00961154" w:rsidRPr="006740B6" w:rsidRDefault="00961154" w:rsidP="00961154">
      <w:pPr>
        <w:pStyle w:val="Heading4"/>
      </w:pPr>
      <w:r w:rsidRPr="006740B6">
        <w:lastRenderedPageBreak/>
        <w:t>5.  Other Protection Issues</w:t>
      </w:r>
    </w:p>
    <w:p w14:paraId="0E8AFADF" w14:textId="5ED0FF69"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A37E10" w:rsidRPr="006740B6" w14:paraId="498F0C6B" w14:textId="77777777" w:rsidTr="00A37E10">
        <w:tc>
          <w:tcPr>
            <w:tcW w:w="1728" w:type="dxa"/>
            <w:shd w:val="clear" w:color="auto" w:fill="auto"/>
          </w:tcPr>
          <w:p w14:paraId="5A826A00" w14:textId="718C767A" w:rsidR="00A37E10" w:rsidRPr="006740B6" w:rsidRDefault="00A37E10" w:rsidP="00A37E10">
            <w:pPr>
              <w:pStyle w:val="Heading5"/>
            </w:pPr>
            <w:r w:rsidRPr="006740B6">
              <w:t>Change Date</w:t>
            </w:r>
          </w:p>
        </w:tc>
        <w:tc>
          <w:tcPr>
            <w:tcW w:w="7740" w:type="dxa"/>
            <w:shd w:val="clear" w:color="auto" w:fill="auto"/>
          </w:tcPr>
          <w:p w14:paraId="5829758A" w14:textId="7A46230F" w:rsidR="00A37E10" w:rsidRPr="006740B6" w:rsidRDefault="00282076" w:rsidP="00A37E10">
            <w:pPr>
              <w:pStyle w:val="BlockText"/>
            </w:pPr>
            <w:r w:rsidRPr="006740B6">
              <w:t>April 22, 2015</w:t>
            </w:r>
          </w:p>
        </w:tc>
      </w:tr>
    </w:tbl>
    <w:p w14:paraId="2C2191AD" w14:textId="5201328C" w:rsidR="00AB2FC6" w:rsidRPr="006740B6" w:rsidRDefault="00AB2FC6" w:rsidP="00AB2FC6">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961154" w:rsidRPr="00282076" w14:paraId="7BA14B97" w14:textId="77777777" w:rsidTr="00961154">
        <w:tc>
          <w:tcPr>
            <w:tcW w:w="1728" w:type="dxa"/>
            <w:shd w:val="clear" w:color="auto" w:fill="auto"/>
          </w:tcPr>
          <w:p w14:paraId="10E40E73" w14:textId="4ABDFF89" w:rsidR="00961154" w:rsidRPr="006740B6" w:rsidRDefault="00961154" w:rsidP="000B38B4">
            <w:pPr>
              <w:pStyle w:val="Heading5"/>
            </w:pPr>
            <w:proofErr w:type="gramStart"/>
            <w:r w:rsidRPr="006740B6">
              <w:t xml:space="preserve">a.  </w:t>
            </w:r>
            <w:r w:rsidR="000B38B4" w:rsidRPr="006740B6">
              <w:t>Inapplicability</w:t>
            </w:r>
            <w:proofErr w:type="gramEnd"/>
            <w:r w:rsidR="000B38B4" w:rsidRPr="006740B6">
              <w:t xml:space="preserve"> of Protection to Hospital Rate </w:t>
            </w:r>
            <w:r w:rsidRPr="006740B6">
              <w:t>Reduction</w:t>
            </w:r>
            <w:r w:rsidR="000B38B4" w:rsidRPr="006740B6">
              <w:t xml:space="preserve">s </w:t>
            </w:r>
            <w:r w:rsidRPr="006740B6">
              <w:t>Under 38 CFR 3.552</w:t>
            </w:r>
          </w:p>
        </w:tc>
        <w:tc>
          <w:tcPr>
            <w:tcW w:w="7740" w:type="dxa"/>
            <w:shd w:val="clear" w:color="auto" w:fill="auto"/>
          </w:tcPr>
          <w:p w14:paraId="180B113F" w14:textId="354AB66F" w:rsidR="00961154" w:rsidRPr="00282076" w:rsidRDefault="00961154" w:rsidP="00961154">
            <w:pPr>
              <w:pStyle w:val="BlockText"/>
            </w:pPr>
            <w:r w:rsidRPr="006740B6">
              <w:t xml:space="preserve">Protection under the provisions of either </w:t>
            </w:r>
            <w:hyperlink r:id="rId78" w:history="1">
              <w:r w:rsidRPr="006740B6">
                <w:rPr>
                  <w:rStyle w:val="Hyperlink"/>
                </w:rPr>
                <w:t>38 CFR 3.951</w:t>
              </w:r>
            </w:hyperlink>
            <w:r w:rsidRPr="006740B6">
              <w:t xml:space="preserve"> or </w:t>
            </w:r>
            <w:hyperlink r:id="rId79" w:history="1">
              <w:r w:rsidRPr="006740B6">
                <w:rPr>
                  <w:rStyle w:val="Hyperlink"/>
                </w:rPr>
                <w:t>38 CFR 3.952</w:t>
              </w:r>
            </w:hyperlink>
            <w:r w:rsidRPr="006740B6">
              <w:t xml:space="preserve"> of a total rating disability evaluation does not preclude reduction to a hospital rate under </w:t>
            </w:r>
            <w:hyperlink r:id="rId80" w:history="1">
              <w:r w:rsidRPr="006740B6">
                <w:rPr>
                  <w:rStyle w:val="Hyperlink"/>
                </w:rPr>
                <w:t>38 CFR 3.552</w:t>
              </w:r>
            </w:hyperlink>
            <w:r w:rsidRPr="006740B6">
              <w:t>.</w:t>
            </w:r>
            <w:bookmarkStart w:id="0" w:name="_GoBack"/>
            <w:bookmarkEnd w:id="0"/>
          </w:p>
        </w:tc>
      </w:tr>
    </w:tbl>
    <w:p w14:paraId="5660EABB" w14:textId="7D97147B" w:rsidR="00961154" w:rsidRPr="00961154" w:rsidRDefault="00961154" w:rsidP="00AB2FC6">
      <w:pPr>
        <w:pStyle w:val="BlockLine"/>
        <w:tabs>
          <w:tab w:val="left" w:pos="9360"/>
        </w:tabs>
        <w:ind w:left="1714"/>
      </w:pPr>
    </w:p>
    <w:sectPr w:rsidR="00961154" w:rsidRPr="00961154">
      <w:footerReference w:type="even" r:id="rId81"/>
      <w:footerReference w:type="default" r:id="rId82"/>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DB0AF" w14:textId="77777777" w:rsidR="00833C99" w:rsidRDefault="00833C99">
      <w:r>
        <w:separator/>
      </w:r>
    </w:p>
  </w:endnote>
  <w:endnote w:type="continuationSeparator" w:id="0">
    <w:p w14:paraId="18215520" w14:textId="77777777" w:rsidR="00833C99" w:rsidRDefault="00833C99">
      <w:r>
        <w:continuationSeparator/>
      </w:r>
    </w:p>
  </w:endnote>
  <w:endnote w:type="continuationNotice" w:id="1">
    <w:p w14:paraId="02B1116E" w14:textId="77777777" w:rsidR="00833C99" w:rsidRDefault="00833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B2FE" w14:textId="70CD23D8" w:rsidR="00833C99" w:rsidRDefault="00833C99">
    <w:pPr>
      <w:pStyle w:val="Footer"/>
      <w:tabs>
        <w:tab w:val="right" w:pos="927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B2FF" w14:textId="3F5329E1" w:rsidR="00833C99" w:rsidRDefault="00833C99" w:rsidP="002C10A0">
    <w:pPr>
      <w:pStyle w:val="Footer"/>
      <w:tabs>
        <w:tab w:val="right" w:pos="927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41E97" w14:textId="77777777" w:rsidR="00833C99" w:rsidRDefault="00833C99">
      <w:r>
        <w:separator/>
      </w:r>
    </w:p>
  </w:footnote>
  <w:footnote w:type="continuationSeparator" w:id="0">
    <w:p w14:paraId="744163B2" w14:textId="77777777" w:rsidR="00833C99" w:rsidRDefault="00833C99">
      <w:r>
        <w:continuationSeparator/>
      </w:r>
    </w:p>
  </w:footnote>
  <w:footnote w:type="continuationNotice" w:id="1">
    <w:p w14:paraId="431AD506" w14:textId="77777777" w:rsidR="00833C99" w:rsidRDefault="00833C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E339C"/>
    <w:multiLevelType w:val="hybridMultilevel"/>
    <w:tmpl w:val="6F2EA2C6"/>
    <w:lvl w:ilvl="0" w:tplc="67E8B1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4B5A"/>
    <w:multiLevelType w:val="hybridMultilevel"/>
    <w:tmpl w:val="154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54797"/>
    <w:multiLevelType w:val="hybridMultilevel"/>
    <w:tmpl w:val="A9082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34262C"/>
    <w:multiLevelType w:val="hybridMultilevel"/>
    <w:tmpl w:val="28E425E2"/>
    <w:lvl w:ilvl="0" w:tplc="451472E2">
      <w:start w:val="1"/>
      <w:numFmt w:val="bullet"/>
      <w:lvlRestart w:val="0"/>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6">
    <w:nsid w:val="2A3B6037"/>
    <w:multiLevelType w:val="hybridMultilevel"/>
    <w:tmpl w:val="F1B6970A"/>
    <w:lvl w:ilvl="0" w:tplc="E640B5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D2566"/>
    <w:multiLevelType w:val="hybridMultilevel"/>
    <w:tmpl w:val="068EC112"/>
    <w:lvl w:ilvl="0" w:tplc="645690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E7352"/>
    <w:multiLevelType w:val="hybridMultilevel"/>
    <w:tmpl w:val="16DEA640"/>
    <w:lvl w:ilvl="0" w:tplc="800A78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633F1"/>
    <w:multiLevelType w:val="hybridMultilevel"/>
    <w:tmpl w:val="ED149F28"/>
    <w:lvl w:ilvl="0" w:tplc="3134E8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1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3"/>
  </w:num>
  <w:num w:numId="4">
    <w:abstractNumId w:val="4"/>
  </w:num>
  <w:num w:numId="5">
    <w:abstractNumId w:val="2"/>
  </w:num>
  <w:num w:numId="6">
    <w:abstractNumId w:val="5"/>
  </w:num>
  <w:num w:numId="7">
    <w:abstractNumId w:val="8"/>
  </w:num>
  <w:num w:numId="8">
    <w:abstractNumId w:val="7"/>
  </w:num>
  <w:num w:numId="9">
    <w:abstractNumId w:val="10"/>
  </w:num>
  <w:num w:numId="10">
    <w:abstractNumId w:val="3"/>
  </w:num>
  <w:num w:numId="11">
    <w:abstractNumId w:val="9"/>
  </w:num>
  <w:num w:numId="12">
    <w:abstractNumId w:val="12"/>
  </w:num>
  <w:num w:numId="13">
    <w:abstractNumId w:val="1"/>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 (x86)\Information Mapping\FS Pro 4.3\StyleSheets\"/>
    <w:docVar w:name="XSLstylesheet" w:val="Basic.xsl"/>
  </w:docVars>
  <w:rsids>
    <w:rsidRoot w:val="00035ED2"/>
    <w:rsid w:val="00001FDC"/>
    <w:rsid w:val="00013432"/>
    <w:rsid w:val="00035ED2"/>
    <w:rsid w:val="000406AC"/>
    <w:rsid w:val="00044B01"/>
    <w:rsid w:val="00045668"/>
    <w:rsid w:val="00047689"/>
    <w:rsid w:val="000503B3"/>
    <w:rsid w:val="00050F02"/>
    <w:rsid w:val="00051533"/>
    <w:rsid w:val="000520AF"/>
    <w:rsid w:val="0006328E"/>
    <w:rsid w:val="00063730"/>
    <w:rsid w:val="0008168E"/>
    <w:rsid w:val="0008242E"/>
    <w:rsid w:val="00083929"/>
    <w:rsid w:val="00086274"/>
    <w:rsid w:val="000915E7"/>
    <w:rsid w:val="00096BC6"/>
    <w:rsid w:val="000A5310"/>
    <w:rsid w:val="000A61AE"/>
    <w:rsid w:val="000B02DE"/>
    <w:rsid w:val="000B38B4"/>
    <w:rsid w:val="000D3678"/>
    <w:rsid w:val="000E4F4A"/>
    <w:rsid w:val="000F36F7"/>
    <w:rsid w:val="00102B8F"/>
    <w:rsid w:val="00104E1D"/>
    <w:rsid w:val="00105B5F"/>
    <w:rsid w:val="00117368"/>
    <w:rsid w:val="001239F3"/>
    <w:rsid w:val="00125F63"/>
    <w:rsid w:val="00136BFB"/>
    <w:rsid w:val="00143245"/>
    <w:rsid w:val="0014762C"/>
    <w:rsid w:val="0016153F"/>
    <w:rsid w:val="00174A54"/>
    <w:rsid w:val="00176F70"/>
    <w:rsid w:val="001822D6"/>
    <w:rsid w:val="00182D75"/>
    <w:rsid w:val="001A2409"/>
    <w:rsid w:val="001B1CDB"/>
    <w:rsid w:val="001C1D8D"/>
    <w:rsid w:val="001C3A7E"/>
    <w:rsid w:val="001C4435"/>
    <w:rsid w:val="001C5DC8"/>
    <w:rsid w:val="001C7522"/>
    <w:rsid w:val="001D7BC4"/>
    <w:rsid w:val="001E1B02"/>
    <w:rsid w:val="00210483"/>
    <w:rsid w:val="00211240"/>
    <w:rsid w:val="00214BFD"/>
    <w:rsid w:val="0021646C"/>
    <w:rsid w:val="00226E04"/>
    <w:rsid w:val="00242D0A"/>
    <w:rsid w:val="002479FD"/>
    <w:rsid w:val="00250FDC"/>
    <w:rsid w:val="00251C6F"/>
    <w:rsid w:val="0025369F"/>
    <w:rsid w:val="0025436D"/>
    <w:rsid w:val="00255BA0"/>
    <w:rsid w:val="002563A4"/>
    <w:rsid w:val="002604E8"/>
    <w:rsid w:val="002716FD"/>
    <w:rsid w:val="00271BDB"/>
    <w:rsid w:val="0028005B"/>
    <w:rsid w:val="00282076"/>
    <w:rsid w:val="00284037"/>
    <w:rsid w:val="00285666"/>
    <w:rsid w:val="002864AC"/>
    <w:rsid w:val="002A1C72"/>
    <w:rsid w:val="002A4F52"/>
    <w:rsid w:val="002B2CFE"/>
    <w:rsid w:val="002B5F82"/>
    <w:rsid w:val="002B68F0"/>
    <w:rsid w:val="002C09C8"/>
    <w:rsid w:val="002C10A0"/>
    <w:rsid w:val="002C4565"/>
    <w:rsid w:val="002C51F2"/>
    <w:rsid w:val="002C5A1C"/>
    <w:rsid w:val="002C5ECD"/>
    <w:rsid w:val="002D2B2A"/>
    <w:rsid w:val="002E25E0"/>
    <w:rsid w:val="002E7782"/>
    <w:rsid w:val="002F36B7"/>
    <w:rsid w:val="0030122C"/>
    <w:rsid w:val="00301B31"/>
    <w:rsid w:val="00305E70"/>
    <w:rsid w:val="00324F6A"/>
    <w:rsid w:val="003250BD"/>
    <w:rsid w:val="00333841"/>
    <w:rsid w:val="003339D1"/>
    <w:rsid w:val="00351C8F"/>
    <w:rsid w:val="00356DD5"/>
    <w:rsid w:val="003605D4"/>
    <w:rsid w:val="00360837"/>
    <w:rsid w:val="00363F4B"/>
    <w:rsid w:val="00364677"/>
    <w:rsid w:val="0038019D"/>
    <w:rsid w:val="00381A89"/>
    <w:rsid w:val="00382569"/>
    <w:rsid w:val="003861FF"/>
    <w:rsid w:val="0039490E"/>
    <w:rsid w:val="00395D16"/>
    <w:rsid w:val="003A1A12"/>
    <w:rsid w:val="003A613F"/>
    <w:rsid w:val="003B525A"/>
    <w:rsid w:val="003B626C"/>
    <w:rsid w:val="003C1668"/>
    <w:rsid w:val="003D2CB8"/>
    <w:rsid w:val="003E3305"/>
    <w:rsid w:val="003E3AF7"/>
    <w:rsid w:val="003E7AB7"/>
    <w:rsid w:val="0040439A"/>
    <w:rsid w:val="00412C77"/>
    <w:rsid w:val="0041542B"/>
    <w:rsid w:val="00424C8E"/>
    <w:rsid w:val="00433827"/>
    <w:rsid w:val="004349C3"/>
    <w:rsid w:val="004359A5"/>
    <w:rsid w:val="00447824"/>
    <w:rsid w:val="004509CB"/>
    <w:rsid w:val="00452045"/>
    <w:rsid w:val="004544F5"/>
    <w:rsid w:val="00461D9F"/>
    <w:rsid w:val="004633B5"/>
    <w:rsid w:val="00472E6E"/>
    <w:rsid w:val="0048695F"/>
    <w:rsid w:val="00490156"/>
    <w:rsid w:val="00492E3C"/>
    <w:rsid w:val="004A22BD"/>
    <w:rsid w:val="004A3F23"/>
    <w:rsid w:val="004A4A7B"/>
    <w:rsid w:val="004B7711"/>
    <w:rsid w:val="004C05AA"/>
    <w:rsid w:val="004D6DF6"/>
    <w:rsid w:val="004D767D"/>
    <w:rsid w:val="004E2F88"/>
    <w:rsid w:val="004E39F7"/>
    <w:rsid w:val="004E62ED"/>
    <w:rsid w:val="005008BC"/>
    <w:rsid w:val="00511747"/>
    <w:rsid w:val="00517C3D"/>
    <w:rsid w:val="00517E32"/>
    <w:rsid w:val="0052564E"/>
    <w:rsid w:val="0053282A"/>
    <w:rsid w:val="00533739"/>
    <w:rsid w:val="00536D10"/>
    <w:rsid w:val="00545920"/>
    <w:rsid w:val="00555A4D"/>
    <w:rsid w:val="005570BA"/>
    <w:rsid w:val="00560D4D"/>
    <w:rsid w:val="00563C78"/>
    <w:rsid w:val="00565018"/>
    <w:rsid w:val="005650A9"/>
    <w:rsid w:val="00565B45"/>
    <w:rsid w:val="00567A76"/>
    <w:rsid w:val="00571785"/>
    <w:rsid w:val="00577B24"/>
    <w:rsid w:val="00584D0E"/>
    <w:rsid w:val="00595F04"/>
    <w:rsid w:val="005A20DB"/>
    <w:rsid w:val="005A4906"/>
    <w:rsid w:val="005A53DC"/>
    <w:rsid w:val="005A60E3"/>
    <w:rsid w:val="005A6B50"/>
    <w:rsid w:val="005B1AEE"/>
    <w:rsid w:val="005B4056"/>
    <w:rsid w:val="005B7E7C"/>
    <w:rsid w:val="005C1271"/>
    <w:rsid w:val="005D7ECD"/>
    <w:rsid w:val="005E0705"/>
    <w:rsid w:val="005E3CD8"/>
    <w:rsid w:val="005F38B5"/>
    <w:rsid w:val="005F4F47"/>
    <w:rsid w:val="005F52AD"/>
    <w:rsid w:val="006034FD"/>
    <w:rsid w:val="0060681E"/>
    <w:rsid w:val="0061019C"/>
    <w:rsid w:val="00610D96"/>
    <w:rsid w:val="00612EC3"/>
    <w:rsid w:val="00615DE5"/>
    <w:rsid w:val="0062188D"/>
    <w:rsid w:val="00624525"/>
    <w:rsid w:val="00625914"/>
    <w:rsid w:val="006276A5"/>
    <w:rsid w:val="00631C76"/>
    <w:rsid w:val="00645061"/>
    <w:rsid w:val="00645387"/>
    <w:rsid w:val="00645F2C"/>
    <w:rsid w:val="006502C0"/>
    <w:rsid w:val="006510C5"/>
    <w:rsid w:val="006533D9"/>
    <w:rsid w:val="00663736"/>
    <w:rsid w:val="00666B98"/>
    <w:rsid w:val="006740B6"/>
    <w:rsid w:val="00681052"/>
    <w:rsid w:val="006B0487"/>
    <w:rsid w:val="006B6929"/>
    <w:rsid w:val="006C039F"/>
    <w:rsid w:val="006C2514"/>
    <w:rsid w:val="006D0D8C"/>
    <w:rsid w:val="006F79C7"/>
    <w:rsid w:val="00707FB1"/>
    <w:rsid w:val="0071422A"/>
    <w:rsid w:val="00730A43"/>
    <w:rsid w:val="00733093"/>
    <w:rsid w:val="0073514E"/>
    <w:rsid w:val="0074121B"/>
    <w:rsid w:val="0074364C"/>
    <w:rsid w:val="00751843"/>
    <w:rsid w:val="0075662C"/>
    <w:rsid w:val="00760790"/>
    <w:rsid w:val="00766268"/>
    <w:rsid w:val="00772DA6"/>
    <w:rsid w:val="00773551"/>
    <w:rsid w:val="00774632"/>
    <w:rsid w:val="0078247A"/>
    <w:rsid w:val="0078364A"/>
    <w:rsid w:val="0078498A"/>
    <w:rsid w:val="00792A4E"/>
    <w:rsid w:val="0079645F"/>
    <w:rsid w:val="007A1F6E"/>
    <w:rsid w:val="007B0147"/>
    <w:rsid w:val="007C6144"/>
    <w:rsid w:val="007C6FDA"/>
    <w:rsid w:val="007D0F23"/>
    <w:rsid w:val="007D18BD"/>
    <w:rsid w:val="007D3985"/>
    <w:rsid w:val="007E61F4"/>
    <w:rsid w:val="007F010E"/>
    <w:rsid w:val="00811E9A"/>
    <w:rsid w:val="00821F1B"/>
    <w:rsid w:val="00824DA1"/>
    <w:rsid w:val="00833C99"/>
    <w:rsid w:val="008421DD"/>
    <w:rsid w:val="00855DFB"/>
    <w:rsid w:val="00860BC3"/>
    <w:rsid w:val="008642EE"/>
    <w:rsid w:val="0086670C"/>
    <w:rsid w:val="00873DBD"/>
    <w:rsid w:val="008745E0"/>
    <w:rsid w:val="00887BC3"/>
    <w:rsid w:val="00887E4D"/>
    <w:rsid w:val="00893034"/>
    <w:rsid w:val="008965A3"/>
    <w:rsid w:val="008A2950"/>
    <w:rsid w:val="008A6CB0"/>
    <w:rsid w:val="008B1963"/>
    <w:rsid w:val="008B4552"/>
    <w:rsid w:val="008B4618"/>
    <w:rsid w:val="008D3048"/>
    <w:rsid w:val="008E5B6B"/>
    <w:rsid w:val="008F5FEB"/>
    <w:rsid w:val="008F7BD1"/>
    <w:rsid w:val="008F7D56"/>
    <w:rsid w:val="0090291F"/>
    <w:rsid w:val="00904095"/>
    <w:rsid w:val="009049D9"/>
    <w:rsid w:val="00910718"/>
    <w:rsid w:val="009241B4"/>
    <w:rsid w:val="00925510"/>
    <w:rsid w:val="009321B4"/>
    <w:rsid w:val="00933537"/>
    <w:rsid w:val="00942BBE"/>
    <w:rsid w:val="00945303"/>
    <w:rsid w:val="00950F1C"/>
    <w:rsid w:val="009531FE"/>
    <w:rsid w:val="009536A8"/>
    <w:rsid w:val="00961154"/>
    <w:rsid w:val="0096227E"/>
    <w:rsid w:val="009636E5"/>
    <w:rsid w:val="0096379E"/>
    <w:rsid w:val="00964533"/>
    <w:rsid w:val="00976BD8"/>
    <w:rsid w:val="009850CC"/>
    <w:rsid w:val="00987F9C"/>
    <w:rsid w:val="0099131E"/>
    <w:rsid w:val="0099373E"/>
    <w:rsid w:val="009A0228"/>
    <w:rsid w:val="009A6CDD"/>
    <w:rsid w:val="009A6F7B"/>
    <w:rsid w:val="009A7790"/>
    <w:rsid w:val="009B1DCA"/>
    <w:rsid w:val="009B3695"/>
    <w:rsid w:val="009B3E0D"/>
    <w:rsid w:val="009B6FF0"/>
    <w:rsid w:val="009B7162"/>
    <w:rsid w:val="009C1011"/>
    <w:rsid w:val="009C413A"/>
    <w:rsid w:val="009D3430"/>
    <w:rsid w:val="009D58ED"/>
    <w:rsid w:val="009E43AE"/>
    <w:rsid w:val="009F0D4F"/>
    <w:rsid w:val="009F2658"/>
    <w:rsid w:val="009F34C4"/>
    <w:rsid w:val="009F3FB4"/>
    <w:rsid w:val="009F7DC2"/>
    <w:rsid w:val="00A015B9"/>
    <w:rsid w:val="00A06E3E"/>
    <w:rsid w:val="00A2120C"/>
    <w:rsid w:val="00A23166"/>
    <w:rsid w:val="00A24016"/>
    <w:rsid w:val="00A25617"/>
    <w:rsid w:val="00A26C1F"/>
    <w:rsid w:val="00A276A7"/>
    <w:rsid w:val="00A33284"/>
    <w:rsid w:val="00A37E10"/>
    <w:rsid w:val="00A401E6"/>
    <w:rsid w:val="00A415EF"/>
    <w:rsid w:val="00A43DD3"/>
    <w:rsid w:val="00A44FA7"/>
    <w:rsid w:val="00A467D6"/>
    <w:rsid w:val="00A53AAB"/>
    <w:rsid w:val="00A60070"/>
    <w:rsid w:val="00A7546F"/>
    <w:rsid w:val="00A81F5B"/>
    <w:rsid w:val="00A87031"/>
    <w:rsid w:val="00A87E4E"/>
    <w:rsid w:val="00A92C2B"/>
    <w:rsid w:val="00AA02A6"/>
    <w:rsid w:val="00AB14DD"/>
    <w:rsid w:val="00AB17ED"/>
    <w:rsid w:val="00AB2FC6"/>
    <w:rsid w:val="00AB53D8"/>
    <w:rsid w:val="00AC1ACF"/>
    <w:rsid w:val="00AC6473"/>
    <w:rsid w:val="00AD0020"/>
    <w:rsid w:val="00AD35E7"/>
    <w:rsid w:val="00AD5BE4"/>
    <w:rsid w:val="00AD6CD9"/>
    <w:rsid w:val="00AE02DB"/>
    <w:rsid w:val="00AE5DD0"/>
    <w:rsid w:val="00B01F30"/>
    <w:rsid w:val="00B0322A"/>
    <w:rsid w:val="00B0325B"/>
    <w:rsid w:val="00B04554"/>
    <w:rsid w:val="00B045F3"/>
    <w:rsid w:val="00B141BB"/>
    <w:rsid w:val="00B21A0D"/>
    <w:rsid w:val="00B23CD7"/>
    <w:rsid w:val="00B26E29"/>
    <w:rsid w:val="00B355F2"/>
    <w:rsid w:val="00B3645E"/>
    <w:rsid w:val="00B559F3"/>
    <w:rsid w:val="00B60A5A"/>
    <w:rsid w:val="00B6386E"/>
    <w:rsid w:val="00B63BB0"/>
    <w:rsid w:val="00B63C84"/>
    <w:rsid w:val="00B710B1"/>
    <w:rsid w:val="00B80C07"/>
    <w:rsid w:val="00B86D76"/>
    <w:rsid w:val="00B934C3"/>
    <w:rsid w:val="00B93A5F"/>
    <w:rsid w:val="00B95BAA"/>
    <w:rsid w:val="00BA3AD2"/>
    <w:rsid w:val="00BB0F34"/>
    <w:rsid w:val="00BB11A4"/>
    <w:rsid w:val="00BC119B"/>
    <w:rsid w:val="00BC5013"/>
    <w:rsid w:val="00BC5E37"/>
    <w:rsid w:val="00BD53A0"/>
    <w:rsid w:val="00BD55E4"/>
    <w:rsid w:val="00BE023B"/>
    <w:rsid w:val="00BE6260"/>
    <w:rsid w:val="00BF4AE2"/>
    <w:rsid w:val="00C00B9F"/>
    <w:rsid w:val="00C00F03"/>
    <w:rsid w:val="00C05BFD"/>
    <w:rsid w:val="00C06986"/>
    <w:rsid w:val="00C11B14"/>
    <w:rsid w:val="00C123F1"/>
    <w:rsid w:val="00C126B0"/>
    <w:rsid w:val="00C14565"/>
    <w:rsid w:val="00C20B34"/>
    <w:rsid w:val="00C21B93"/>
    <w:rsid w:val="00C3199D"/>
    <w:rsid w:val="00C57471"/>
    <w:rsid w:val="00C61B71"/>
    <w:rsid w:val="00C61BDA"/>
    <w:rsid w:val="00C644A7"/>
    <w:rsid w:val="00C671EA"/>
    <w:rsid w:val="00C75C19"/>
    <w:rsid w:val="00C77925"/>
    <w:rsid w:val="00C82F3E"/>
    <w:rsid w:val="00C87293"/>
    <w:rsid w:val="00C96C70"/>
    <w:rsid w:val="00CA0A35"/>
    <w:rsid w:val="00CA161D"/>
    <w:rsid w:val="00CA3E6C"/>
    <w:rsid w:val="00CA53B8"/>
    <w:rsid w:val="00CB0E1C"/>
    <w:rsid w:val="00CB7C0C"/>
    <w:rsid w:val="00CC49EC"/>
    <w:rsid w:val="00CC6D53"/>
    <w:rsid w:val="00CD19B7"/>
    <w:rsid w:val="00CE119B"/>
    <w:rsid w:val="00CF28DA"/>
    <w:rsid w:val="00CF28DC"/>
    <w:rsid w:val="00D02D0A"/>
    <w:rsid w:val="00D04C22"/>
    <w:rsid w:val="00D06267"/>
    <w:rsid w:val="00D06C4F"/>
    <w:rsid w:val="00D10FAF"/>
    <w:rsid w:val="00D20AFA"/>
    <w:rsid w:val="00D34394"/>
    <w:rsid w:val="00D34E52"/>
    <w:rsid w:val="00D47C1E"/>
    <w:rsid w:val="00D50F8F"/>
    <w:rsid w:val="00D546B4"/>
    <w:rsid w:val="00D57B13"/>
    <w:rsid w:val="00D61A21"/>
    <w:rsid w:val="00D64911"/>
    <w:rsid w:val="00D8341E"/>
    <w:rsid w:val="00D90D1B"/>
    <w:rsid w:val="00DA679D"/>
    <w:rsid w:val="00DB0536"/>
    <w:rsid w:val="00DB2864"/>
    <w:rsid w:val="00DB3175"/>
    <w:rsid w:val="00DB744C"/>
    <w:rsid w:val="00DC2607"/>
    <w:rsid w:val="00DD342A"/>
    <w:rsid w:val="00DE0D46"/>
    <w:rsid w:val="00DE1017"/>
    <w:rsid w:val="00DE2552"/>
    <w:rsid w:val="00DE280A"/>
    <w:rsid w:val="00DF0E17"/>
    <w:rsid w:val="00DF7A43"/>
    <w:rsid w:val="00E0778E"/>
    <w:rsid w:val="00E077A6"/>
    <w:rsid w:val="00E1201F"/>
    <w:rsid w:val="00E13B80"/>
    <w:rsid w:val="00E225C2"/>
    <w:rsid w:val="00E2558C"/>
    <w:rsid w:val="00E31FA4"/>
    <w:rsid w:val="00E33FA7"/>
    <w:rsid w:val="00E403E4"/>
    <w:rsid w:val="00E43CCC"/>
    <w:rsid w:val="00E53284"/>
    <w:rsid w:val="00E60E23"/>
    <w:rsid w:val="00E713AA"/>
    <w:rsid w:val="00E7245C"/>
    <w:rsid w:val="00E80017"/>
    <w:rsid w:val="00E83E79"/>
    <w:rsid w:val="00E85B7F"/>
    <w:rsid w:val="00E9510C"/>
    <w:rsid w:val="00E95717"/>
    <w:rsid w:val="00EA6156"/>
    <w:rsid w:val="00EB2817"/>
    <w:rsid w:val="00EB3FE8"/>
    <w:rsid w:val="00EB6150"/>
    <w:rsid w:val="00ED24F5"/>
    <w:rsid w:val="00ED51CF"/>
    <w:rsid w:val="00EE0F6E"/>
    <w:rsid w:val="00EE3D37"/>
    <w:rsid w:val="00EE69AD"/>
    <w:rsid w:val="00EE7084"/>
    <w:rsid w:val="00EF45B2"/>
    <w:rsid w:val="00EF5DA1"/>
    <w:rsid w:val="00F16F33"/>
    <w:rsid w:val="00F20EDE"/>
    <w:rsid w:val="00F25C62"/>
    <w:rsid w:val="00F26F4D"/>
    <w:rsid w:val="00F30E65"/>
    <w:rsid w:val="00F34C3C"/>
    <w:rsid w:val="00F40795"/>
    <w:rsid w:val="00F44C4D"/>
    <w:rsid w:val="00F4520E"/>
    <w:rsid w:val="00F54F00"/>
    <w:rsid w:val="00F601FD"/>
    <w:rsid w:val="00F67195"/>
    <w:rsid w:val="00F7147F"/>
    <w:rsid w:val="00F85262"/>
    <w:rsid w:val="00F92138"/>
    <w:rsid w:val="00F949E5"/>
    <w:rsid w:val="00FA1033"/>
    <w:rsid w:val="00FA7FD4"/>
    <w:rsid w:val="00FC0FDA"/>
    <w:rsid w:val="00FD0592"/>
    <w:rsid w:val="00FD2C3C"/>
    <w:rsid w:val="00FD7785"/>
    <w:rsid w:val="00FE1027"/>
    <w:rsid w:val="00FE4A46"/>
    <w:rsid w:val="00F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1EE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B6"/>
    <w:rPr>
      <w:color w:val="000000"/>
      <w:sz w:val="24"/>
      <w:szCs w:val="24"/>
    </w:rPr>
  </w:style>
  <w:style w:type="paragraph" w:styleId="Heading1">
    <w:name w:val="heading 1"/>
    <w:aliases w:val="Part Title"/>
    <w:basedOn w:val="Normal"/>
    <w:next w:val="Heading4"/>
    <w:qFormat/>
    <w:rsid w:val="006740B6"/>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6740B6"/>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740B6"/>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6740B6"/>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6740B6"/>
    <w:pPr>
      <w:tabs>
        <w:tab w:val="left" w:pos="0"/>
      </w:tabs>
      <w:outlineLvl w:val="4"/>
    </w:pPr>
    <w:rPr>
      <w:b/>
      <w:sz w:val="22"/>
      <w:szCs w:val="20"/>
    </w:rPr>
  </w:style>
  <w:style w:type="paragraph" w:styleId="Heading6">
    <w:name w:val="heading 6"/>
    <w:aliases w:val="Sub Label"/>
    <w:basedOn w:val="Heading5"/>
    <w:next w:val="BlockText"/>
    <w:rsid w:val="006740B6"/>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rsid w:val="006740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40B6"/>
  </w:style>
  <w:style w:type="paragraph" w:styleId="Header">
    <w:name w:val="header"/>
    <w:basedOn w:val="Normal"/>
    <w:link w:val="HeaderChar"/>
    <w:rsid w:val="006740B6"/>
    <w:pPr>
      <w:tabs>
        <w:tab w:val="left" w:pos="0"/>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6740B6"/>
    <w:pPr>
      <w:pBdr>
        <w:top w:val="single" w:sz="6" w:space="1" w:color="000000"/>
        <w:between w:val="single" w:sz="6" w:space="1" w:color="auto"/>
      </w:pBdr>
      <w:tabs>
        <w:tab w:val="left" w:pos="0"/>
      </w:tabs>
      <w:spacing w:before="240"/>
    </w:pPr>
    <w:rPr>
      <w:szCs w:val="20"/>
    </w:rPr>
  </w:style>
  <w:style w:type="paragraph" w:styleId="BlockText">
    <w:name w:val="Block Text"/>
    <w:basedOn w:val="Normal"/>
    <w:qFormat/>
    <w:rsid w:val="006740B6"/>
    <w:pPr>
      <w:tabs>
        <w:tab w:val="left" w:pos="0"/>
      </w:tabs>
    </w:pPr>
  </w:style>
  <w:style w:type="paragraph" w:customStyle="1" w:styleId="BulletText1">
    <w:name w:val="Bullet Text 1"/>
    <w:basedOn w:val="Normal"/>
    <w:qFormat/>
    <w:rsid w:val="006740B6"/>
    <w:pPr>
      <w:numPr>
        <w:numId w:val="1"/>
      </w:numPr>
      <w:tabs>
        <w:tab w:val="left" w:pos="173"/>
      </w:tabs>
    </w:pPr>
    <w:rPr>
      <w:szCs w:val="20"/>
    </w:rPr>
  </w:style>
  <w:style w:type="paragraph" w:customStyle="1" w:styleId="BulletText2">
    <w:name w:val="Bullet Text 2"/>
    <w:basedOn w:val="Normal"/>
    <w:rsid w:val="006740B6"/>
    <w:pPr>
      <w:numPr>
        <w:numId w:val="2"/>
      </w:numPr>
      <w:tabs>
        <w:tab w:val="left" w:pos="360"/>
      </w:tabs>
      <w:ind w:left="346"/>
    </w:pPr>
    <w:rPr>
      <w:szCs w:val="20"/>
    </w:rPr>
  </w:style>
  <w:style w:type="paragraph" w:customStyle="1" w:styleId="ContinuedOnNextPa">
    <w:name w:val="Continued On Next Pa"/>
    <w:basedOn w:val="Normal"/>
    <w:next w:val="Normal"/>
    <w:rsid w:val="006740B6"/>
    <w:pPr>
      <w:pBdr>
        <w:top w:val="single" w:sz="6" w:space="1" w:color="000000"/>
        <w:between w:val="single" w:sz="6" w:space="1" w:color="auto"/>
      </w:pBdr>
      <w:tabs>
        <w:tab w:val="left" w:pos="0"/>
      </w:tabs>
      <w:spacing w:before="240"/>
      <w:jc w:val="right"/>
    </w:pPr>
    <w:rPr>
      <w:i/>
      <w:sz w:val="20"/>
      <w:szCs w:val="20"/>
    </w:rPr>
  </w:style>
  <w:style w:type="paragraph" w:customStyle="1" w:styleId="ContinuedTableLabe">
    <w:name w:val="Continued Table Labe"/>
    <w:basedOn w:val="Normal"/>
    <w:next w:val="Normal"/>
    <w:rsid w:val="006740B6"/>
    <w:pPr>
      <w:tabs>
        <w:tab w:val="left" w:pos="0"/>
      </w:tabs>
      <w:spacing w:after="240"/>
    </w:pPr>
    <w:rPr>
      <w:b/>
      <w:sz w:val="22"/>
      <w:szCs w:val="20"/>
    </w:rPr>
  </w:style>
  <w:style w:type="paragraph" w:customStyle="1" w:styleId="MapTitleContinued">
    <w:name w:val="Map Title. Continued"/>
    <w:basedOn w:val="Normal"/>
    <w:next w:val="Normal"/>
    <w:rsid w:val="006740B6"/>
    <w:pPr>
      <w:tabs>
        <w:tab w:val="left" w:pos="0"/>
      </w:tabs>
      <w:spacing w:after="240"/>
    </w:pPr>
    <w:rPr>
      <w:rFonts w:ascii="Arial" w:hAnsi="Arial" w:cs="Arial"/>
      <w:b/>
      <w:sz w:val="32"/>
      <w:szCs w:val="20"/>
    </w:rPr>
  </w:style>
  <w:style w:type="paragraph" w:customStyle="1" w:styleId="MemoLine">
    <w:name w:val="Memo Line"/>
    <w:basedOn w:val="BlockLine"/>
    <w:next w:val="Normal"/>
    <w:rsid w:val="006740B6"/>
  </w:style>
  <w:style w:type="paragraph" w:styleId="Footer">
    <w:name w:val="footer"/>
    <w:basedOn w:val="Normal"/>
    <w:link w:val="FooterChar"/>
    <w:rsid w:val="006740B6"/>
    <w:pPr>
      <w:tabs>
        <w:tab w:val="left" w:pos="0"/>
        <w:tab w:val="center" w:pos="4680"/>
        <w:tab w:val="right" w:pos="9360"/>
      </w:tabs>
    </w:pPr>
    <w:rPr>
      <w:sz w:val="20"/>
    </w:rPr>
  </w:style>
  <w:style w:type="character" w:styleId="PageNumber">
    <w:name w:val="page number"/>
    <w:basedOn w:val="DefaultParagraphFont"/>
    <w:semiHidden/>
  </w:style>
  <w:style w:type="paragraph" w:customStyle="1" w:styleId="TableText">
    <w:name w:val="Table Text"/>
    <w:basedOn w:val="Normal"/>
    <w:qFormat/>
    <w:rsid w:val="006740B6"/>
    <w:pPr>
      <w:tabs>
        <w:tab w:val="left" w:pos="0"/>
      </w:tabs>
    </w:pPr>
    <w:rPr>
      <w:szCs w:val="20"/>
    </w:rPr>
  </w:style>
  <w:style w:type="paragraph" w:customStyle="1" w:styleId="NoteText">
    <w:name w:val="Note Text"/>
    <w:basedOn w:val="Normal"/>
    <w:rsid w:val="006740B6"/>
    <w:pPr>
      <w:tabs>
        <w:tab w:val="left" w:pos="0"/>
      </w:tabs>
    </w:pPr>
    <w:rPr>
      <w:szCs w:val="20"/>
    </w:rPr>
  </w:style>
  <w:style w:type="paragraph" w:customStyle="1" w:styleId="TableHeaderText">
    <w:name w:val="Table Header Text"/>
    <w:basedOn w:val="Normal"/>
    <w:rsid w:val="006740B6"/>
    <w:pPr>
      <w:tabs>
        <w:tab w:val="left" w:pos="0"/>
      </w:tabs>
      <w:jc w:val="center"/>
    </w:pPr>
    <w:rPr>
      <w:b/>
      <w:szCs w:val="20"/>
    </w:rPr>
  </w:style>
  <w:style w:type="paragraph" w:customStyle="1" w:styleId="EmbeddedText">
    <w:name w:val="Embedded Text"/>
    <w:basedOn w:val="Normal"/>
    <w:rsid w:val="006740B6"/>
    <w:pPr>
      <w:tabs>
        <w:tab w:val="left" w:pos="0"/>
      </w:tabs>
    </w:pPr>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6740B6"/>
    <w:pPr>
      <w:ind w:left="480"/>
    </w:pPr>
  </w:style>
  <w:style w:type="paragraph" w:styleId="TOC4">
    <w:name w:val="toc 4"/>
    <w:basedOn w:val="Normal"/>
    <w:next w:val="Normal"/>
    <w:autoRedefine/>
    <w:uiPriority w:val="39"/>
    <w:rsid w:val="006740B6"/>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6740B6"/>
    <w:pPr>
      <w:tabs>
        <w:tab w:val="left" w:pos="0"/>
      </w:tabs>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6740B6"/>
    <w:pPr>
      <w:tabs>
        <w:tab w:val="left" w:pos="0"/>
      </w:tabs>
      <w:spacing w:after="240"/>
      <w:jc w:val="center"/>
    </w:pPr>
    <w:rPr>
      <w:rFonts w:ascii="Arial" w:hAnsi="Arial" w:cs="Arial"/>
      <w:b/>
      <w:sz w:val="32"/>
      <w:szCs w:val="20"/>
    </w:rPr>
  </w:style>
  <w:style w:type="paragraph" w:customStyle="1" w:styleId="TOCTitle">
    <w:name w:val="TOC Title"/>
    <w:basedOn w:val="Normal"/>
    <w:rsid w:val="006740B6"/>
    <w:pPr>
      <w:widowControl w:val="0"/>
      <w:tabs>
        <w:tab w:val="left" w:pos="0"/>
      </w:tabs>
    </w:pPr>
    <w:rPr>
      <w:rFonts w:ascii="Arial" w:hAnsi="Arial" w:cs="Arial"/>
      <w:b/>
      <w:sz w:val="32"/>
      <w:szCs w:val="20"/>
    </w:rPr>
  </w:style>
  <w:style w:type="paragraph" w:customStyle="1" w:styleId="TOCItem">
    <w:name w:val="TOCItem"/>
    <w:basedOn w:val="Normal"/>
    <w:rsid w:val="006740B6"/>
    <w:pPr>
      <w:tabs>
        <w:tab w:val="left" w:leader="dot" w:pos="7061"/>
        <w:tab w:val="right" w:pos="7524"/>
      </w:tabs>
      <w:spacing w:before="60" w:after="60"/>
      <w:ind w:right="465"/>
    </w:pPr>
    <w:rPr>
      <w:szCs w:val="20"/>
    </w:rPr>
  </w:style>
  <w:style w:type="paragraph" w:customStyle="1" w:styleId="TOCStem">
    <w:name w:val="TOCStem"/>
    <w:basedOn w:val="Normal"/>
    <w:rsid w:val="006740B6"/>
    <w:rPr>
      <w:szCs w:val="20"/>
    </w:rPr>
  </w:style>
  <w:style w:type="character" w:styleId="Hyperlink">
    <w:name w:val="Hyperlink"/>
    <w:uiPriority w:val="99"/>
    <w:rsid w:val="006740B6"/>
    <w:rPr>
      <w:color w:val="0000FF"/>
      <w:u w:val="single"/>
    </w:rPr>
  </w:style>
  <w:style w:type="character" w:styleId="FollowedHyperlink">
    <w:name w:val="FollowedHyperlink"/>
    <w:rsid w:val="006740B6"/>
    <w:rPr>
      <w:color w:val="800080"/>
      <w:u w:val="single"/>
    </w:rPr>
  </w:style>
  <w:style w:type="paragraph" w:styleId="BalloonText">
    <w:name w:val="Balloon Text"/>
    <w:basedOn w:val="Normal"/>
    <w:link w:val="BalloonTextChar"/>
    <w:semiHidden/>
    <w:rsid w:val="006740B6"/>
    <w:rPr>
      <w:rFonts w:ascii="Tahoma" w:hAnsi="Tahoma" w:cs="Tahoma"/>
      <w:sz w:val="16"/>
      <w:szCs w:val="16"/>
    </w:rPr>
  </w:style>
  <w:style w:type="character" w:customStyle="1" w:styleId="BalloonTextChar">
    <w:name w:val="Balloon Text Char"/>
    <w:basedOn w:val="DefaultParagraphFont"/>
    <w:link w:val="BalloonText"/>
    <w:semiHidden/>
    <w:rsid w:val="00117368"/>
    <w:rPr>
      <w:rFonts w:ascii="Tahoma" w:hAnsi="Tahoma" w:cs="Tahoma"/>
      <w:color w:val="000000"/>
      <w:sz w:val="16"/>
      <w:szCs w:val="16"/>
    </w:rPr>
  </w:style>
  <w:style w:type="paragraph" w:customStyle="1" w:styleId="BulletText3">
    <w:name w:val="Bullet Text 3"/>
    <w:basedOn w:val="Normal"/>
    <w:rsid w:val="006740B6"/>
    <w:pPr>
      <w:numPr>
        <w:numId w:val="3"/>
      </w:numPr>
      <w:tabs>
        <w:tab w:val="left" w:pos="360"/>
      </w:tabs>
      <w:ind w:left="518"/>
    </w:pPr>
    <w:rPr>
      <w:szCs w:val="20"/>
    </w:rPr>
  </w:style>
  <w:style w:type="character" w:styleId="HTMLAcronym">
    <w:name w:val="HTML Acronym"/>
    <w:basedOn w:val="DefaultParagraphFont"/>
    <w:rsid w:val="006740B6"/>
  </w:style>
  <w:style w:type="paragraph" w:customStyle="1" w:styleId="IMTOC">
    <w:name w:val="IMTOC"/>
    <w:rsid w:val="006740B6"/>
    <w:rPr>
      <w:sz w:val="24"/>
    </w:rPr>
  </w:style>
  <w:style w:type="table" w:styleId="TableGrid">
    <w:name w:val="Table Grid"/>
    <w:basedOn w:val="TableNormal"/>
    <w:rsid w:val="006740B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740B6"/>
    <w:pPr>
      <w:ind w:left="720"/>
      <w:contextualSpacing/>
    </w:pPr>
  </w:style>
  <w:style w:type="character" w:customStyle="1" w:styleId="FooterChar">
    <w:name w:val="Footer Char"/>
    <w:link w:val="Footer"/>
    <w:rsid w:val="006740B6"/>
    <w:rPr>
      <w:color w:val="000000"/>
      <w:szCs w:val="24"/>
    </w:rPr>
  </w:style>
  <w:style w:type="character" w:customStyle="1" w:styleId="HeaderChar">
    <w:name w:val="Header Char"/>
    <w:link w:val="Header"/>
    <w:rsid w:val="006740B6"/>
    <w:rPr>
      <w:color w:val="000000"/>
      <w:szCs w:val="24"/>
    </w:rPr>
  </w:style>
  <w:style w:type="character" w:styleId="CommentReference">
    <w:name w:val="annotation reference"/>
    <w:basedOn w:val="DefaultParagraphFont"/>
    <w:uiPriority w:val="99"/>
    <w:semiHidden/>
    <w:unhideWhenUsed/>
    <w:rsid w:val="00EE7084"/>
    <w:rPr>
      <w:sz w:val="16"/>
      <w:szCs w:val="16"/>
    </w:rPr>
  </w:style>
  <w:style w:type="paragraph" w:styleId="CommentText">
    <w:name w:val="annotation text"/>
    <w:basedOn w:val="Normal"/>
    <w:link w:val="CommentTextChar"/>
    <w:uiPriority w:val="99"/>
    <w:unhideWhenUsed/>
    <w:rsid w:val="00EE7084"/>
    <w:rPr>
      <w:sz w:val="20"/>
      <w:szCs w:val="20"/>
    </w:rPr>
  </w:style>
  <w:style w:type="character" w:customStyle="1" w:styleId="CommentTextChar">
    <w:name w:val="Comment Text Char"/>
    <w:basedOn w:val="DefaultParagraphFont"/>
    <w:link w:val="CommentText"/>
    <w:uiPriority w:val="99"/>
    <w:rsid w:val="00EE7084"/>
    <w:rPr>
      <w:color w:val="000000"/>
    </w:rPr>
  </w:style>
  <w:style w:type="paragraph" w:styleId="CommentSubject">
    <w:name w:val="annotation subject"/>
    <w:basedOn w:val="CommentText"/>
    <w:next w:val="CommentText"/>
    <w:link w:val="CommentSubjectChar"/>
    <w:uiPriority w:val="99"/>
    <w:semiHidden/>
    <w:unhideWhenUsed/>
    <w:rsid w:val="00EE7084"/>
    <w:rPr>
      <w:b/>
      <w:bCs/>
    </w:rPr>
  </w:style>
  <w:style w:type="character" w:customStyle="1" w:styleId="CommentSubjectChar">
    <w:name w:val="Comment Subject Char"/>
    <w:basedOn w:val="CommentTextChar"/>
    <w:link w:val="CommentSubject"/>
    <w:uiPriority w:val="99"/>
    <w:semiHidden/>
    <w:rsid w:val="00EE7084"/>
    <w:rPr>
      <w:b/>
      <w:bCs/>
      <w:color w:val="000000"/>
    </w:rPr>
  </w:style>
  <w:style w:type="paragraph" w:styleId="Revision">
    <w:name w:val="Revision"/>
    <w:hidden/>
    <w:uiPriority w:val="99"/>
    <w:semiHidden/>
    <w:rsid w:val="00210483"/>
    <w:rPr>
      <w:color w:val="000000"/>
      <w:sz w:val="24"/>
      <w:szCs w:val="24"/>
    </w:rPr>
  </w:style>
  <w:style w:type="character" w:customStyle="1" w:styleId="Heading2Char">
    <w:name w:val="Heading 2 Char"/>
    <w:aliases w:val="Chapter Title Char"/>
    <w:basedOn w:val="DefaultParagraphFont"/>
    <w:link w:val="Heading2"/>
    <w:rsid w:val="005A53DC"/>
    <w:rPr>
      <w:rFonts w:ascii="Arial" w:hAnsi="Arial" w:cs="Arial"/>
      <w:b/>
      <w:color w:val="000000"/>
      <w:sz w:val="32"/>
    </w:rPr>
  </w:style>
  <w:style w:type="character" w:customStyle="1" w:styleId="Heading4Char">
    <w:name w:val="Heading 4 Char"/>
    <w:aliases w:val="Map Title Char"/>
    <w:basedOn w:val="DefaultParagraphFont"/>
    <w:link w:val="Heading4"/>
    <w:rsid w:val="005A53DC"/>
    <w:rPr>
      <w:rFonts w:ascii="Arial" w:hAnsi="Arial" w:cs="Arial"/>
      <w:b/>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B6"/>
    <w:rPr>
      <w:color w:val="000000"/>
      <w:sz w:val="24"/>
      <w:szCs w:val="24"/>
    </w:rPr>
  </w:style>
  <w:style w:type="paragraph" w:styleId="Heading1">
    <w:name w:val="heading 1"/>
    <w:aliases w:val="Part Title"/>
    <w:basedOn w:val="Normal"/>
    <w:next w:val="Heading4"/>
    <w:qFormat/>
    <w:rsid w:val="006740B6"/>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6740B6"/>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740B6"/>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6740B6"/>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6740B6"/>
    <w:pPr>
      <w:tabs>
        <w:tab w:val="left" w:pos="0"/>
      </w:tabs>
      <w:outlineLvl w:val="4"/>
    </w:pPr>
    <w:rPr>
      <w:b/>
      <w:sz w:val="22"/>
      <w:szCs w:val="20"/>
    </w:rPr>
  </w:style>
  <w:style w:type="paragraph" w:styleId="Heading6">
    <w:name w:val="heading 6"/>
    <w:aliases w:val="Sub Label"/>
    <w:basedOn w:val="Heading5"/>
    <w:next w:val="BlockText"/>
    <w:rsid w:val="006740B6"/>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rsid w:val="006740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40B6"/>
  </w:style>
  <w:style w:type="paragraph" w:styleId="Header">
    <w:name w:val="header"/>
    <w:basedOn w:val="Normal"/>
    <w:link w:val="HeaderChar"/>
    <w:rsid w:val="006740B6"/>
    <w:pPr>
      <w:tabs>
        <w:tab w:val="left" w:pos="0"/>
        <w:tab w:val="center" w:pos="4680"/>
        <w:tab w:val="right" w:pos="9360"/>
      </w:tabs>
    </w:pPr>
    <w:rPr>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6740B6"/>
    <w:pPr>
      <w:pBdr>
        <w:top w:val="single" w:sz="6" w:space="1" w:color="000000"/>
        <w:between w:val="single" w:sz="6" w:space="1" w:color="auto"/>
      </w:pBdr>
      <w:tabs>
        <w:tab w:val="left" w:pos="0"/>
      </w:tabs>
      <w:spacing w:before="240"/>
    </w:pPr>
    <w:rPr>
      <w:szCs w:val="20"/>
    </w:rPr>
  </w:style>
  <w:style w:type="paragraph" w:styleId="BlockText">
    <w:name w:val="Block Text"/>
    <w:basedOn w:val="Normal"/>
    <w:qFormat/>
    <w:rsid w:val="006740B6"/>
    <w:pPr>
      <w:tabs>
        <w:tab w:val="left" w:pos="0"/>
      </w:tabs>
    </w:pPr>
  </w:style>
  <w:style w:type="paragraph" w:customStyle="1" w:styleId="BulletText1">
    <w:name w:val="Bullet Text 1"/>
    <w:basedOn w:val="Normal"/>
    <w:qFormat/>
    <w:rsid w:val="006740B6"/>
    <w:pPr>
      <w:numPr>
        <w:numId w:val="1"/>
      </w:numPr>
      <w:tabs>
        <w:tab w:val="left" w:pos="173"/>
      </w:tabs>
    </w:pPr>
    <w:rPr>
      <w:szCs w:val="20"/>
    </w:rPr>
  </w:style>
  <w:style w:type="paragraph" w:customStyle="1" w:styleId="BulletText2">
    <w:name w:val="Bullet Text 2"/>
    <w:basedOn w:val="Normal"/>
    <w:rsid w:val="006740B6"/>
    <w:pPr>
      <w:numPr>
        <w:numId w:val="2"/>
      </w:numPr>
      <w:tabs>
        <w:tab w:val="left" w:pos="360"/>
      </w:tabs>
      <w:ind w:left="346"/>
    </w:pPr>
    <w:rPr>
      <w:szCs w:val="20"/>
    </w:rPr>
  </w:style>
  <w:style w:type="paragraph" w:customStyle="1" w:styleId="ContinuedOnNextPa">
    <w:name w:val="Continued On Next Pa"/>
    <w:basedOn w:val="Normal"/>
    <w:next w:val="Normal"/>
    <w:rsid w:val="006740B6"/>
    <w:pPr>
      <w:pBdr>
        <w:top w:val="single" w:sz="6" w:space="1" w:color="000000"/>
        <w:between w:val="single" w:sz="6" w:space="1" w:color="auto"/>
      </w:pBdr>
      <w:tabs>
        <w:tab w:val="left" w:pos="0"/>
      </w:tabs>
      <w:spacing w:before="240"/>
      <w:jc w:val="right"/>
    </w:pPr>
    <w:rPr>
      <w:i/>
      <w:sz w:val="20"/>
      <w:szCs w:val="20"/>
    </w:rPr>
  </w:style>
  <w:style w:type="paragraph" w:customStyle="1" w:styleId="ContinuedTableLabe">
    <w:name w:val="Continued Table Labe"/>
    <w:basedOn w:val="Normal"/>
    <w:next w:val="Normal"/>
    <w:rsid w:val="006740B6"/>
    <w:pPr>
      <w:tabs>
        <w:tab w:val="left" w:pos="0"/>
      </w:tabs>
      <w:spacing w:after="240"/>
    </w:pPr>
    <w:rPr>
      <w:b/>
      <w:sz w:val="22"/>
      <w:szCs w:val="20"/>
    </w:rPr>
  </w:style>
  <w:style w:type="paragraph" w:customStyle="1" w:styleId="MapTitleContinued">
    <w:name w:val="Map Title. Continued"/>
    <w:basedOn w:val="Normal"/>
    <w:next w:val="Normal"/>
    <w:rsid w:val="006740B6"/>
    <w:pPr>
      <w:tabs>
        <w:tab w:val="left" w:pos="0"/>
      </w:tabs>
      <w:spacing w:after="240"/>
    </w:pPr>
    <w:rPr>
      <w:rFonts w:ascii="Arial" w:hAnsi="Arial" w:cs="Arial"/>
      <w:b/>
      <w:sz w:val="32"/>
      <w:szCs w:val="20"/>
    </w:rPr>
  </w:style>
  <w:style w:type="paragraph" w:customStyle="1" w:styleId="MemoLine">
    <w:name w:val="Memo Line"/>
    <w:basedOn w:val="BlockLine"/>
    <w:next w:val="Normal"/>
    <w:rsid w:val="006740B6"/>
  </w:style>
  <w:style w:type="paragraph" w:styleId="Footer">
    <w:name w:val="footer"/>
    <w:basedOn w:val="Normal"/>
    <w:link w:val="FooterChar"/>
    <w:rsid w:val="006740B6"/>
    <w:pPr>
      <w:tabs>
        <w:tab w:val="left" w:pos="0"/>
        <w:tab w:val="center" w:pos="4680"/>
        <w:tab w:val="right" w:pos="9360"/>
      </w:tabs>
    </w:pPr>
    <w:rPr>
      <w:sz w:val="20"/>
    </w:rPr>
  </w:style>
  <w:style w:type="character" w:styleId="PageNumber">
    <w:name w:val="page number"/>
    <w:basedOn w:val="DefaultParagraphFont"/>
    <w:semiHidden/>
  </w:style>
  <w:style w:type="paragraph" w:customStyle="1" w:styleId="TableText">
    <w:name w:val="Table Text"/>
    <w:basedOn w:val="Normal"/>
    <w:qFormat/>
    <w:rsid w:val="006740B6"/>
    <w:pPr>
      <w:tabs>
        <w:tab w:val="left" w:pos="0"/>
      </w:tabs>
    </w:pPr>
    <w:rPr>
      <w:szCs w:val="20"/>
    </w:rPr>
  </w:style>
  <w:style w:type="paragraph" w:customStyle="1" w:styleId="NoteText">
    <w:name w:val="Note Text"/>
    <w:basedOn w:val="Normal"/>
    <w:rsid w:val="006740B6"/>
    <w:pPr>
      <w:tabs>
        <w:tab w:val="left" w:pos="0"/>
      </w:tabs>
    </w:pPr>
    <w:rPr>
      <w:szCs w:val="20"/>
    </w:rPr>
  </w:style>
  <w:style w:type="paragraph" w:customStyle="1" w:styleId="TableHeaderText">
    <w:name w:val="Table Header Text"/>
    <w:basedOn w:val="Normal"/>
    <w:rsid w:val="006740B6"/>
    <w:pPr>
      <w:tabs>
        <w:tab w:val="left" w:pos="0"/>
      </w:tabs>
      <w:jc w:val="center"/>
    </w:pPr>
    <w:rPr>
      <w:b/>
      <w:szCs w:val="20"/>
    </w:rPr>
  </w:style>
  <w:style w:type="paragraph" w:customStyle="1" w:styleId="EmbeddedText">
    <w:name w:val="Embedded Text"/>
    <w:basedOn w:val="Normal"/>
    <w:rsid w:val="006740B6"/>
    <w:pPr>
      <w:tabs>
        <w:tab w:val="left" w:pos="0"/>
      </w:tabs>
    </w:pPr>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6740B6"/>
    <w:pPr>
      <w:ind w:left="480"/>
    </w:pPr>
  </w:style>
  <w:style w:type="paragraph" w:styleId="TOC4">
    <w:name w:val="toc 4"/>
    <w:basedOn w:val="Normal"/>
    <w:next w:val="Normal"/>
    <w:autoRedefine/>
    <w:uiPriority w:val="39"/>
    <w:rsid w:val="006740B6"/>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6740B6"/>
    <w:pPr>
      <w:tabs>
        <w:tab w:val="left" w:pos="0"/>
      </w:tabs>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6740B6"/>
    <w:pPr>
      <w:tabs>
        <w:tab w:val="left" w:pos="0"/>
      </w:tabs>
      <w:spacing w:after="240"/>
      <w:jc w:val="center"/>
    </w:pPr>
    <w:rPr>
      <w:rFonts w:ascii="Arial" w:hAnsi="Arial" w:cs="Arial"/>
      <w:b/>
      <w:sz w:val="32"/>
      <w:szCs w:val="20"/>
    </w:rPr>
  </w:style>
  <w:style w:type="paragraph" w:customStyle="1" w:styleId="TOCTitle">
    <w:name w:val="TOC Title"/>
    <w:basedOn w:val="Normal"/>
    <w:rsid w:val="006740B6"/>
    <w:pPr>
      <w:widowControl w:val="0"/>
      <w:tabs>
        <w:tab w:val="left" w:pos="0"/>
      </w:tabs>
    </w:pPr>
    <w:rPr>
      <w:rFonts w:ascii="Arial" w:hAnsi="Arial" w:cs="Arial"/>
      <w:b/>
      <w:sz w:val="32"/>
      <w:szCs w:val="20"/>
    </w:rPr>
  </w:style>
  <w:style w:type="paragraph" w:customStyle="1" w:styleId="TOCItem">
    <w:name w:val="TOCItem"/>
    <w:basedOn w:val="Normal"/>
    <w:rsid w:val="006740B6"/>
    <w:pPr>
      <w:tabs>
        <w:tab w:val="left" w:leader="dot" w:pos="7061"/>
        <w:tab w:val="right" w:pos="7524"/>
      </w:tabs>
      <w:spacing w:before="60" w:after="60"/>
      <w:ind w:right="465"/>
    </w:pPr>
    <w:rPr>
      <w:szCs w:val="20"/>
    </w:rPr>
  </w:style>
  <w:style w:type="paragraph" w:customStyle="1" w:styleId="TOCStem">
    <w:name w:val="TOCStem"/>
    <w:basedOn w:val="Normal"/>
    <w:rsid w:val="006740B6"/>
    <w:rPr>
      <w:szCs w:val="20"/>
    </w:rPr>
  </w:style>
  <w:style w:type="character" w:styleId="Hyperlink">
    <w:name w:val="Hyperlink"/>
    <w:uiPriority w:val="99"/>
    <w:rsid w:val="006740B6"/>
    <w:rPr>
      <w:color w:val="0000FF"/>
      <w:u w:val="single"/>
    </w:rPr>
  </w:style>
  <w:style w:type="character" w:styleId="FollowedHyperlink">
    <w:name w:val="FollowedHyperlink"/>
    <w:rsid w:val="006740B6"/>
    <w:rPr>
      <w:color w:val="800080"/>
      <w:u w:val="single"/>
    </w:rPr>
  </w:style>
  <w:style w:type="paragraph" w:styleId="BalloonText">
    <w:name w:val="Balloon Text"/>
    <w:basedOn w:val="Normal"/>
    <w:link w:val="BalloonTextChar"/>
    <w:semiHidden/>
    <w:rsid w:val="006740B6"/>
    <w:rPr>
      <w:rFonts w:ascii="Tahoma" w:hAnsi="Tahoma" w:cs="Tahoma"/>
      <w:sz w:val="16"/>
      <w:szCs w:val="16"/>
    </w:rPr>
  </w:style>
  <w:style w:type="character" w:customStyle="1" w:styleId="BalloonTextChar">
    <w:name w:val="Balloon Text Char"/>
    <w:basedOn w:val="DefaultParagraphFont"/>
    <w:link w:val="BalloonText"/>
    <w:semiHidden/>
    <w:rsid w:val="00117368"/>
    <w:rPr>
      <w:rFonts w:ascii="Tahoma" w:hAnsi="Tahoma" w:cs="Tahoma"/>
      <w:color w:val="000000"/>
      <w:sz w:val="16"/>
      <w:szCs w:val="16"/>
    </w:rPr>
  </w:style>
  <w:style w:type="paragraph" w:customStyle="1" w:styleId="BulletText3">
    <w:name w:val="Bullet Text 3"/>
    <w:basedOn w:val="Normal"/>
    <w:rsid w:val="006740B6"/>
    <w:pPr>
      <w:numPr>
        <w:numId w:val="3"/>
      </w:numPr>
      <w:tabs>
        <w:tab w:val="left" w:pos="360"/>
      </w:tabs>
      <w:ind w:left="518"/>
    </w:pPr>
    <w:rPr>
      <w:szCs w:val="20"/>
    </w:rPr>
  </w:style>
  <w:style w:type="character" w:styleId="HTMLAcronym">
    <w:name w:val="HTML Acronym"/>
    <w:basedOn w:val="DefaultParagraphFont"/>
    <w:rsid w:val="006740B6"/>
  </w:style>
  <w:style w:type="paragraph" w:customStyle="1" w:styleId="IMTOC">
    <w:name w:val="IMTOC"/>
    <w:rsid w:val="006740B6"/>
    <w:rPr>
      <w:sz w:val="24"/>
    </w:rPr>
  </w:style>
  <w:style w:type="table" w:styleId="TableGrid">
    <w:name w:val="Table Grid"/>
    <w:basedOn w:val="TableNormal"/>
    <w:rsid w:val="006740B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740B6"/>
    <w:pPr>
      <w:ind w:left="720"/>
      <w:contextualSpacing/>
    </w:pPr>
  </w:style>
  <w:style w:type="character" w:customStyle="1" w:styleId="FooterChar">
    <w:name w:val="Footer Char"/>
    <w:link w:val="Footer"/>
    <w:rsid w:val="006740B6"/>
    <w:rPr>
      <w:color w:val="000000"/>
      <w:szCs w:val="24"/>
    </w:rPr>
  </w:style>
  <w:style w:type="character" w:customStyle="1" w:styleId="HeaderChar">
    <w:name w:val="Header Char"/>
    <w:link w:val="Header"/>
    <w:rsid w:val="006740B6"/>
    <w:rPr>
      <w:color w:val="000000"/>
      <w:szCs w:val="24"/>
    </w:rPr>
  </w:style>
  <w:style w:type="character" w:styleId="CommentReference">
    <w:name w:val="annotation reference"/>
    <w:basedOn w:val="DefaultParagraphFont"/>
    <w:uiPriority w:val="99"/>
    <w:semiHidden/>
    <w:unhideWhenUsed/>
    <w:rsid w:val="00EE7084"/>
    <w:rPr>
      <w:sz w:val="16"/>
      <w:szCs w:val="16"/>
    </w:rPr>
  </w:style>
  <w:style w:type="paragraph" w:styleId="CommentText">
    <w:name w:val="annotation text"/>
    <w:basedOn w:val="Normal"/>
    <w:link w:val="CommentTextChar"/>
    <w:uiPriority w:val="99"/>
    <w:unhideWhenUsed/>
    <w:rsid w:val="00EE7084"/>
    <w:rPr>
      <w:sz w:val="20"/>
      <w:szCs w:val="20"/>
    </w:rPr>
  </w:style>
  <w:style w:type="character" w:customStyle="1" w:styleId="CommentTextChar">
    <w:name w:val="Comment Text Char"/>
    <w:basedOn w:val="DefaultParagraphFont"/>
    <w:link w:val="CommentText"/>
    <w:uiPriority w:val="99"/>
    <w:rsid w:val="00EE7084"/>
    <w:rPr>
      <w:color w:val="000000"/>
    </w:rPr>
  </w:style>
  <w:style w:type="paragraph" w:styleId="CommentSubject">
    <w:name w:val="annotation subject"/>
    <w:basedOn w:val="CommentText"/>
    <w:next w:val="CommentText"/>
    <w:link w:val="CommentSubjectChar"/>
    <w:uiPriority w:val="99"/>
    <w:semiHidden/>
    <w:unhideWhenUsed/>
    <w:rsid w:val="00EE7084"/>
    <w:rPr>
      <w:b/>
      <w:bCs/>
    </w:rPr>
  </w:style>
  <w:style w:type="character" w:customStyle="1" w:styleId="CommentSubjectChar">
    <w:name w:val="Comment Subject Char"/>
    <w:basedOn w:val="CommentTextChar"/>
    <w:link w:val="CommentSubject"/>
    <w:uiPriority w:val="99"/>
    <w:semiHidden/>
    <w:rsid w:val="00EE7084"/>
    <w:rPr>
      <w:b/>
      <w:bCs/>
      <w:color w:val="000000"/>
    </w:rPr>
  </w:style>
  <w:style w:type="paragraph" w:styleId="Revision">
    <w:name w:val="Revision"/>
    <w:hidden/>
    <w:uiPriority w:val="99"/>
    <w:semiHidden/>
    <w:rsid w:val="00210483"/>
    <w:rPr>
      <w:color w:val="000000"/>
      <w:sz w:val="24"/>
      <w:szCs w:val="24"/>
    </w:rPr>
  </w:style>
  <w:style w:type="character" w:customStyle="1" w:styleId="Heading2Char">
    <w:name w:val="Heading 2 Char"/>
    <w:aliases w:val="Chapter Title Char"/>
    <w:basedOn w:val="DefaultParagraphFont"/>
    <w:link w:val="Heading2"/>
    <w:rsid w:val="005A53DC"/>
    <w:rPr>
      <w:rFonts w:ascii="Arial" w:hAnsi="Arial" w:cs="Arial"/>
      <w:b/>
      <w:color w:val="000000"/>
      <w:sz w:val="32"/>
    </w:rPr>
  </w:style>
  <w:style w:type="character" w:customStyle="1" w:styleId="Heading4Char">
    <w:name w:val="Heading 4 Char"/>
    <w:aliases w:val="Map Title Char"/>
    <w:basedOn w:val="DefaultParagraphFont"/>
    <w:link w:val="Heading4"/>
    <w:rsid w:val="005A53DC"/>
    <w:rPr>
      <w:rFonts w:ascii="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1&amp;SID=7f4878f787ebf9871a4b5ce51586fba5&amp;ty=HTML&amp;h=L&amp;r=SECTION&amp;n=se38.1.3_1951" TargetMode="External"/><Relationship Id="rId18" Type="http://schemas.openxmlformats.org/officeDocument/2006/relationships/hyperlink" Target="http://www.ecfr.gov/cgi-bin/text-idx?SID=706482b8b0fb668731917663ac9c59ef&amp;mc=true&amp;node=se38.1.4_171a&amp;rgn=div8" TargetMode="External"/><Relationship Id="rId26" Type="http://schemas.openxmlformats.org/officeDocument/2006/relationships/hyperlink" Target="http://www.law.cornell.edu/uscode/text/38/110" TargetMode="External"/><Relationship Id="rId39" Type="http://schemas.openxmlformats.org/officeDocument/2006/relationships/hyperlink" Target="http://www.ecfr.gov/cgi-bin/text-idx?SID=71b9229567155eefc8d5def801ee244b&amp;node=se38.1.4_1124a&amp;rgn=div8" TargetMode="External"/><Relationship Id="rId21" Type="http://schemas.openxmlformats.org/officeDocument/2006/relationships/hyperlink" Target="http://www.law.cornell.edu/uscode/text/38/110" TargetMode="External"/><Relationship Id="rId34" Type="http://schemas.openxmlformats.org/officeDocument/2006/relationships/hyperlink" Target="http://www.ecfr.gov/cgi-bin/text-idx?SID=aaf0db75837c80ac0c8f4b8580ed9588&amp;node=se38.1.3_1951&amp;rgn=div8" TargetMode="External"/><Relationship Id="rId42" Type="http://schemas.openxmlformats.org/officeDocument/2006/relationships/hyperlink" Target="http://www.ecfr.gov/cgi-bin/text-idx?SID=706482b8b0fb668731917663ac9c59ef&amp;mc=true&amp;node=se38.1.4_171a&amp;rgn=div8" TargetMode="External"/><Relationship Id="rId47" Type="http://schemas.openxmlformats.org/officeDocument/2006/relationships/hyperlink" Target="http://www.va.gov/ogc/docs/1996/Prc04-96.doc" TargetMode="External"/><Relationship Id="rId50" Type="http://schemas.openxmlformats.org/officeDocument/2006/relationships/hyperlink" Target="https://www.law.cornell.edu/uscode/text/38/1159" TargetMode="External"/><Relationship Id="rId55" Type="http://schemas.openxmlformats.org/officeDocument/2006/relationships/hyperlink" Target="http://www.va.gov/ogc/docs/1998/prc02-98.doc" TargetMode="External"/><Relationship Id="rId63" Type="http://schemas.openxmlformats.org/officeDocument/2006/relationships/hyperlink" Target="http://www.va.gov/ogc/docs/1991/PREC_50-91.doc" TargetMode="External"/><Relationship Id="rId68" Type="http://schemas.openxmlformats.org/officeDocument/2006/relationships/hyperlink" Target="http://www.ecfr.gov/cgi-bin/text-idx?SID=d78943d45588589ac156467adfbb7e02&amp;node=se38.1.3_1105&amp;rgn=div8" TargetMode="External"/><Relationship Id="rId76" Type="http://schemas.openxmlformats.org/officeDocument/2006/relationships/hyperlink" Target="http://www.ecfr.gov/cgi-bin/text-idx?SID=47aec02f1bb828870eb38485248da7a2&amp;node=se38.1.3_1952&amp;rgn=div8" TargetMode="External"/><Relationship Id="rId84"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www.ecfr.gov/cgi-bin/text-idx?SID=d83f8f8bdc58e0ad94863d5f18611d1a&amp;node=se38.1.3_1951&amp;rgn=div8" TargetMode="External"/><Relationship Id="rId2" Type="http://schemas.openxmlformats.org/officeDocument/2006/relationships/customXml" Target="../customXml/item2.xml"/><Relationship Id="rId16" Type="http://schemas.openxmlformats.org/officeDocument/2006/relationships/hyperlink" Target="http://www.ecfr.gov/cgi-bin/text-idx?SID=da52ba26513f0f932d2ad2b234fbcd29&amp;node=se38.1.3_1344&amp;rgn=div8" TargetMode="External"/><Relationship Id="rId29" Type="http://schemas.openxmlformats.org/officeDocument/2006/relationships/hyperlink" Target="http://www.va.gov/ogc/docs/1989/PREC_16-89.doc" TargetMode="External"/><Relationship Id="rId11" Type="http://schemas.openxmlformats.org/officeDocument/2006/relationships/endnotes" Target="endnotes.xml"/><Relationship Id="rId24" Type="http://schemas.openxmlformats.org/officeDocument/2006/relationships/hyperlink" Target="http://www.law.cornell.edu/uscode/text/38/110" TargetMode="External"/><Relationship Id="rId32" Type="http://schemas.openxmlformats.org/officeDocument/2006/relationships/hyperlink" Target="http://www.va.gov/ogc/docs/1991/PREC_68-91.doc" TargetMode="External"/><Relationship Id="rId37" Type="http://schemas.openxmlformats.org/officeDocument/2006/relationships/hyperlink" Target="http://www.ecfr.gov/cgi-bin/text-idx?SID=706482b8b0fb668731917663ac9c59ef&amp;mc=true&amp;node=se38.1.4_171a&amp;rgn=div8" TargetMode="External"/><Relationship Id="rId40" Type="http://schemas.openxmlformats.org/officeDocument/2006/relationships/hyperlink" Target="http://www.ecfr.gov/cgi-bin/text-idx?SID=706482b8b0fb668731917663ac9c59ef&amp;mc=true&amp;node=se38.1.4_171a&amp;rgn=div8" TargetMode="External"/><Relationship Id="rId45" Type="http://schemas.openxmlformats.org/officeDocument/2006/relationships/hyperlink" Target="http://vbaw.vba.va.gov/bl/21/advisory/CAVCDAD.htm" TargetMode="External"/><Relationship Id="rId53" Type="http://schemas.openxmlformats.org/officeDocument/2006/relationships/hyperlink" Target="http://www.va.gov/ogc/docs/2002/PREC_6-2002.doc" TargetMode="External"/><Relationship Id="rId58" Type="http://schemas.openxmlformats.org/officeDocument/2006/relationships/hyperlink" Target="http://www.va.gov/ogc/docs/1993/PRC08-93.DOC" TargetMode="External"/><Relationship Id="rId66" Type="http://schemas.openxmlformats.org/officeDocument/2006/relationships/hyperlink" Target="https://www.law.cornell.edu/uscode/text/38/1159" TargetMode="External"/><Relationship Id="rId74" Type="http://schemas.openxmlformats.org/officeDocument/2006/relationships/hyperlink" Target="http://www.ecfr.gov/cgi-bin/text-idx?SID=47aec02f1bb828870eb38485248da7a2&amp;node=se38.1.3_1951&amp;rgn=div8" TargetMode="External"/><Relationship Id="rId79" Type="http://schemas.openxmlformats.org/officeDocument/2006/relationships/hyperlink" Target="http://www.ecfr.gov/cgi-bin/text-idx?SID=47aec02f1bb828870eb38485248da7a2&amp;node=se38.1.3_1952&amp;rgn=div8" TargetMode="External"/><Relationship Id="rId5" Type="http://schemas.openxmlformats.org/officeDocument/2006/relationships/numbering" Target="numbering.xml"/><Relationship Id="rId61" Type="http://schemas.openxmlformats.org/officeDocument/2006/relationships/hyperlink" Target="http://vbaw.vba.va.gov/bl/21/advisory/CAVCDAD.htm" TargetMode="External"/><Relationship Id="rId82"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cfr.gov/cgi-bin/text-idx?SID=da52ba26513f0f932d2ad2b234fbcd29&amp;node=se38.1.3_1105&amp;rgn=div8" TargetMode="External"/><Relationship Id="rId31" Type="http://schemas.openxmlformats.org/officeDocument/2006/relationships/hyperlink" Target="http://www.ecfr.gov/cgi-bin/retrieveECFR?gp=1&amp;SID=7f4878f787ebf9871a4b5ce51586fba5&amp;ty=HTML&amp;h=L&amp;r=SECTION&amp;n=se38.1.3_1951" TargetMode="External"/><Relationship Id="rId44" Type="http://schemas.openxmlformats.org/officeDocument/2006/relationships/hyperlink" Target="http://www.ecfr.gov/cgi-bin/text-idx?SID=aaf0db75837c80ac0c8f4b8580ed9588&amp;node=se38.1.4_114&amp;rgn=div8" TargetMode="External"/><Relationship Id="rId52" Type="http://schemas.openxmlformats.org/officeDocument/2006/relationships/hyperlink" Target="http://www.ecfr.gov/cgi-bin/text-idx?SID=866401ba6ef6e4eb690671001dc629fb&amp;node=se38.1.3_1105&amp;rgn=div8" TargetMode="External"/><Relationship Id="rId60" Type="http://schemas.openxmlformats.org/officeDocument/2006/relationships/hyperlink" Target="http://www.ecfr.gov/cgi-bin/text-idx?SID=706482b8b0fb668731917663ac9c59ef&amp;mc=true&amp;node=se38.1.4_171a&amp;rgn=div8" TargetMode="External"/><Relationship Id="rId65" Type="http://schemas.openxmlformats.org/officeDocument/2006/relationships/hyperlink" Target="https://www.va.gov/ogc/docs/1996/Prc13-96.doc" TargetMode="External"/><Relationship Id="rId73" Type="http://schemas.openxmlformats.org/officeDocument/2006/relationships/hyperlink" Target="http://www.ecfr.gov/cgi-bin/text-idx?SID=47aec02f1bb828870eb38485248da7a2&amp;node=se38.1.3_1951&amp;rgn=div8" TargetMode="External"/><Relationship Id="rId78" Type="http://schemas.openxmlformats.org/officeDocument/2006/relationships/hyperlink" Target="http://www.ecfr.gov/cgi-bin/text-idx?SID=47aec02f1bb828870eb38485248da7a2&amp;node=se38.1.3_1951&amp;rgn=div8"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0bbffb6f2635afc4ff83d99c26ca648e&amp;node=se38.1.3_1901&amp;rgn=div8" TargetMode="External"/><Relationship Id="rId22" Type="http://schemas.openxmlformats.org/officeDocument/2006/relationships/hyperlink" Target="http://www.ecfr.gov/cgi-bin/retrieveECFR?gp=1&amp;SID=7f4878f787ebf9871a4b5ce51586fba5&amp;ty=HTML&amp;h=L&amp;r=SECTION&amp;n=se38.1.3_1951" TargetMode="External"/><Relationship Id="rId27" Type="http://schemas.openxmlformats.org/officeDocument/2006/relationships/hyperlink" Target="http://www.ecfr.gov/cgi-bin/retrieveECFR?gp=1&amp;SID=7f4878f787ebf9871a4b5ce51586fba5&amp;ty=HTML&amp;h=L&amp;r=SECTION&amp;n=se38.1.3_1951" TargetMode="External"/><Relationship Id="rId30" Type="http://schemas.openxmlformats.org/officeDocument/2006/relationships/hyperlink" Target="http://www.ecfr.gov/cgi-bin/text-idx?SID=6b0059bc8da29016564102089c2e1227&amp;node=se38.1.3_1105&amp;rgn=div8" TargetMode="External"/><Relationship Id="rId35" Type="http://schemas.openxmlformats.org/officeDocument/2006/relationships/hyperlink" Target="http://www.ecfr.gov/cgi-bin/text-idx?SID=aaf0db75837c80ac0c8f4b8580ed9588&amp;node=se38.1.3_1951&amp;rgn=div8" TargetMode="External"/><Relationship Id="rId43" Type="http://schemas.openxmlformats.org/officeDocument/2006/relationships/hyperlink" Target="http://vbaw.vba.va.gov/bl/21/Advisory/CAVCDAD.htm" TargetMode="External"/><Relationship Id="rId48" Type="http://schemas.openxmlformats.org/officeDocument/2006/relationships/hyperlink" Target="http://www.law.cornell.edu/uscode/text/38/110" TargetMode="External"/><Relationship Id="rId56" Type="http://schemas.openxmlformats.org/officeDocument/2006/relationships/hyperlink" Target="http://www.va.gov/ogc/docs/2002/PREC_6-2002.doc" TargetMode="External"/><Relationship Id="rId64" Type="http://schemas.openxmlformats.org/officeDocument/2006/relationships/hyperlink" Target="http://www.va.gov/ogc/docs/1992/PREC_13-92.doc" TargetMode="External"/><Relationship Id="rId69" Type="http://schemas.openxmlformats.org/officeDocument/2006/relationships/hyperlink" Target="http://www.ecfr.gov/cgi-bin/text-idx?SID=d78943d45588589ac156467adfbb7e02&amp;node=se38.1.3_1103&amp;rgn=div8" TargetMode="External"/><Relationship Id="rId77" Type="http://schemas.openxmlformats.org/officeDocument/2006/relationships/hyperlink" Target="http://www.ecfr.gov/cgi-bin/text-idx?SID=47aec02f1bb828870eb38485248da7a2&amp;node=se38.1.3_1952&amp;rgn=div8" TargetMode="External"/><Relationship Id="rId8" Type="http://schemas.openxmlformats.org/officeDocument/2006/relationships/settings" Target="settings.xml"/><Relationship Id="rId51" Type="http://schemas.openxmlformats.org/officeDocument/2006/relationships/hyperlink" Target="http://www.ecfr.gov/cgi-bin/text-idx?SID=478ab01484da17bb54b7528574e54d80&amp;node=se38.1.3_1957&amp;rgn=div8" TargetMode="External"/><Relationship Id="rId72" Type="http://schemas.openxmlformats.org/officeDocument/2006/relationships/hyperlink" Target="http://www.ecfr.gov/cgi-bin/text-idx?SID=d83f8f8bdc58e0ad94863d5f18611d1a&amp;node=se38.1.3_1951&amp;rgn=div8" TargetMode="External"/><Relationship Id="rId80" Type="http://schemas.openxmlformats.org/officeDocument/2006/relationships/hyperlink" Target="http://www.ecfr.gov/cgi-bin/text-idx?SID=622bad9b84a956b9bca7bbeefe28a1c1&amp;node=se38.1.3_1552&amp;rgn=div8" TargetMode="External"/><Relationship Id="rId3" Type="http://schemas.openxmlformats.org/officeDocument/2006/relationships/customXml" Target="../customXml/item3.xml"/><Relationship Id="rId12" Type="http://schemas.openxmlformats.org/officeDocument/2006/relationships/hyperlink" Target="https://www.law.cornell.edu/uscode/text/38/110" TargetMode="External"/><Relationship Id="rId17" Type="http://schemas.openxmlformats.org/officeDocument/2006/relationships/hyperlink" Target="http://www.ecfr.gov/cgi-bin/text-idx?SID=da52ba26513f0f932d2ad2b234fbcd29&amp;node=se38.1.3_1105&amp;rgn=div8" TargetMode="External"/><Relationship Id="rId25" Type="http://schemas.openxmlformats.org/officeDocument/2006/relationships/hyperlink" Target="http://www.ecfr.gov/cgi-bin/retrieveECFR?gp=1&amp;SID=7f4878f787ebf9871a4b5ce51586fba5&amp;ty=HTML&amp;h=L&amp;r=SECTION&amp;n=se38.1.3_1951" TargetMode="External"/><Relationship Id="rId33" Type="http://schemas.openxmlformats.org/officeDocument/2006/relationships/hyperlink" Target="http://www.ecfr.gov/cgi-bin/retrieveECFR?gp=1&amp;SID=7f4878f787ebf9871a4b5ce51586fba5&amp;ty=HTML&amp;h=L&amp;r=SECTION&amp;n=se38.1.3_1951" TargetMode="External"/><Relationship Id="rId38" Type="http://schemas.openxmlformats.org/officeDocument/2006/relationships/hyperlink" Target="http://www.ecfr.gov/cgi-bin/text-idx?SID=e1a316f048ea52ddab47bf2602e876da&amp;node=se38.1.4_173&amp;rgn=div8" TargetMode="External"/><Relationship Id="rId46" Type="http://schemas.openxmlformats.org/officeDocument/2006/relationships/hyperlink" Target="http://vbaw.vba.va.gov/VBMS/Resources_Technical_Information.asp" TargetMode="External"/><Relationship Id="rId59" Type="http://schemas.openxmlformats.org/officeDocument/2006/relationships/hyperlink" Target="http://www.ecfr.gov/cgi-bin/text-idx?SID=706482b8b0fb668731917663ac9c59ef&amp;mc=true&amp;node=se38.1.4_171a&amp;rgn=div8" TargetMode="External"/><Relationship Id="rId67" Type="http://schemas.openxmlformats.org/officeDocument/2006/relationships/hyperlink" Target="https://www.law.cornell.edu/uscode/text/38/1151" TargetMode="External"/><Relationship Id="rId20" Type="http://schemas.openxmlformats.org/officeDocument/2006/relationships/hyperlink" Target="http://www.ecfr.gov/cgi-bin/text-idx?SID=da52ba26513f0f932d2ad2b234fbcd29&amp;node=se38.1.3_1344&amp;rgn=div8" TargetMode="External"/><Relationship Id="rId41" Type="http://schemas.openxmlformats.org/officeDocument/2006/relationships/hyperlink" Target="http://www.ecfr.gov/cgi-bin/text-idx?SID=aaf0db75837c80ac0c8f4b8580ed9588&amp;node=se38.1.3_1957&amp;rgn=div8" TargetMode="External"/><Relationship Id="rId54" Type="http://schemas.openxmlformats.org/officeDocument/2006/relationships/hyperlink" Target="http://www.ecfr.gov/cgi-bin/text-idx?SID=b5d41c779470bc764c968e0e1a05d79d&amp;mc=true&amp;node=se38.1.3_1301&amp;rgn=div8" TargetMode="External"/><Relationship Id="rId62" Type="http://schemas.openxmlformats.org/officeDocument/2006/relationships/hyperlink" Target="http://vbaw.vba.va.gov/bl/21/advisory/CAVCDAD.htm" TargetMode="External"/><Relationship Id="rId70" Type="http://schemas.openxmlformats.org/officeDocument/2006/relationships/hyperlink" Target="http://www.ecfr.gov/cgi-bin/text-idx?SID=d78943d45588589ac156467adfbb7e02&amp;node=se38.1.3_1105&amp;rgn=div8" TargetMode="External"/><Relationship Id="rId75" Type="http://schemas.openxmlformats.org/officeDocument/2006/relationships/hyperlink" Target="http://www.law.cornell.edu/uscode/text/38/115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cfr.gov/cgi-bin/retrieveECFR?gp=1&amp;SID=7f4878f787ebf9871a4b5ce51586fba5&amp;ty=HTML&amp;h=L&amp;r=SECTION&amp;n=se38.1.3_1951" TargetMode="External"/><Relationship Id="rId23" Type="http://schemas.openxmlformats.org/officeDocument/2006/relationships/hyperlink" Target="http://vbaw.vba.va.gov/bl/21/advisory/CAVCDAD.htm" TargetMode="External"/><Relationship Id="rId28" Type="http://schemas.openxmlformats.org/officeDocument/2006/relationships/hyperlink" Target="http://www.law.cornell.edu/uscode/text/38/110" TargetMode="External"/><Relationship Id="rId36" Type="http://schemas.openxmlformats.org/officeDocument/2006/relationships/hyperlink" Target="http://www.ecfr.gov/cgi-bin/text-idx?SID=e1a316f048ea52ddab47bf2602e876da&amp;node=se38.1.4_171a&amp;rgn=div8" TargetMode="External"/><Relationship Id="rId49" Type="http://schemas.openxmlformats.org/officeDocument/2006/relationships/hyperlink" Target="http://www.va.gov/ogc/docs/1995/PRC05-95.DOC" TargetMode="External"/><Relationship Id="rId57" Type="http://schemas.openxmlformats.org/officeDocument/2006/relationships/hyperlink" Target="http://www.ecfr.gov/cgi-bin/text-idx?SID=f565ce462226031b5963adcf03d33683&amp;node=se38.1.3_1957&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9CD1-B41A-49CB-AF02-8ED139446D34}">
  <ds:schemaRefs>
    <ds:schemaRef ds:uri="http://purl.org/dc/elements/1.1/"/>
    <ds:schemaRef ds:uri="http://www.w3.org/XML/1998/namespace"/>
    <ds:schemaRef ds:uri="http://purl.org/dc/terms/"/>
    <ds:schemaRef ds:uri="b438dcf7-3998-4283-b7fc-0ec6fa8e430f"/>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CAE1F417-9CAE-4674-8A2C-393C18C49FC6}">
  <ds:schemaRefs>
    <ds:schemaRef ds:uri="http://schemas.microsoft.com/sharepoint/v3/contenttype/forms"/>
  </ds:schemaRefs>
</ds:datastoreItem>
</file>

<file path=customXml/itemProps3.xml><?xml version="1.0" encoding="utf-8"?>
<ds:datastoreItem xmlns:ds="http://schemas.openxmlformats.org/officeDocument/2006/customXml" ds:itemID="{64EF85EF-1B56-4D6D-A610-388F15A0B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1CD84-A170-4A48-AAEB-DA5C5342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975</TotalTime>
  <Pages>13</Pages>
  <Words>4019</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Protected Ratings (U.S. Department of Veterans Affairs)</vt:lpstr>
    </vt:vector>
  </TitlesOfParts>
  <Company>Department of Veterans Affairs (VA)</Company>
  <LinksUpToDate>false</LinksUpToDate>
  <CharactersWithSpaces>26879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Ratings (U.S. Department of Veterans Affairs)</dc:title>
  <dc:subject>Protected Ratings</dc:subject>
  <dc:creator>VA</dc:creator>
  <cp:keywords>protection, protected ratings, evaluation, service connection, pension</cp:keywords>
  <cp:lastModifiedBy>CAPLMAZA</cp:lastModifiedBy>
  <cp:revision>25</cp:revision>
  <cp:lastPrinted>2015-02-25T19:50:00Z</cp:lastPrinted>
  <dcterms:created xsi:type="dcterms:W3CDTF">2016-01-20T20:43:00Z</dcterms:created>
  <dcterms:modified xsi:type="dcterms:W3CDTF">2016-02-03T13:00:00Z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20051213</vt:lpwstr>
  </property>
  <property fmtid="{D5CDD505-2E9C-101B-9397-08002B2CF9AE}" pid="3" name="DateReviewed">
    <vt:lpwstr>20160122</vt:lpwstr>
  </property>
  <property fmtid="{D5CDD505-2E9C-101B-9397-08002B2CF9AE}" pid="4" name="Creator">
    <vt:lpwstr>Department of Veterans Affairs, Veterans Benefits Administration, Compensation Service, Procedures</vt:lpwstr>
  </property>
  <property fmtid="{D5CDD505-2E9C-101B-9397-08002B2CF9AE}" pid="5" name="Language">
    <vt:lpwstr>en</vt:lpwstr>
  </property>
  <property fmtid="{D5CDD505-2E9C-101B-9397-08002B2CF9AE}" pid="6" name="Type">
    <vt:lpwstr>Manual</vt:lpwstr>
  </property>
  <property fmtid="{D5CDD505-2E9C-101B-9397-08002B2CF9AE}" pid="7" name="ContentTypeId">
    <vt:lpwstr>0x010100A3776AF772BF364D8E899CBB1EA8E540</vt:lpwstr>
  </property>
  <property fmtid="{D5CDD505-2E9C-101B-9397-08002B2CF9AE}" pid="8" name="Order0">
    <vt:r8>1</vt:r8>
  </property>
</Properties>
</file>