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C10A" w14:textId="74AD53A5" w:rsidR="00E82303" w:rsidRPr="00A81030" w:rsidRDefault="00E82303" w:rsidP="00F548B6">
      <w:pPr>
        <w:pStyle w:val="Heading2"/>
        <w:rPr>
          <w:color w:val="auto"/>
        </w:rPr>
      </w:pPr>
      <w:r w:rsidRPr="00A81030">
        <w:rPr>
          <w:color w:val="auto"/>
        </w:rPr>
        <w:t>Section A.  Evaluating Competency</w:t>
      </w:r>
      <w:r w:rsidR="002E2B8F" w:rsidRPr="00A81030">
        <w:rPr>
          <w:color w:val="auto"/>
        </w:rPr>
        <w:t xml:space="preserve">  </w:t>
      </w:r>
    </w:p>
    <w:p w14:paraId="4246A4A1" w14:textId="77777777" w:rsidR="00E82303" w:rsidRPr="00A81030" w:rsidRDefault="00E82303">
      <w:pPr>
        <w:pStyle w:val="Heading4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INFOTYPE="OTHER" </w:instrText>
      </w:r>
      <w:r w:rsidRPr="00A81030">
        <w:rPr>
          <w:color w:val="auto"/>
        </w:rPr>
        <w:fldChar w:fldCharType="end"/>
      </w:r>
      <w:r w:rsidRPr="00A81030">
        <w:rPr>
          <w:color w:val="auto"/>
        </w:rPr>
        <w:t>Overview</w:t>
      </w:r>
    </w:p>
    <w:p w14:paraId="2B26820A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INFOTYPE="OTHER"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6F78420F" w14:textId="77777777">
        <w:trPr>
          <w:cantSplit/>
        </w:trPr>
        <w:tc>
          <w:tcPr>
            <w:tcW w:w="1728" w:type="dxa"/>
          </w:tcPr>
          <w:p w14:paraId="7F579365" w14:textId="709E8DF5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 xml:space="preserve">In </w:t>
            </w:r>
            <w:r w:rsidR="00281743" w:rsidRPr="00A81030">
              <w:rPr>
                <w:color w:val="auto"/>
              </w:rPr>
              <w:t>T</w:t>
            </w:r>
            <w:r w:rsidRPr="00A81030">
              <w:rPr>
                <w:color w:val="auto"/>
              </w:rPr>
              <w:t>his Section</w:t>
            </w:r>
          </w:p>
        </w:tc>
        <w:tc>
          <w:tcPr>
            <w:tcW w:w="7740" w:type="dxa"/>
          </w:tcPr>
          <w:p w14:paraId="5DBE7AC2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This section contains the following topics:</w:t>
            </w:r>
          </w:p>
        </w:tc>
      </w:tr>
    </w:tbl>
    <w:p w14:paraId="738B34A1" w14:textId="77777777" w:rsidR="00E82303" w:rsidRPr="00A81030" w:rsidRDefault="00E82303">
      <w:pPr>
        <w:rPr>
          <w:color w:val="auto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0"/>
        <w:gridCol w:w="6406"/>
      </w:tblGrid>
      <w:tr w:rsidR="003E02F6" w:rsidRPr="00A81030" w14:paraId="589EB625" w14:textId="77777777" w:rsidTr="00507CA9">
        <w:trPr>
          <w:cantSplit/>
          <w:trHeight w:val="39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F601" w14:textId="77777777" w:rsidR="00476A5E" w:rsidRPr="00A81030" w:rsidRDefault="00476A5E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Topic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6565" w14:textId="77777777" w:rsidR="00476A5E" w:rsidRPr="00A81030" w:rsidRDefault="00476A5E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Topic Name</w:t>
            </w:r>
          </w:p>
        </w:tc>
      </w:tr>
      <w:tr w:rsidR="003E02F6" w:rsidRPr="00A81030" w14:paraId="6B38E692" w14:textId="77777777" w:rsidTr="00507CA9">
        <w:trPr>
          <w:cantSplit/>
          <w:trHeight w:val="31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9D34" w14:textId="4688DB36" w:rsidR="00476A5E" w:rsidRPr="00A81030" w:rsidRDefault="00476A5E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C615" w14:textId="77777777" w:rsidR="00476A5E" w:rsidRPr="00A81030" w:rsidRDefault="00476A5E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Guidelines for Evaluating Competency</w:t>
            </w:r>
          </w:p>
        </w:tc>
      </w:tr>
      <w:tr w:rsidR="003E02F6" w:rsidRPr="00A81030" w14:paraId="124ACC4B" w14:textId="77777777" w:rsidTr="00507CA9">
        <w:trPr>
          <w:cantSplit/>
          <w:trHeight w:val="309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722B" w14:textId="5D0A8107" w:rsidR="00476A5E" w:rsidRPr="00A81030" w:rsidRDefault="00476A5E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8A26" w14:textId="77777777" w:rsidR="00476A5E" w:rsidRPr="00A81030" w:rsidRDefault="00476A5E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Considering Competency While Evaluating Evidence</w:t>
            </w:r>
          </w:p>
        </w:tc>
      </w:tr>
      <w:tr w:rsidR="003E02F6" w:rsidRPr="00A81030" w14:paraId="7F925DEA" w14:textId="77777777" w:rsidTr="00507CA9">
        <w:trPr>
          <w:cantSplit/>
          <w:trHeight w:val="31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1B42" w14:textId="10B38B24" w:rsidR="00476A5E" w:rsidRPr="00A81030" w:rsidRDefault="00476A5E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3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8DCA" w14:textId="77777777" w:rsidR="00476A5E" w:rsidRPr="00A81030" w:rsidRDefault="00476A5E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Process for Making Competency Determinations</w:t>
            </w:r>
          </w:p>
        </w:tc>
      </w:tr>
      <w:tr w:rsidR="003E02F6" w:rsidRPr="00A81030" w14:paraId="06984C21" w14:textId="77777777" w:rsidTr="00507CA9">
        <w:trPr>
          <w:cantSplit/>
          <w:trHeight w:val="312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CA8D" w14:textId="02BBD328" w:rsidR="00476A5E" w:rsidRPr="00A81030" w:rsidRDefault="00476A5E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4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5652" w14:textId="77777777" w:rsidR="00476A5E" w:rsidRPr="00A81030" w:rsidRDefault="00476A5E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Changing Competency Status</w:t>
            </w:r>
          </w:p>
        </w:tc>
      </w:tr>
      <w:tr w:rsidR="00476A5E" w:rsidRPr="00A81030" w14:paraId="5492018D" w14:textId="77777777" w:rsidTr="00507CA9">
        <w:trPr>
          <w:cantSplit/>
          <w:trHeight w:val="32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3447" w14:textId="71925548" w:rsidR="00476A5E" w:rsidRPr="00A81030" w:rsidRDefault="00476A5E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5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5AAA" w14:textId="77777777" w:rsidR="00476A5E" w:rsidRPr="00A81030" w:rsidRDefault="00476A5E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Evaluating Competency in Special Circumstances</w:t>
            </w:r>
          </w:p>
        </w:tc>
      </w:tr>
    </w:tbl>
    <w:p w14:paraId="0052573E" w14:textId="77777777" w:rsidR="00E82303" w:rsidRPr="00A81030" w:rsidRDefault="00E82303">
      <w:pPr>
        <w:pStyle w:val="BlockLine"/>
        <w:rPr>
          <w:color w:val="auto"/>
        </w:rPr>
      </w:pPr>
    </w:p>
    <w:p w14:paraId="71E990E7" w14:textId="77777777" w:rsidR="00E82303" w:rsidRPr="00A81030" w:rsidRDefault="00E82303">
      <w:pPr>
        <w:pStyle w:val="Heading4"/>
        <w:rPr>
          <w:color w:val="auto"/>
        </w:rPr>
      </w:pPr>
      <w:r w:rsidRPr="00A81030">
        <w:rPr>
          <w:color w:val="auto"/>
        </w:rPr>
        <w:br w:type="page"/>
      </w:r>
      <w:r w:rsidRPr="00A81030">
        <w:rPr>
          <w:color w:val="auto"/>
        </w:rPr>
        <w:lastRenderedPageBreak/>
        <w:t xml:space="preserve">1.  </w:t>
      </w:r>
      <w:bookmarkStart w:id="0" w:name="Topic1"/>
      <w:bookmarkEnd w:id="0"/>
      <w:r w:rsidRPr="00A81030">
        <w:rPr>
          <w:color w:val="auto"/>
        </w:rPr>
        <w:t>Guidelines for Evaluating Competency</w:t>
      </w:r>
    </w:p>
    <w:p w14:paraId="2868F4A4" w14:textId="77777777" w:rsidR="00E82303" w:rsidRPr="00A81030" w:rsidRDefault="00E82303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INFOTYPE="OTHER"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65B0D85B" w14:textId="77777777">
        <w:trPr>
          <w:cantSplit/>
        </w:trPr>
        <w:tc>
          <w:tcPr>
            <w:tcW w:w="1728" w:type="dxa"/>
          </w:tcPr>
          <w:p w14:paraId="5D7E1011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Introduction</w:t>
            </w:r>
          </w:p>
        </w:tc>
        <w:tc>
          <w:tcPr>
            <w:tcW w:w="7740" w:type="dxa"/>
          </w:tcPr>
          <w:p w14:paraId="483B49DF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This topic contains information on the guidelines for evaluating competency, including</w:t>
            </w:r>
          </w:p>
          <w:p w14:paraId="258DC6DB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4B12870A" w14:textId="06DC015C" w:rsidR="00E82303" w:rsidRPr="00A81030" w:rsidRDefault="003D6964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jurisdiction for competency</w:t>
            </w:r>
            <w:r w:rsidR="00E1462B" w:rsidRPr="00A81030">
              <w:rPr>
                <w:color w:val="auto"/>
              </w:rPr>
              <w:t xml:space="preserve"> </w:t>
            </w:r>
            <w:r w:rsidRPr="00A81030">
              <w:rPr>
                <w:rStyle w:val="Hyperlink"/>
                <w:color w:val="auto"/>
                <w:u w:val="none"/>
              </w:rPr>
              <w:t>determinations</w:t>
            </w:r>
          </w:p>
          <w:p w14:paraId="20D36F6A" w14:textId="6E1DDBD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effect of judicial findings on rating activity</w:t>
            </w:r>
            <w:r w:rsidR="00E1462B" w:rsidRPr="00A81030">
              <w:rPr>
                <w:color w:val="auto"/>
              </w:rPr>
              <w:t xml:space="preserve"> decisions related to competency</w:t>
            </w:r>
          </w:p>
          <w:p w14:paraId="6A65F4BF" w14:textId="42C884C1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presuming competency</w:t>
            </w:r>
          </w:p>
          <w:p w14:paraId="646B28EA" w14:textId="351A83DB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making a finding of incompetency, and</w:t>
            </w:r>
          </w:p>
          <w:p w14:paraId="7E0D7790" w14:textId="7BE457F5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considering the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>s Service Center Manager’s (VSCM’s) opinion</w:t>
            </w:r>
            <w:r w:rsidR="00511042" w:rsidRPr="00A81030">
              <w:rPr>
                <w:rStyle w:val="Hyperlink"/>
                <w:color w:val="auto"/>
              </w:rPr>
              <w:t xml:space="preserve"> </w:t>
            </w:r>
            <w:r w:rsidR="00511042" w:rsidRPr="00A81030">
              <w:rPr>
                <w:rStyle w:val="Hyperlink"/>
                <w:color w:val="auto"/>
                <w:u w:val="none"/>
              </w:rPr>
              <w:t>regarding competency</w:t>
            </w:r>
            <w:r w:rsidRPr="00A81030">
              <w:rPr>
                <w:color w:val="auto"/>
              </w:rPr>
              <w:t>.</w:t>
            </w:r>
          </w:p>
        </w:tc>
      </w:tr>
    </w:tbl>
    <w:p w14:paraId="4C68FD70" w14:textId="77777777" w:rsidR="00E82303" w:rsidRPr="00A81030" w:rsidRDefault="00E82303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6D1B6B48" w14:textId="77777777">
        <w:trPr>
          <w:cantSplit/>
        </w:trPr>
        <w:tc>
          <w:tcPr>
            <w:tcW w:w="1728" w:type="dxa"/>
          </w:tcPr>
          <w:p w14:paraId="72CF9E7B" w14:textId="31A68643" w:rsidR="00E82303" w:rsidRPr="00A81030" w:rsidRDefault="00EC7F07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Change Date</w:t>
            </w:r>
          </w:p>
        </w:tc>
        <w:tc>
          <w:tcPr>
            <w:tcW w:w="7740" w:type="dxa"/>
          </w:tcPr>
          <w:p w14:paraId="21FFCAFF" w14:textId="38A74824" w:rsidR="00E82303" w:rsidRPr="00A81030" w:rsidRDefault="00BA4384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August 27, 2015</w:t>
            </w:r>
          </w:p>
        </w:tc>
      </w:tr>
    </w:tbl>
    <w:p w14:paraId="4FEF9068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INFOTYPE="PRINCIPLE"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25BDAC4A" w14:textId="77777777">
        <w:trPr>
          <w:cantSplit/>
        </w:trPr>
        <w:tc>
          <w:tcPr>
            <w:tcW w:w="1728" w:type="dxa"/>
          </w:tcPr>
          <w:p w14:paraId="3483CB29" w14:textId="13976EA9" w:rsidR="00E82303" w:rsidRPr="00A81030" w:rsidRDefault="005A04E8" w:rsidP="00961C42">
            <w:pPr>
              <w:pStyle w:val="Heading5"/>
              <w:rPr>
                <w:color w:val="auto"/>
              </w:rPr>
            </w:pPr>
            <w:bookmarkStart w:id="1" w:name="_a.__Who"/>
            <w:bookmarkEnd w:id="1"/>
            <w:r w:rsidRPr="00A81030">
              <w:rPr>
                <w:color w:val="auto"/>
              </w:rPr>
              <w:t>a.  Jurisdiction for Competency Determinations</w:t>
            </w:r>
          </w:p>
        </w:tc>
        <w:tc>
          <w:tcPr>
            <w:tcW w:w="7740" w:type="dxa"/>
          </w:tcPr>
          <w:p w14:paraId="03F1A6D9" w14:textId="17AF5C36" w:rsidR="003D6964" w:rsidRPr="00A81030" w:rsidRDefault="008F0208" w:rsidP="00A35E81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  <w:r w:rsidRPr="00A81030">
              <w:rPr>
                <w:color w:val="auto"/>
              </w:rPr>
              <w:t>Jurisdiction on competency</w:t>
            </w:r>
            <w:r w:rsidR="00F14F50" w:rsidRPr="00A81030">
              <w:rPr>
                <w:color w:val="auto"/>
              </w:rPr>
              <w:t xml:space="preserve"> determinations</w:t>
            </w:r>
            <w:r w:rsidRPr="00A81030">
              <w:rPr>
                <w:color w:val="auto"/>
              </w:rPr>
              <w:t xml:space="preserve"> </w:t>
            </w:r>
            <w:r w:rsidR="00937F69" w:rsidRPr="00A81030">
              <w:rPr>
                <w:color w:val="auto"/>
              </w:rPr>
              <w:t>for Department of Veterans Affai</w:t>
            </w:r>
            <w:r w:rsidR="00F14F50" w:rsidRPr="00A81030">
              <w:rPr>
                <w:color w:val="auto"/>
              </w:rPr>
              <w:t>r</w:t>
            </w:r>
            <w:r w:rsidR="00937F69" w:rsidRPr="00A81030">
              <w:rPr>
                <w:color w:val="auto"/>
              </w:rPr>
              <w:t xml:space="preserve">s (VA) purposes </w:t>
            </w:r>
            <w:r w:rsidR="003D6964" w:rsidRPr="00A81030">
              <w:rPr>
                <w:color w:val="auto"/>
              </w:rPr>
              <w:t xml:space="preserve">is dependent </w:t>
            </w:r>
            <w:r w:rsidRPr="00A81030">
              <w:rPr>
                <w:color w:val="auto"/>
              </w:rPr>
              <w:t xml:space="preserve">on the stage of the process the decision is in.  </w:t>
            </w:r>
          </w:p>
          <w:p w14:paraId="0DD6F714" w14:textId="77777777" w:rsidR="003D6964" w:rsidRPr="00A81030" w:rsidRDefault="003D6964" w:rsidP="00A35E81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color w:val="auto"/>
              </w:rPr>
            </w:pPr>
          </w:p>
          <w:p w14:paraId="164FA14A" w14:textId="77777777" w:rsidR="0008043B" w:rsidRPr="00A81030" w:rsidRDefault="00FF01C1" w:rsidP="00A35E81">
            <w:pPr>
              <w:pStyle w:val="BlockText"/>
              <w:ind w:left="173" w:hanging="173"/>
              <w:rPr>
                <w:color w:val="auto"/>
              </w:rPr>
            </w:pPr>
            <w:r w:rsidRPr="00A81030">
              <w:rPr>
                <w:color w:val="auto"/>
              </w:rPr>
              <w:t>Use the</w:t>
            </w:r>
            <w:r w:rsidR="003D6964" w:rsidRPr="00A81030">
              <w:rPr>
                <w:color w:val="auto"/>
              </w:rPr>
              <w:t xml:space="preserve"> table</w:t>
            </w:r>
            <w:r w:rsidRPr="00A81030">
              <w:rPr>
                <w:color w:val="auto"/>
              </w:rPr>
              <w:t xml:space="preserve"> below</w:t>
            </w:r>
            <w:r w:rsidR="003D6964" w:rsidRPr="00A81030">
              <w:rPr>
                <w:color w:val="auto"/>
              </w:rPr>
              <w:t xml:space="preserve"> </w:t>
            </w:r>
            <w:r w:rsidR="00011C91" w:rsidRPr="00A81030">
              <w:rPr>
                <w:color w:val="auto"/>
              </w:rPr>
              <w:t>to determine</w:t>
            </w:r>
            <w:r w:rsidR="003D6964" w:rsidRPr="00A81030">
              <w:rPr>
                <w:color w:val="auto"/>
              </w:rPr>
              <w:t xml:space="preserve"> jurisdiction of the competency</w:t>
            </w:r>
            <w:r w:rsidR="0008043B" w:rsidRPr="00A81030">
              <w:rPr>
                <w:color w:val="auto"/>
              </w:rPr>
              <w:t xml:space="preserve"> </w:t>
            </w:r>
          </w:p>
          <w:p w14:paraId="3ECEFC9B" w14:textId="34205308" w:rsidR="00E82303" w:rsidRPr="00A81030" w:rsidRDefault="003D6964" w:rsidP="004A74F1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  <w:r w:rsidRPr="00A81030">
              <w:rPr>
                <w:color w:val="auto"/>
              </w:rPr>
              <w:t xml:space="preserve">determination.  </w:t>
            </w:r>
          </w:p>
        </w:tc>
      </w:tr>
    </w:tbl>
    <w:p w14:paraId="5CAF6AD5" w14:textId="07EB4544" w:rsidR="008F0208" w:rsidRPr="00A81030" w:rsidRDefault="008F0208" w:rsidP="008F0208">
      <w:pPr>
        <w:rPr>
          <w:color w:val="auto"/>
        </w:rPr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E02F6" w:rsidRPr="00A81030" w14:paraId="2C5419E5" w14:textId="77777777" w:rsidTr="00A35E81">
        <w:tc>
          <w:tcPr>
            <w:tcW w:w="3870" w:type="dxa"/>
          </w:tcPr>
          <w:p w14:paraId="08773707" w14:textId="18234FF4" w:rsidR="008F0208" w:rsidRPr="00A81030" w:rsidRDefault="008F0208" w:rsidP="008F0208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If ...</w:t>
            </w:r>
          </w:p>
        </w:tc>
        <w:tc>
          <w:tcPr>
            <w:tcW w:w="3780" w:type="dxa"/>
          </w:tcPr>
          <w:p w14:paraId="6086BED7" w14:textId="64AEE193" w:rsidR="008F0208" w:rsidRPr="00A81030" w:rsidRDefault="008F0208" w:rsidP="008F0208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Then ...</w:t>
            </w:r>
          </w:p>
        </w:tc>
      </w:tr>
      <w:tr w:rsidR="003E02F6" w:rsidRPr="00A81030" w14:paraId="50BCE899" w14:textId="77777777" w:rsidTr="00A35E81">
        <w:tc>
          <w:tcPr>
            <w:tcW w:w="3870" w:type="dxa"/>
          </w:tcPr>
          <w:p w14:paraId="7A43DF46" w14:textId="3D715298" w:rsidR="00961C42" w:rsidRPr="00A81030" w:rsidRDefault="008F0208" w:rsidP="00185F9E">
            <w:pPr>
              <w:pStyle w:val="ListParagraph"/>
              <w:numPr>
                <w:ilvl w:val="0"/>
                <w:numId w:val="25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an initial competency</w:t>
            </w:r>
            <w:r w:rsidR="00F14F50" w:rsidRPr="00A81030">
              <w:rPr>
                <w:color w:val="auto"/>
              </w:rPr>
              <w:t xml:space="preserve"> determination</w:t>
            </w:r>
            <w:r w:rsidRPr="00A81030">
              <w:rPr>
                <w:color w:val="auto"/>
              </w:rPr>
              <w:t xml:space="preserve"> is needed</w:t>
            </w:r>
            <w:r w:rsidR="00961C42" w:rsidRPr="00A81030">
              <w:rPr>
                <w:color w:val="auto"/>
              </w:rPr>
              <w:t>,</w:t>
            </w:r>
            <w:r w:rsidR="00D962C9" w:rsidRPr="00A81030">
              <w:rPr>
                <w:color w:val="auto"/>
              </w:rPr>
              <w:t xml:space="preserve"> </w:t>
            </w:r>
            <w:r w:rsidR="00961C42" w:rsidRPr="00A81030">
              <w:rPr>
                <w:color w:val="auto"/>
              </w:rPr>
              <w:t>and</w:t>
            </w:r>
          </w:p>
          <w:p w14:paraId="31722D3A" w14:textId="18D96F1A" w:rsidR="008F0208" w:rsidRPr="00A81030" w:rsidRDefault="00D962C9" w:rsidP="00185F9E">
            <w:pPr>
              <w:pStyle w:val="ListParagraph"/>
              <w:numPr>
                <w:ilvl w:val="0"/>
                <w:numId w:val="25"/>
              </w:numPr>
              <w:ind w:left="158" w:hanging="187"/>
              <w:rPr>
                <w:color w:val="auto"/>
              </w:rPr>
            </w:pPr>
            <w:r w:rsidRPr="00A81030">
              <w:rPr>
                <w:i/>
                <w:color w:val="auto"/>
              </w:rPr>
              <w:t>no</w:t>
            </w:r>
            <w:r w:rsidRPr="00A81030">
              <w:rPr>
                <w:color w:val="auto"/>
              </w:rPr>
              <w:t xml:space="preserve"> court decree of incompetency or court appointment of a fiduciary by reason of incompetency has been received</w:t>
            </w:r>
          </w:p>
        </w:tc>
        <w:tc>
          <w:tcPr>
            <w:tcW w:w="3780" w:type="dxa"/>
          </w:tcPr>
          <w:p w14:paraId="043DC50B" w14:textId="299C272C" w:rsidR="00D962C9" w:rsidRPr="00A81030" w:rsidRDefault="008F0208" w:rsidP="004E0EB6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the rating </w:t>
            </w:r>
            <w:r w:rsidR="00FD7E51" w:rsidRPr="00A81030">
              <w:rPr>
                <w:color w:val="auto"/>
              </w:rPr>
              <w:t xml:space="preserve">activity at the original </w:t>
            </w:r>
            <w:r w:rsidR="004E0EB6" w:rsidRPr="00A81030">
              <w:rPr>
                <w:color w:val="auto"/>
              </w:rPr>
              <w:t xml:space="preserve">station of origination </w:t>
            </w:r>
            <w:r w:rsidR="008C4A3A" w:rsidRPr="00A81030">
              <w:rPr>
                <w:color w:val="auto"/>
              </w:rPr>
              <w:t>(</w:t>
            </w:r>
            <w:r w:rsidR="004E0EB6" w:rsidRPr="00A81030">
              <w:rPr>
                <w:color w:val="auto"/>
              </w:rPr>
              <w:t>SOO</w:t>
            </w:r>
            <w:r w:rsidR="008C4A3A" w:rsidRPr="00A81030">
              <w:rPr>
                <w:color w:val="auto"/>
              </w:rPr>
              <w:t>)</w:t>
            </w:r>
            <w:r w:rsidRPr="00A81030">
              <w:rPr>
                <w:color w:val="auto"/>
              </w:rPr>
              <w:t xml:space="preserve"> has sole authority to make the original </w:t>
            </w:r>
            <w:r w:rsidR="00961C42" w:rsidRPr="00A81030">
              <w:rPr>
                <w:color w:val="auto"/>
              </w:rPr>
              <w:t xml:space="preserve">competency </w:t>
            </w:r>
            <w:r w:rsidRPr="00A81030">
              <w:rPr>
                <w:color w:val="auto"/>
              </w:rPr>
              <w:t>determination.</w:t>
            </w:r>
          </w:p>
        </w:tc>
      </w:tr>
      <w:tr w:rsidR="003E02F6" w:rsidRPr="00A81030" w14:paraId="7DA23123" w14:textId="77777777" w:rsidTr="008F0208">
        <w:tc>
          <w:tcPr>
            <w:tcW w:w="3870" w:type="dxa"/>
          </w:tcPr>
          <w:p w14:paraId="7A6D679C" w14:textId="7B99394B" w:rsidR="00961C42" w:rsidRPr="00A81030" w:rsidRDefault="00D962C9" w:rsidP="00185F9E">
            <w:pPr>
              <w:pStyle w:val="ListParagraph"/>
              <w:numPr>
                <w:ilvl w:val="0"/>
                <w:numId w:val="26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an initial </w:t>
            </w:r>
            <w:r w:rsidR="00113235" w:rsidRPr="00A81030">
              <w:rPr>
                <w:color w:val="auto"/>
              </w:rPr>
              <w:t xml:space="preserve">competency </w:t>
            </w:r>
            <w:r w:rsidRPr="00A81030">
              <w:rPr>
                <w:color w:val="auto"/>
              </w:rPr>
              <w:t>determination is needed</w:t>
            </w:r>
            <w:r w:rsidR="00961C42" w:rsidRPr="00A81030">
              <w:rPr>
                <w:color w:val="auto"/>
              </w:rPr>
              <w:t>,</w:t>
            </w:r>
            <w:r w:rsidRPr="00A81030">
              <w:rPr>
                <w:color w:val="auto"/>
              </w:rPr>
              <w:t xml:space="preserve"> and </w:t>
            </w:r>
          </w:p>
          <w:p w14:paraId="5CDE6E2A" w14:textId="19123F18" w:rsidR="00D962C9" w:rsidRPr="00A81030" w:rsidRDefault="00961C42" w:rsidP="00185F9E">
            <w:pPr>
              <w:pStyle w:val="ListParagraph"/>
              <w:numPr>
                <w:ilvl w:val="0"/>
                <w:numId w:val="26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either </w:t>
            </w:r>
            <w:r w:rsidR="00D962C9" w:rsidRPr="00A81030">
              <w:rPr>
                <w:color w:val="auto"/>
              </w:rPr>
              <w:t>a court decree of incompetency or court appointment of a fiduciary by reason of incompetency has been received</w:t>
            </w:r>
          </w:p>
        </w:tc>
        <w:tc>
          <w:tcPr>
            <w:tcW w:w="3780" w:type="dxa"/>
          </w:tcPr>
          <w:p w14:paraId="71996139" w14:textId="7CF0365C" w:rsidR="00D962C9" w:rsidRPr="00A81030" w:rsidRDefault="00403CB4" w:rsidP="00FD7E51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a proposal of incompetency/due process is not required per </w:t>
            </w:r>
            <w:hyperlink r:id="rId13" w:history="1">
              <w:r w:rsidRPr="00A81030">
                <w:rPr>
                  <w:rStyle w:val="Hyperlink"/>
                  <w:color w:val="000099"/>
                </w:rPr>
                <w:t>38 CFR 3.353(e)</w:t>
              </w:r>
            </w:hyperlink>
            <w:r w:rsidRPr="00A81030">
              <w:rPr>
                <w:color w:val="auto"/>
              </w:rPr>
              <w:t>.  T</w:t>
            </w:r>
            <w:r w:rsidR="00D962C9" w:rsidRPr="00A81030">
              <w:rPr>
                <w:color w:val="auto"/>
              </w:rPr>
              <w:t xml:space="preserve">he </w:t>
            </w:r>
            <w:r w:rsidRPr="00A81030">
              <w:rPr>
                <w:color w:val="auto"/>
              </w:rPr>
              <w:t>claims folder may be referred directly to the fiduciary hub for appointment of a fiduciary.</w:t>
            </w:r>
          </w:p>
          <w:p w14:paraId="1AC42B36" w14:textId="77777777" w:rsidR="00D962C9" w:rsidRPr="00A81030" w:rsidRDefault="00D962C9" w:rsidP="00FD7E51">
            <w:pPr>
              <w:rPr>
                <w:color w:val="auto"/>
              </w:rPr>
            </w:pPr>
          </w:p>
          <w:p w14:paraId="5C352390" w14:textId="5D9F67E8" w:rsidR="00D962C9" w:rsidRPr="00A81030" w:rsidRDefault="00D962C9" w:rsidP="00673524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Pr="00A81030">
              <w:rPr>
                <w:color w:val="auto"/>
              </w:rPr>
              <w:t>:</w:t>
            </w:r>
            <w:r w:rsidRPr="00A81030">
              <w:rPr>
                <w:b/>
                <w:color w:val="auto"/>
              </w:rPr>
              <w:t xml:space="preserve">  </w:t>
            </w:r>
            <w:r w:rsidRPr="00A81030">
              <w:rPr>
                <w:color w:val="auto"/>
              </w:rPr>
              <w:t>For more information</w:t>
            </w:r>
            <w:r w:rsidR="00113235" w:rsidRPr="00A81030">
              <w:rPr>
                <w:color w:val="auto"/>
              </w:rPr>
              <w:t xml:space="preserve"> on</w:t>
            </w:r>
            <w:r w:rsidRPr="00A81030">
              <w:rPr>
                <w:color w:val="auto"/>
              </w:rPr>
              <w:t xml:space="preserve"> referral of court documents to the fiduciary hub, see M21-1, Part III, Subpart iv, 8.A.</w:t>
            </w:r>
            <w:r w:rsidR="00673524" w:rsidRPr="00A81030">
              <w:rPr>
                <w:color w:val="auto"/>
              </w:rPr>
              <w:t>5</w:t>
            </w:r>
            <w:r w:rsidRPr="00A81030">
              <w:rPr>
                <w:color w:val="auto"/>
              </w:rPr>
              <w:t>.</w:t>
            </w:r>
          </w:p>
        </w:tc>
      </w:tr>
      <w:tr w:rsidR="003E02F6" w:rsidRPr="00A81030" w14:paraId="1C5382E6" w14:textId="77777777" w:rsidTr="00A35E81">
        <w:tc>
          <w:tcPr>
            <w:tcW w:w="3870" w:type="dxa"/>
          </w:tcPr>
          <w:p w14:paraId="0F1D4613" w14:textId="77777777" w:rsidR="00961C42" w:rsidRPr="00A81030" w:rsidRDefault="008F0208" w:rsidP="00185F9E">
            <w:pPr>
              <w:pStyle w:val="ListParagraph"/>
              <w:numPr>
                <w:ilvl w:val="0"/>
                <w:numId w:val="27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a finding of incompetency has been proposed</w:t>
            </w:r>
            <w:r w:rsidR="00961C42" w:rsidRPr="00A81030">
              <w:rPr>
                <w:color w:val="auto"/>
              </w:rPr>
              <w:t>,</w:t>
            </w:r>
            <w:r w:rsidRPr="00A81030">
              <w:rPr>
                <w:color w:val="auto"/>
              </w:rPr>
              <w:t xml:space="preserve"> and </w:t>
            </w:r>
          </w:p>
          <w:p w14:paraId="7A3418DC" w14:textId="0A9F33D0" w:rsidR="008F0208" w:rsidRPr="00A81030" w:rsidRDefault="008F0208" w:rsidP="00185F9E">
            <w:pPr>
              <w:pStyle w:val="ListParagraph"/>
              <w:numPr>
                <w:ilvl w:val="0"/>
                <w:numId w:val="27"/>
              </w:numPr>
              <w:ind w:left="158" w:hanging="187"/>
              <w:rPr>
                <w:color w:val="auto"/>
              </w:rPr>
            </w:pPr>
            <w:r w:rsidRPr="00A81030">
              <w:rPr>
                <w:i/>
                <w:color w:val="auto"/>
              </w:rPr>
              <w:t>no</w:t>
            </w:r>
            <w:r w:rsidRPr="00A81030">
              <w:rPr>
                <w:color w:val="auto"/>
              </w:rPr>
              <w:t xml:space="preserve"> additional medical evidence </w:t>
            </w:r>
            <w:r w:rsidR="00911620" w:rsidRPr="00A81030">
              <w:rPr>
                <w:color w:val="auto"/>
              </w:rPr>
              <w:t xml:space="preserve">or </w:t>
            </w:r>
            <w:r w:rsidRPr="00A81030">
              <w:rPr>
                <w:color w:val="auto"/>
              </w:rPr>
              <w:t>request for</w:t>
            </w:r>
            <w:r w:rsidR="000138DB" w:rsidRPr="00A81030">
              <w:rPr>
                <w:color w:val="auto"/>
              </w:rPr>
              <w:t xml:space="preserve"> a</w:t>
            </w:r>
            <w:r w:rsidRPr="00A81030">
              <w:rPr>
                <w:color w:val="auto"/>
              </w:rPr>
              <w:t xml:space="preserve"> hearing ha</w:t>
            </w:r>
            <w:r w:rsidR="00143F7D" w:rsidRPr="00A81030">
              <w:rPr>
                <w:color w:val="auto"/>
              </w:rPr>
              <w:t>s</w:t>
            </w:r>
            <w:r w:rsidRPr="00A81030">
              <w:rPr>
                <w:color w:val="auto"/>
              </w:rPr>
              <w:t xml:space="preserve"> been received</w:t>
            </w:r>
          </w:p>
        </w:tc>
        <w:tc>
          <w:tcPr>
            <w:tcW w:w="3780" w:type="dxa"/>
          </w:tcPr>
          <w:p w14:paraId="26CA607A" w14:textId="77777777" w:rsidR="00961C42" w:rsidRPr="00A81030" w:rsidRDefault="008F0208" w:rsidP="00D962C9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the </w:t>
            </w:r>
            <w:r w:rsidR="00030B46" w:rsidRPr="00A81030">
              <w:rPr>
                <w:color w:val="auto"/>
              </w:rPr>
              <w:t>Fiduciary Service Representative (</w:t>
            </w:r>
            <w:r w:rsidR="00D962C9" w:rsidRPr="00A81030">
              <w:rPr>
                <w:color w:val="auto"/>
              </w:rPr>
              <w:t>FSR</w:t>
            </w:r>
            <w:r w:rsidR="00030B46" w:rsidRPr="00A81030">
              <w:rPr>
                <w:color w:val="auto"/>
              </w:rPr>
              <w:t>)</w:t>
            </w:r>
            <w:r w:rsidRPr="00A81030">
              <w:rPr>
                <w:color w:val="auto"/>
              </w:rPr>
              <w:t xml:space="preserve"> has the authority to </w:t>
            </w:r>
            <w:r w:rsidR="00403CB4" w:rsidRPr="00A81030">
              <w:rPr>
                <w:color w:val="auto"/>
              </w:rPr>
              <w:t>finalize the</w:t>
            </w:r>
            <w:r w:rsidRPr="00A81030">
              <w:rPr>
                <w:color w:val="auto"/>
              </w:rPr>
              <w:t xml:space="preserve"> competency determination.</w:t>
            </w:r>
            <w:r w:rsidR="00911620" w:rsidRPr="00A81030">
              <w:rPr>
                <w:color w:val="auto"/>
              </w:rPr>
              <w:t xml:space="preserve">  </w:t>
            </w:r>
          </w:p>
          <w:p w14:paraId="0D45C958" w14:textId="77777777" w:rsidR="00961C42" w:rsidRPr="00A81030" w:rsidRDefault="00961C42" w:rsidP="00D962C9">
            <w:pPr>
              <w:rPr>
                <w:color w:val="auto"/>
              </w:rPr>
            </w:pPr>
          </w:p>
          <w:p w14:paraId="3BAAA39D" w14:textId="18935961" w:rsidR="008F0208" w:rsidRPr="00A81030" w:rsidRDefault="00961C42" w:rsidP="00260D79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Important</w:t>
            </w:r>
            <w:r w:rsidRPr="00A81030">
              <w:rPr>
                <w:color w:val="auto"/>
              </w:rPr>
              <w:t xml:space="preserve">: </w:t>
            </w:r>
            <w:r w:rsidR="00911620" w:rsidRPr="00A81030">
              <w:rPr>
                <w:color w:val="auto"/>
              </w:rPr>
              <w:t xml:space="preserve">The FSR does </w:t>
            </w:r>
            <w:r w:rsidR="00911620" w:rsidRPr="00A81030">
              <w:rPr>
                <w:i/>
                <w:color w:val="auto"/>
              </w:rPr>
              <w:t>not</w:t>
            </w:r>
            <w:r w:rsidR="00911620" w:rsidRPr="00A81030">
              <w:rPr>
                <w:color w:val="auto"/>
              </w:rPr>
              <w:t xml:space="preserve"> have the authority to overturn the proposed competency decision.</w:t>
            </w:r>
          </w:p>
        </w:tc>
      </w:tr>
      <w:tr w:rsidR="003E02F6" w:rsidRPr="00A81030" w14:paraId="449E7A33" w14:textId="77777777" w:rsidTr="00A35E81">
        <w:tc>
          <w:tcPr>
            <w:tcW w:w="3870" w:type="dxa"/>
          </w:tcPr>
          <w:p w14:paraId="789007EC" w14:textId="77777777" w:rsidR="00143F7D" w:rsidRPr="00A81030" w:rsidRDefault="008F0208" w:rsidP="00185F9E">
            <w:pPr>
              <w:pStyle w:val="ListParagraph"/>
              <w:numPr>
                <w:ilvl w:val="0"/>
                <w:numId w:val="28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a finding of incompetency has been proposed</w:t>
            </w:r>
            <w:r w:rsidR="00143F7D" w:rsidRPr="00A81030">
              <w:rPr>
                <w:color w:val="auto"/>
              </w:rPr>
              <w:t>,</w:t>
            </w:r>
            <w:r w:rsidRPr="00A81030">
              <w:rPr>
                <w:color w:val="auto"/>
              </w:rPr>
              <w:t xml:space="preserve"> and </w:t>
            </w:r>
          </w:p>
          <w:p w14:paraId="4AD16242" w14:textId="67D89529" w:rsidR="008F0208" w:rsidRPr="00A81030" w:rsidRDefault="00143F7D" w:rsidP="00185F9E">
            <w:pPr>
              <w:pStyle w:val="ListParagraph"/>
              <w:numPr>
                <w:ilvl w:val="0"/>
                <w:numId w:val="28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either </w:t>
            </w:r>
            <w:r w:rsidR="008F0208" w:rsidRPr="00A81030">
              <w:rPr>
                <w:color w:val="auto"/>
              </w:rPr>
              <w:t xml:space="preserve">additional medical evidence </w:t>
            </w:r>
            <w:r w:rsidR="008F0208" w:rsidRPr="00A81030">
              <w:rPr>
                <w:i/>
                <w:color w:val="auto"/>
              </w:rPr>
              <w:t xml:space="preserve">or </w:t>
            </w:r>
            <w:r w:rsidR="008F0208" w:rsidRPr="00A81030">
              <w:rPr>
                <w:color w:val="auto"/>
              </w:rPr>
              <w:t>a request for</w:t>
            </w:r>
            <w:r w:rsidR="000138DB" w:rsidRPr="00A81030">
              <w:rPr>
                <w:color w:val="auto"/>
              </w:rPr>
              <w:t xml:space="preserve"> a</w:t>
            </w:r>
            <w:r w:rsidR="008F0208" w:rsidRPr="00A81030">
              <w:rPr>
                <w:color w:val="auto"/>
              </w:rPr>
              <w:t xml:space="preserve"> hearing has been received</w:t>
            </w:r>
          </w:p>
        </w:tc>
        <w:tc>
          <w:tcPr>
            <w:tcW w:w="3780" w:type="dxa"/>
          </w:tcPr>
          <w:p w14:paraId="5DB35A5D" w14:textId="27B4AF4E" w:rsidR="008F0208" w:rsidRPr="00A81030" w:rsidRDefault="008F0208" w:rsidP="008F0208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the rating activity </w:t>
            </w:r>
            <w:r w:rsidR="00A92573" w:rsidRPr="00A81030">
              <w:rPr>
                <w:color w:val="auto"/>
              </w:rPr>
              <w:t>co</w:t>
            </w:r>
            <w:r w:rsidR="00751CAC" w:rsidRPr="00A81030">
              <w:rPr>
                <w:color w:val="auto"/>
              </w:rPr>
              <w:t>-</w:t>
            </w:r>
            <w:r w:rsidR="00FD7E51" w:rsidRPr="00A81030">
              <w:rPr>
                <w:color w:val="auto"/>
              </w:rPr>
              <w:t xml:space="preserve">located with the fiduciary hub </w:t>
            </w:r>
            <w:r w:rsidRPr="00A81030">
              <w:rPr>
                <w:color w:val="auto"/>
              </w:rPr>
              <w:t>has the authority to make the final competency determination.</w:t>
            </w:r>
          </w:p>
        </w:tc>
      </w:tr>
      <w:tr w:rsidR="003E02F6" w:rsidRPr="00A81030" w14:paraId="42C968CD" w14:textId="77777777" w:rsidTr="008F0208">
        <w:tc>
          <w:tcPr>
            <w:tcW w:w="3870" w:type="dxa"/>
          </w:tcPr>
          <w:p w14:paraId="19DE536B" w14:textId="0132E9B8" w:rsidR="00511042" w:rsidRPr="00A81030" w:rsidRDefault="00511042" w:rsidP="00185F9E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A81030">
              <w:t>an appeal is received regarding a competency determination</w:t>
            </w:r>
            <w:r w:rsidR="00FE2CCD" w:rsidRPr="00A81030">
              <w:t>, and</w:t>
            </w:r>
          </w:p>
          <w:p w14:paraId="2128C630" w14:textId="1BBA05B8" w:rsidR="00FE2CCD" w:rsidRPr="00A81030" w:rsidRDefault="00FE2CCD" w:rsidP="00185F9E">
            <w:pPr>
              <w:pStyle w:val="ListParagraph"/>
              <w:numPr>
                <w:ilvl w:val="0"/>
                <w:numId w:val="38"/>
              </w:numPr>
              <w:ind w:left="158" w:hanging="187"/>
              <w:rPr>
                <w:color w:val="auto"/>
              </w:rPr>
            </w:pPr>
            <w:r w:rsidRPr="00A81030">
              <w:t>the competency determination was completed by the fiduciary hub</w:t>
            </w:r>
          </w:p>
        </w:tc>
        <w:tc>
          <w:tcPr>
            <w:tcW w:w="3780" w:type="dxa"/>
          </w:tcPr>
          <w:p w14:paraId="3447D52A" w14:textId="5DA31787" w:rsidR="00C6333B" w:rsidRPr="00A81030" w:rsidRDefault="00143F7D" w:rsidP="00B34D53">
            <w:pPr>
              <w:rPr>
                <w:color w:val="auto"/>
              </w:rPr>
            </w:pPr>
            <w:r w:rsidRPr="00A81030">
              <w:rPr>
                <w:color w:val="auto"/>
              </w:rPr>
              <w:t>t</w:t>
            </w:r>
            <w:r w:rsidR="00C6333B" w:rsidRPr="00A81030">
              <w:rPr>
                <w:color w:val="auto"/>
              </w:rPr>
              <w:t>he</w:t>
            </w:r>
            <w:r w:rsidR="00145076" w:rsidRPr="00A81030">
              <w:rPr>
                <w:color w:val="auto"/>
              </w:rPr>
              <w:t xml:space="preserve"> Veterans Service Center</w:t>
            </w:r>
            <w:r w:rsidR="00C6333B" w:rsidRPr="00A81030">
              <w:rPr>
                <w:color w:val="auto"/>
              </w:rPr>
              <w:t xml:space="preserve"> </w:t>
            </w:r>
            <w:r w:rsidR="00145076" w:rsidRPr="00A81030">
              <w:rPr>
                <w:color w:val="auto"/>
              </w:rPr>
              <w:t>(</w:t>
            </w:r>
            <w:r w:rsidR="00C6333B" w:rsidRPr="00A81030">
              <w:rPr>
                <w:color w:val="auto"/>
              </w:rPr>
              <w:t>VSC</w:t>
            </w:r>
            <w:r w:rsidR="00145076" w:rsidRPr="00A81030">
              <w:rPr>
                <w:color w:val="auto"/>
              </w:rPr>
              <w:t>)</w:t>
            </w:r>
            <w:r w:rsidR="00C6333B" w:rsidRPr="00A81030">
              <w:rPr>
                <w:color w:val="auto"/>
              </w:rPr>
              <w:t xml:space="preserve"> co-</w:t>
            </w:r>
            <w:r w:rsidR="00511042" w:rsidRPr="00A81030">
              <w:rPr>
                <w:color w:val="auto"/>
              </w:rPr>
              <w:t xml:space="preserve">located with the </w:t>
            </w:r>
            <w:r w:rsidR="00FD7E51" w:rsidRPr="00A81030">
              <w:rPr>
                <w:color w:val="auto"/>
              </w:rPr>
              <w:t xml:space="preserve">fiduciary hub </w:t>
            </w:r>
            <w:r w:rsidR="00B34D53" w:rsidRPr="00A81030">
              <w:rPr>
                <w:color w:val="auto"/>
              </w:rPr>
              <w:t>has</w:t>
            </w:r>
            <w:r w:rsidR="00FD7E51" w:rsidRPr="00A81030">
              <w:rPr>
                <w:color w:val="auto"/>
              </w:rPr>
              <w:t xml:space="preserve"> jurisdiction over the appeal.</w:t>
            </w:r>
          </w:p>
        </w:tc>
      </w:tr>
      <w:tr w:rsidR="00C6333B" w:rsidRPr="00A81030" w14:paraId="5C54325C" w14:textId="77777777" w:rsidTr="008F0208">
        <w:tc>
          <w:tcPr>
            <w:tcW w:w="3870" w:type="dxa"/>
          </w:tcPr>
          <w:p w14:paraId="7DDACD09" w14:textId="77777777" w:rsidR="00FE2CCD" w:rsidRPr="00A81030" w:rsidRDefault="00FE2CCD" w:rsidP="00185F9E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A81030">
              <w:t>an appeal is received regarding a competency determination, and</w:t>
            </w:r>
          </w:p>
          <w:p w14:paraId="44DD8829" w14:textId="5529195A" w:rsidR="00C6333B" w:rsidRPr="00A81030" w:rsidRDefault="00FE2CCD" w:rsidP="00185F9E">
            <w:pPr>
              <w:pStyle w:val="ListParagraph"/>
              <w:numPr>
                <w:ilvl w:val="0"/>
                <w:numId w:val="39"/>
              </w:numPr>
              <w:ind w:left="158" w:hanging="187"/>
              <w:rPr>
                <w:color w:val="auto"/>
              </w:rPr>
            </w:pPr>
            <w:r w:rsidRPr="00A81030">
              <w:t>the competency determination was completed by a VSC/</w:t>
            </w:r>
            <w:r w:rsidR="0052709F" w:rsidRPr="00A81030">
              <w:t>Pension Management Center (</w:t>
            </w:r>
            <w:r w:rsidRPr="00A81030">
              <w:t>PMC</w:t>
            </w:r>
            <w:r w:rsidR="0052709F" w:rsidRPr="00A81030">
              <w:t>)</w:t>
            </w:r>
          </w:p>
        </w:tc>
        <w:tc>
          <w:tcPr>
            <w:tcW w:w="3780" w:type="dxa"/>
          </w:tcPr>
          <w:p w14:paraId="01BD7593" w14:textId="258C32BC" w:rsidR="00C6333B" w:rsidRPr="00A81030" w:rsidRDefault="005D75A8" w:rsidP="00B34D53">
            <w:pPr>
              <w:rPr>
                <w:color w:val="auto"/>
              </w:rPr>
            </w:pPr>
            <w:r w:rsidRPr="00A81030">
              <w:rPr>
                <w:color w:val="auto"/>
              </w:rPr>
              <w:t>t</w:t>
            </w:r>
            <w:r w:rsidR="00FE2CCD" w:rsidRPr="00A81030">
              <w:rPr>
                <w:color w:val="auto"/>
              </w:rPr>
              <w:t>he VSC/PMC that completed the competency determination has jurisdiction over the appeal.</w:t>
            </w:r>
          </w:p>
        </w:tc>
      </w:tr>
      <w:tr w:rsidR="00FE2CCD" w:rsidRPr="00A81030" w14:paraId="6DA1FD0A" w14:textId="77777777" w:rsidTr="008F0208">
        <w:tc>
          <w:tcPr>
            <w:tcW w:w="3870" w:type="dxa"/>
          </w:tcPr>
          <w:p w14:paraId="770AC3BA" w14:textId="1B908E6F" w:rsidR="00FE2CCD" w:rsidRPr="00A81030" w:rsidRDefault="00FE2CCD" w:rsidP="008F0208">
            <w:pPr>
              <w:rPr>
                <w:color w:val="auto"/>
              </w:rPr>
            </w:pPr>
            <w:r w:rsidRPr="00A81030">
              <w:rPr>
                <w:color w:val="auto"/>
              </w:rPr>
              <w:t>an appeal is received regarding the appointment of a fiduciary</w:t>
            </w:r>
          </w:p>
        </w:tc>
        <w:tc>
          <w:tcPr>
            <w:tcW w:w="3780" w:type="dxa"/>
          </w:tcPr>
          <w:p w14:paraId="7303A370" w14:textId="13B4ECA1" w:rsidR="00FE2CCD" w:rsidRPr="00A81030" w:rsidRDefault="00FE2CCD" w:rsidP="00B34D53">
            <w:pPr>
              <w:rPr>
                <w:color w:val="auto"/>
              </w:rPr>
            </w:pPr>
            <w:r w:rsidRPr="00A81030">
              <w:rPr>
                <w:color w:val="auto"/>
              </w:rPr>
              <w:t>the fiduciary hub handles all appeals of fiduciary appointments.</w:t>
            </w:r>
          </w:p>
        </w:tc>
      </w:tr>
    </w:tbl>
    <w:p w14:paraId="1A87490D" w14:textId="47397BF7" w:rsidR="008F0208" w:rsidRPr="00A81030" w:rsidRDefault="008F0208" w:rsidP="008F0208">
      <w:pPr>
        <w:rPr>
          <w:color w:val="auto"/>
        </w:rPr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F0208" w:rsidRPr="00A81030" w14:paraId="3B7096A3" w14:textId="77777777" w:rsidTr="00A35E81">
        <w:tc>
          <w:tcPr>
            <w:tcW w:w="7740" w:type="dxa"/>
            <w:shd w:val="clear" w:color="auto" w:fill="auto"/>
          </w:tcPr>
          <w:p w14:paraId="180E540C" w14:textId="77777777" w:rsidR="0052709F" w:rsidRPr="00A81030" w:rsidRDefault="008F0208" w:rsidP="0052709F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Pr="00A81030">
              <w:rPr>
                <w:color w:val="auto"/>
              </w:rPr>
              <w:t xml:space="preserve">:  For more information </w:t>
            </w:r>
            <w:r w:rsidR="00511042" w:rsidRPr="00A81030">
              <w:rPr>
                <w:color w:val="auto"/>
              </w:rPr>
              <w:t xml:space="preserve">on </w:t>
            </w:r>
            <w:r w:rsidR="00FD7E51" w:rsidRPr="00A81030">
              <w:rPr>
                <w:color w:val="auto"/>
              </w:rPr>
              <w:t>competency determinations,</w:t>
            </w:r>
            <w:r w:rsidRPr="00A81030">
              <w:rPr>
                <w:color w:val="auto"/>
              </w:rPr>
              <w:t xml:space="preserve"> see</w:t>
            </w:r>
          </w:p>
          <w:p w14:paraId="3419B162" w14:textId="22A388B0" w:rsidR="007217D1" w:rsidRPr="00A81030" w:rsidRDefault="00A81030" w:rsidP="00185F9E">
            <w:pPr>
              <w:pStyle w:val="ListParagraph"/>
              <w:numPr>
                <w:ilvl w:val="0"/>
                <w:numId w:val="40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14" w:history="1">
              <w:r w:rsidR="007217D1" w:rsidRPr="00A81030">
                <w:rPr>
                  <w:rStyle w:val="Hyperlink"/>
                  <w:color w:val="0000CC"/>
                </w:rPr>
                <w:t>38 CFR 3.353(b)</w:t>
              </w:r>
            </w:hyperlink>
            <w:r w:rsidR="007217D1" w:rsidRPr="00A81030">
              <w:t xml:space="preserve"> , and</w:t>
            </w:r>
          </w:p>
          <w:p w14:paraId="37F1344F" w14:textId="52A1D106" w:rsidR="008F0208" w:rsidRPr="00A81030" w:rsidRDefault="008F0208" w:rsidP="007217D1">
            <w:pPr>
              <w:pStyle w:val="ListParagraph"/>
              <w:numPr>
                <w:ilvl w:val="0"/>
                <w:numId w:val="40"/>
              </w:numPr>
              <w:ind w:left="158" w:hanging="187"/>
              <w:rPr>
                <w:color w:val="auto"/>
              </w:rPr>
            </w:pPr>
            <w:r w:rsidRPr="00A81030">
              <w:t>M21-1</w:t>
            </w:r>
            <w:r w:rsidR="00D962C9" w:rsidRPr="00A81030">
              <w:t xml:space="preserve">, Part III, Subpart </w:t>
            </w:r>
            <w:proofErr w:type="gramStart"/>
            <w:r w:rsidR="0047021A" w:rsidRPr="00A81030">
              <w:t>i</w:t>
            </w:r>
            <w:r w:rsidR="00D962C9" w:rsidRPr="00A81030">
              <w:t>v</w:t>
            </w:r>
            <w:proofErr w:type="gramEnd"/>
            <w:r w:rsidR="00D962C9" w:rsidRPr="00A81030">
              <w:t>,</w:t>
            </w:r>
            <w:r w:rsidRPr="00A81030">
              <w:t xml:space="preserve"> </w:t>
            </w:r>
            <w:r w:rsidR="0047021A" w:rsidRPr="00A81030">
              <w:t>8</w:t>
            </w:r>
            <w:r w:rsidR="00A81030" w:rsidRPr="00A81030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78874E86" w14:textId="3DF5E993" w:rsidR="00E82303" w:rsidRPr="00A81030" w:rsidRDefault="00E82303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3DE8DF13" w14:textId="77777777">
        <w:trPr>
          <w:cantSplit/>
        </w:trPr>
        <w:tc>
          <w:tcPr>
            <w:tcW w:w="1728" w:type="dxa"/>
          </w:tcPr>
          <w:p w14:paraId="79DC5AFE" w14:textId="7AAF1EEA" w:rsidR="00E82303" w:rsidRPr="00A81030" w:rsidRDefault="00E82303">
            <w:pPr>
              <w:pStyle w:val="Heading5"/>
              <w:rPr>
                <w:color w:val="auto"/>
              </w:rPr>
            </w:pPr>
            <w:bookmarkStart w:id="2" w:name="_b.__Effect"/>
            <w:bookmarkEnd w:id="2"/>
            <w:r w:rsidRPr="00A81030">
              <w:rPr>
                <w:color w:val="auto"/>
              </w:rPr>
              <w:t>b.  Effect of Judicial Findings on Rating Activity</w:t>
            </w:r>
            <w:r w:rsidR="00E1462B" w:rsidRPr="00A81030">
              <w:rPr>
                <w:color w:val="auto"/>
              </w:rPr>
              <w:t xml:space="preserve"> Decisions Related to Competency</w:t>
            </w:r>
          </w:p>
        </w:tc>
        <w:tc>
          <w:tcPr>
            <w:tcW w:w="7740" w:type="dxa"/>
          </w:tcPr>
          <w:p w14:paraId="159BCD45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Judicial findings of a court with respect to competency of a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 xml:space="preserve"> are not binding on the rating activity.</w:t>
            </w:r>
          </w:p>
          <w:p w14:paraId="151E8172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4E58C0CA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However, if a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 xml:space="preserve"> is declared by a court to be incompetent, develop all necessary evidence for a rating determination.</w:t>
            </w:r>
          </w:p>
        </w:tc>
      </w:tr>
    </w:tbl>
    <w:p w14:paraId="29C29FA4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INFOTYPE="PRINCIPLE"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5B62A480" w14:textId="77777777">
        <w:trPr>
          <w:cantSplit/>
        </w:trPr>
        <w:tc>
          <w:tcPr>
            <w:tcW w:w="1728" w:type="dxa"/>
          </w:tcPr>
          <w:p w14:paraId="2A7311D9" w14:textId="77777777" w:rsidR="00E82303" w:rsidRPr="00A81030" w:rsidRDefault="00E82303">
            <w:pPr>
              <w:pStyle w:val="Heading5"/>
              <w:rPr>
                <w:color w:val="auto"/>
              </w:rPr>
            </w:pPr>
            <w:bookmarkStart w:id="3" w:name="_c.__Presuming"/>
            <w:bookmarkEnd w:id="3"/>
            <w:r w:rsidRPr="00A81030">
              <w:rPr>
                <w:color w:val="auto"/>
              </w:rPr>
              <w:t>c.  Presuming Competency</w:t>
            </w:r>
          </w:p>
        </w:tc>
        <w:tc>
          <w:tcPr>
            <w:tcW w:w="7740" w:type="dxa"/>
          </w:tcPr>
          <w:p w14:paraId="1B807F4F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In the absence of clear and convincing evidence to the contrary, presume that a person is competent.</w:t>
            </w:r>
          </w:p>
          <w:p w14:paraId="2BA0CC7F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52D1F2F6" w14:textId="0CB1DB63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Pr="00A81030">
              <w:rPr>
                <w:color w:val="auto"/>
              </w:rPr>
              <w:t xml:space="preserve">:  For more information on presuming competency, see </w:t>
            </w:r>
            <w:hyperlink r:id="rId15" w:history="1">
              <w:r w:rsidR="00AD5BBE" w:rsidRPr="00A81030">
                <w:rPr>
                  <w:rStyle w:val="Hyperlink"/>
                  <w:color w:val="0000CC"/>
                </w:rPr>
                <w:t>38 CFR</w:t>
              </w:r>
              <w:r w:rsidR="0098486A" w:rsidRPr="00A81030">
                <w:rPr>
                  <w:rStyle w:val="Hyperlink"/>
                  <w:color w:val="0000CC"/>
                </w:rPr>
                <w:t xml:space="preserve"> 3</w:t>
              </w:r>
              <w:r w:rsidRPr="00A81030">
                <w:rPr>
                  <w:rStyle w:val="Hyperlink"/>
                  <w:color w:val="0000CC"/>
                </w:rPr>
                <w:t>.353(d)</w:t>
              </w:r>
            </w:hyperlink>
            <w:r w:rsidRPr="00A81030">
              <w:rPr>
                <w:color w:val="auto"/>
              </w:rPr>
              <w:t>.</w:t>
            </w:r>
          </w:p>
        </w:tc>
      </w:tr>
    </w:tbl>
    <w:p w14:paraId="18D892A2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INFOTYPE="PRINCIPLE"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2D36BAFE" w14:textId="77777777" w:rsidTr="00B34D53">
        <w:tc>
          <w:tcPr>
            <w:tcW w:w="1728" w:type="dxa"/>
          </w:tcPr>
          <w:p w14:paraId="477E2213" w14:textId="77777777" w:rsidR="00E82303" w:rsidRPr="00A81030" w:rsidRDefault="00E82303">
            <w:pPr>
              <w:pStyle w:val="Heading5"/>
              <w:rPr>
                <w:color w:val="auto"/>
              </w:rPr>
            </w:pPr>
            <w:bookmarkStart w:id="4" w:name="_d.__Making"/>
            <w:bookmarkEnd w:id="4"/>
            <w:r w:rsidRPr="00A81030">
              <w:rPr>
                <w:color w:val="auto"/>
              </w:rPr>
              <w:t>d.  Making a Finding of Incompetency</w:t>
            </w:r>
          </w:p>
        </w:tc>
        <w:tc>
          <w:tcPr>
            <w:tcW w:w="7740" w:type="dxa"/>
          </w:tcPr>
          <w:p w14:paraId="4CEE08D8" w14:textId="1E0E8498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A finding of incompetency </w:t>
            </w:r>
            <w:r w:rsidRPr="00A81030">
              <w:rPr>
                <w:iCs/>
                <w:color w:val="auto"/>
              </w:rPr>
              <w:t>cannot</w:t>
            </w:r>
            <w:r w:rsidRPr="00A81030">
              <w:rPr>
                <w:color w:val="auto"/>
              </w:rPr>
              <w:t xml:space="preserve"> be made without a definite expression by a responsible medical authority unless the medical evidence of record is</w:t>
            </w:r>
          </w:p>
          <w:p w14:paraId="62D62D6B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4D9951BD" w14:textId="50FFFCF9" w:rsidR="00E82303" w:rsidRPr="00A81030" w:rsidRDefault="00AA78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c</w:t>
            </w:r>
            <w:r w:rsidR="00E82303" w:rsidRPr="00A81030">
              <w:rPr>
                <w:color w:val="auto"/>
              </w:rPr>
              <w:t>lear</w:t>
            </w:r>
          </w:p>
          <w:p w14:paraId="0DE1A0C5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convincing, and</w:t>
            </w:r>
          </w:p>
          <w:p w14:paraId="23E168A1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leaves no doubt as to the beneficiary’s incompetency.</w:t>
            </w:r>
          </w:p>
          <w:p w14:paraId="1977B1C5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5B48B98E" w14:textId="2C0CC6B0" w:rsidR="00A83E98" w:rsidRPr="00A81030" w:rsidRDefault="00A60E3F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Pr="00A81030">
              <w:rPr>
                <w:i/>
                <w:color w:val="auto"/>
              </w:rPr>
              <w:t>:</w:t>
            </w:r>
            <w:r w:rsidRPr="00A81030">
              <w:rPr>
                <w:b/>
                <w:i/>
                <w:color w:val="auto"/>
              </w:rPr>
              <w:t xml:space="preserve">  </w:t>
            </w:r>
            <w:r w:rsidRPr="00A81030">
              <w:rPr>
                <w:color w:val="auto"/>
              </w:rPr>
              <w:t>If competenc</w:t>
            </w:r>
            <w:r w:rsidR="00D46873" w:rsidRPr="00A81030">
              <w:rPr>
                <w:color w:val="auto"/>
              </w:rPr>
              <w:t xml:space="preserve">y of a VA beneficiary is raised </w:t>
            </w:r>
            <w:r w:rsidRPr="00A81030">
              <w:rPr>
                <w:color w:val="auto"/>
              </w:rPr>
              <w:t xml:space="preserve">without relevant medical evidence or statement from a responsible medical authority, development must be undertaken </w:t>
            </w:r>
            <w:r w:rsidR="00B43465" w:rsidRPr="00A81030">
              <w:rPr>
                <w:color w:val="auto"/>
              </w:rPr>
              <w:t xml:space="preserve">for medical evidence </w:t>
            </w:r>
            <w:r w:rsidRPr="00A81030">
              <w:rPr>
                <w:color w:val="auto"/>
              </w:rPr>
              <w:t xml:space="preserve">before the case </w:t>
            </w:r>
            <w:r w:rsidR="00EF0285" w:rsidRPr="00A81030">
              <w:rPr>
                <w:color w:val="auto"/>
              </w:rPr>
              <w:t>can be</w:t>
            </w:r>
            <w:r w:rsidRPr="00A81030">
              <w:rPr>
                <w:color w:val="auto"/>
              </w:rPr>
              <w:t xml:space="preserve"> forwarded to </w:t>
            </w:r>
            <w:r w:rsidRPr="00A81030">
              <w:rPr>
                <w:color w:val="auto"/>
              </w:rPr>
              <w:lastRenderedPageBreak/>
              <w:t>the rating activity.</w:t>
            </w:r>
          </w:p>
          <w:p w14:paraId="4D774952" w14:textId="6E0AF84D" w:rsidR="00A60E3F" w:rsidRPr="00A81030" w:rsidRDefault="00A52D27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  </w:t>
            </w:r>
          </w:p>
          <w:p w14:paraId="68C9A488" w14:textId="47802B2F" w:rsidR="00D4687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="0052709F" w:rsidRPr="00A81030">
              <w:rPr>
                <w:b/>
                <w:i/>
                <w:color w:val="auto"/>
              </w:rPr>
              <w:t>s</w:t>
            </w:r>
            <w:r w:rsidRPr="00A81030">
              <w:rPr>
                <w:color w:val="auto"/>
              </w:rPr>
              <w:t xml:space="preserve">:  For more information on </w:t>
            </w:r>
          </w:p>
          <w:p w14:paraId="55FCD92C" w14:textId="613C5491" w:rsidR="00D46873" w:rsidRPr="00A81030" w:rsidRDefault="00D46873" w:rsidP="00185F9E">
            <w:pPr>
              <w:pStyle w:val="ListParagraph"/>
              <w:numPr>
                <w:ilvl w:val="0"/>
                <w:numId w:val="37"/>
              </w:numPr>
              <w:ind w:left="158" w:hanging="187"/>
              <w:rPr>
                <w:b/>
                <w:color w:val="auto"/>
                <w:u w:val="single"/>
              </w:rPr>
            </w:pPr>
            <w:r w:rsidRPr="00A81030">
              <w:rPr>
                <w:color w:val="auto"/>
              </w:rPr>
              <w:t>prescribed standard forms, see M21-1, Part III, Subpart ii, 2.B.1</w:t>
            </w:r>
          </w:p>
          <w:p w14:paraId="62851EF5" w14:textId="77777777" w:rsidR="00A12E33" w:rsidRPr="00A81030" w:rsidRDefault="00E82303" w:rsidP="00185F9E">
            <w:pPr>
              <w:pStyle w:val="ListParagraph"/>
              <w:numPr>
                <w:ilvl w:val="0"/>
                <w:numId w:val="37"/>
              </w:numPr>
              <w:ind w:left="158" w:hanging="187"/>
              <w:rPr>
                <w:rStyle w:val="Hyperlink"/>
                <w:b/>
                <w:color w:val="auto"/>
              </w:rPr>
            </w:pPr>
            <w:r w:rsidRPr="00A81030">
              <w:rPr>
                <w:color w:val="auto"/>
              </w:rPr>
              <w:t xml:space="preserve">medical authority in a finding of competency, see </w:t>
            </w:r>
            <w:hyperlink r:id="rId16" w:history="1">
              <w:r w:rsidR="00AD5BBE" w:rsidRPr="00A81030">
                <w:rPr>
                  <w:rStyle w:val="Hyperlink"/>
                  <w:color w:val="0000CC"/>
                </w:rPr>
                <w:t>38 CFR</w:t>
              </w:r>
              <w:r w:rsidR="0098486A" w:rsidRPr="00A81030">
                <w:rPr>
                  <w:rStyle w:val="Hyperlink"/>
                  <w:color w:val="0000CC"/>
                </w:rPr>
                <w:t xml:space="preserve"> 3</w:t>
              </w:r>
              <w:r w:rsidRPr="00A81030">
                <w:rPr>
                  <w:rStyle w:val="Hyperlink"/>
                  <w:color w:val="0000CC"/>
                </w:rPr>
                <w:t>.353(c)</w:t>
              </w:r>
            </w:hyperlink>
            <w:r w:rsidR="00A12E33" w:rsidRPr="00A81030">
              <w:rPr>
                <w:rStyle w:val="Hyperlink"/>
                <w:color w:val="auto"/>
                <w:u w:val="none"/>
              </w:rPr>
              <w:t>, and</w:t>
            </w:r>
          </w:p>
          <w:p w14:paraId="1FEB9EC5" w14:textId="7CE5B5B2" w:rsidR="00E82303" w:rsidRPr="00A81030" w:rsidRDefault="00A12E33" w:rsidP="00185F9E">
            <w:pPr>
              <w:pStyle w:val="ListParagraph"/>
              <w:numPr>
                <w:ilvl w:val="0"/>
                <w:numId w:val="37"/>
              </w:numPr>
              <w:ind w:left="158" w:hanging="187"/>
              <w:rPr>
                <w:b/>
                <w:color w:val="auto"/>
                <w:u w:val="single"/>
              </w:rPr>
            </w:pPr>
            <w:r w:rsidRPr="00A81030">
              <w:rPr>
                <w:rStyle w:val="Hyperlink"/>
                <w:color w:val="auto"/>
                <w:u w:val="none"/>
              </w:rPr>
              <w:t>end products</w:t>
            </w:r>
            <w:r w:rsidR="00DB6FF3" w:rsidRPr="00A81030">
              <w:rPr>
                <w:rStyle w:val="Hyperlink"/>
                <w:color w:val="auto"/>
                <w:u w:val="none"/>
              </w:rPr>
              <w:t xml:space="preserve"> (EPs)</w:t>
            </w:r>
            <w:r w:rsidRPr="00A81030">
              <w:rPr>
                <w:rStyle w:val="Hyperlink"/>
                <w:color w:val="auto"/>
                <w:u w:val="none"/>
              </w:rPr>
              <w:t>, see M21-4, Appendix B.</w:t>
            </w:r>
          </w:p>
        </w:tc>
      </w:tr>
    </w:tbl>
    <w:p w14:paraId="27B06A6E" w14:textId="28018681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lastRenderedPageBreak/>
        <w:fldChar w:fldCharType="begin"/>
      </w:r>
      <w:r w:rsidRPr="00A81030">
        <w:rPr>
          <w:color w:val="auto"/>
        </w:rPr>
        <w:instrText xml:space="preserve"> PRIVATE INFOTYPE="PRINCIPLE"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12C3E4EF" w14:textId="77777777">
        <w:trPr>
          <w:cantSplit/>
        </w:trPr>
        <w:tc>
          <w:tcPr>
            <w:tcW w:w="1728" w:type="dxa"/>
          </w:tcPr>
          <w:p w14:paraId="35EFD4BB" w14:textId="4852473C" w:rsidR="00E82303" w:rsidRPr="00A81030" w:rsidRDefault="00E82303">
            <w:pPr>
              <w:pStyle w:val="Heading5"/>
              <w:rPr>
                <w:color w:val="auto"/>
              </w:rPr>
            </w:pPr>
            <w:bookmarkStart w:id="5" w:name="_e.__Considering"/>
            <w:bookmarkEnd w:id="5"/>
            <w:r w:rsidRPr="00A81030">
              <w:rPr>
                <w:color w:val="auto"/>
              </w:rPr>
              <w:t>e.  Considering the VSCM’s Opinion</w:t>
            </w:r>
            <w:r w:rsidR="00511042" w:rsidRPr="00A81030">
              <w:rPr>
                <w:color w:val="auto"/>
              </w:rPr>
              <w:t xml:space="preserve"> Regarding Competency</w:t>
            </w:r>
          </w:p>
        </w:tc>
        <w:tc>
          <w:tcPr>
            <w:tcW w:w="7740" w:type="dxa"/>
          </w:tcPr>
          <w:p w14:paraId="4CC0CA72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After development of information with regard to social, economic, and industrial adjustment, the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>s Service Center Manager (VSCM) may be of the opinion that a beneficiary rated, or proposed to be rated, incompetent is actually capable of handling, without limitation, the funds payable.  In this case, he/she will refer the evidence and finding to the rating activity.</w:t>
            </w:r>
          </w:p>
          <w:p w14:paraId="1B236051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3732C24B" w14:textId="52558D8F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The rating activity should consider the VSCM’s finding as new evidence and, after any necessary additional development, prepare a rating based on the evidence of record.</w:t>
            </w:r>
          </w:p>
          <w:p w14:paraId="315479EF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10D692A1" w14:textId="76B23B9B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Pr="00A81030">
              <w:rPr>
                <w:color w:val="auto"/>
              </w:rPr>
              <w:t xml:space="preserve">:  For more information on procedures related to evidence of incompetency, see M21-1, Part III, Subpart </w:t>
            </w:r>
            <w:r w:rsidR="0047021A" w:rsidRPr="00A81030">
              <w:rPr>
                <w:color w:val="auto"/>
              </w:rPr>
              <w:t>i</w:t>
            </w:r>
            <w:r w:rsidRPr="00A81030">
              <w:rPr>
                <w:color w:val="auto"/>
              </w:rPr>
              <w:t xml:space="preserve">v, </w:t>
            </w:r>
            <w:r w:rsidR="0047021A" w:rsidRPr="00A81030">
              <w:rPr>
                <w:color w:val="auto"/>
              </w:rPr>
              <w:t>8</w:t>
            </w:r>
            <w:r w:rsidRPr="00A81030">
              <w:rPr>
                <w:color w:val="auto"/>
              </w:rPr>
              <w:t>.</w:t>
            </w:r>
            <w:r w:rsidR="0047021A" w:rsidRPr="00A81030">
              <w:rPr>
                <w:color w:val="auto"/>
              </w:rPr>
              <w:t>A.2</w:t>
            </w:r>
            <w:r w:rsidRPr="00A81030">
              <w:rPr>
                <w:color w:val="auto"/>
              </w:rPr>
              <w:t>.</w:t>
            </w:r>
          </w:p>
        </w:tc>
      </w:tr>
    </w:tbl>
    <w:p w14:paraId="00327261" w14:textId="77777777" w:rsidR="00E82303" w:rsidRPr="00A81030" w:rsidRDefault="00E82303">
      <w:pPr>
        <w:pStyle w:val="BlockLine"/>
        <w:rPr>
          <w:color w:val="auto"/>
        </w:rPr>
      </w:pPr>
    </w:p>
    <w:p w14:paraId="2A5AA6A4" w14:textId="77777777" w:rsidR="00E82303" w:rsidRPr="00A81030" w:rsidRDefault="00E82303">
      <w:pPr>
        <w:pStyle w:val="Heading4"/>
        <w:rPr>
          <w:color w:val="auto"/>
        </w:rPr>
      </w:pPr>
      <w:r w:rsidRPr="00A81030">
        <w:rPr>
          <w:color w:val="auto"/>
        </w:rPr>
        <w:br w:type="page"/>
      </w:r>
      <w:r w:rsidRPr="00A81030">
        <w:rPr>
          <w:color w:val="auto"/>
        </w:rPr>
        <w:lastRenderedPageBreak/>
        <w:t xml:space="preserve">2.  </w:t>
      </w:r>
      <w:bookmarkStart w:id="6" w:name="Topic2"/>
      <w:bookmarkEnd w:id="6"/>
      <w:r w:rsidRPr="00A81030">
        <w:rPr>
          <w:color w:val="auto"/>
        </w:rPr>
        <w:t>Considering Competency While Evaluating Evidence</w:t>
      </w:r>
    </w:p>
    <w:p w14:paraId="72B7AC48" w14:textId="77777777" w:rsidR="00E82303" w:rsidRPr="00A81030" w:rsidRDefault="00E82303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INFOTYPE="OTHER"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638A3D5F" w14:textId="77777777">
        <w:trPr>
          <w:cantSplit/>
        </w:trPr>
        <w:tc>
          <w:tcPr>
            <w:tcW w:w="1728" w:type="dxa"/>
          </w:tcPr>
          <w:p w14:paraId="0B59320E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Introduction</w:t>
            </w:r>
          </w:p>
        </w:tc>
        <w:tc>
          <w:tcPr>
            <w:tcW w:w="7740" w:type="dxa"/>
          </w:tcPr>
          <w:p w14:paraId="7D161705" w14:textId="2E018D0B" w:rsidR="00AA7820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This topic contains information about</w:t>
            </w:r>
            <w:r w:rsidR="00160CF1" w:rsidRPr="00A81030">
              <w:rPr>
                <w:color w:val="auto"/>
              </w:rPr>
              <w:t xml:space="preserve"> considering competency while</w:t>
            </w:r>
            <w:r w:rsidRPr="00A81030">
              <w:rPr>
                <w:color w:val="auto"/>
              </w:rPr>
              <w:t xml:space="preserve"> evaluating the evidence</w:t>
            </w:r>
            <w:r w:rsidR="00160CF1" w:rsidRPr="00A81030">
              <w:rPr>
                <w:color w:val="auto"/>
              </w:rPr>
              <w:t xml:space="preserve">, including </w:t>
            </w:r>
            <w:r w:rsidRPr="00A81030">
              <w:rPr>
                <w:color w:val="auto"/>
              </w:rPr>
              <w:t xml:space="preserve"> </w:t>
            </w:r>
          </w:p>
          <w:p w14:paraId="29926B43" w14:textId="4518F105" w:rsidR="00AA7820" w:rsidRPr="00A81030" w:rsidRDefault="00AA7820" w:rsidP="00AA7820">
            <w:pPr>
              <w:pStyle w:val="BlockText"/>
              <w:rPr>
                <w:color w:val="auto"/>
              </w:rPr>
            </w:pPr>
          </w:p>
          <w:p w14:paraId="1DEE9473" w14:textId="6826C1F9" w:rsidR="00E82303" w:rsidRPr="00A81030" w:rsidRDefault="00E82303" w:rsidP="00185F9E">
            <w:pPr>
              <w:pStyle w:val="ListParagraph"/>
              <w:numPr>
                <w:ilvl w:val="0"/>
                <w:numId w:val="22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considering</w:t>
            </w:r>
            <w:r w:rsidR="0008043B" w:rsidRPr="00A81030">
              <w:rPr>
                <w:color w:val="auto"/>
              </w:rPr>
              <w:t xml:space="preserve"> </w:t>
            </w:r>
            <w:r w:rsidR="00E1462B" w:rsidRPr="00A81030">
              <w:rPr>
                <w:color w:val="auto"/>
              </w:rPr>
              <w:t xml:space="preserve">whether to </w:t>
            </w:r>
            <w:r w:rsidR="000B4525" w:rsidRPr="00A81030">
              <w:rPr>
                <w:color w:val="auto"/>
              </w:rPr>
              <w:t xml:space="preserve">address </w:t>
            </w:r>
            <w:r w:rsidRPr="00A81030">
              <w:rPr>
                <w:color w:val="auto"/>
              </w:rPr>
              <w:t>competency of</w:t>
            </w:r>
            <w:r w:rsidR="00AA7820" w:rsidRPr="00A81030">
              <w:rPr>
                <w:color w:val="auto"/>
              </w:rPr>
              <w:t xml:space="preserve"> a </w:t>
            </w:r>
            <w:r w:rsidR="00A65B2A" w:rsidRPr="00A81030">
              <w:rPr>
                <w:color w:val="auto"/>
              </w:rPr>
              <w:t>Veteran</w:t>
            </w:r>
          </w:p>
          <w:p w14:paraId="64C1C6CF" w14:textId="09E1665B" w:rsidR="00E82303" w:rsidRPr="00A81030" w:rsidRDefault="008731FC" w:rsidP="00185F9E">
            <w:pPr>
              <w:pStyle w:val="ListParagraph"/>
              <w:numPr>
                <w:ilvl w:val="0"/>
                <w:numId w:val="22"/>
              </w:numPr>
              <w:ind w:left="158" w:hanging="187"/>
              <w:rPr>
                <w:color w:val="auto"/>
              </w:rPr>
            </w:pPr>
            <w:r w:rsidRPr="00A81030">
              <w:rPr>
                <w:rStyle w:val="Hyperlink"/>
                <w:color w:val="auto"/>
                <w:u w:val="none"/>
              </w:rPr>
              <w:t>the competency of a child</w:t>
            </w:r>
            <w:r w:rsidR="00CB5F85" w:rsidRPr="00A81030">
              <w:rPr>
                <w:rStyle w:val="Hyperlink"/>
                <w:color w:val="auto"/>
                <w:u w:val="none"/>
              </w:rPr>
              <w:t xml:space="preserve"> incapable of self-support</w:t>
            </w:r>
            <w:r w:rsidR="00E82303" w:rsidRPr="00A81030">
              <w:rPr>
                <w:color w:val="auto"/>
              </w:rPr>
              <w:t>, and</w:t>
            </w:r>
          </w:p>
          <w:p w14:paraId="78F4D487" w14:textId="19142CCA" w:rsidR="00E82303" w:rsidRPr="00A81030" w:rsidRDefault="008731FC" w:rsidP="00185F9E">
            <w:pPr>
              <w:pStyle w:val="ListParagraph"/>
              <w:numPr>
                <w:ilvl w:val="0"/>
                <w:numId w:val="22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the competency of </w:t>
            </w:r>
            <w:hyperlink w:anchor="_c.__Considering" w:history="1">
              <w:r w:rsidR="00E82303" w:rsidRPr="00A81030">
                <w:rPr>
                  <w:rStyle w:val="Hyperlink"/>
                  <w:color w:val="auto"/>
                  <w:u w:val="none"/>
                </w:rPr>
                <w:t>other beneficiaries</w:t>
              </w:r>
            </w:hyperlink>
            <w:r w:rsidR="00E82303" w:rsidRPr="00A81030">
              <w:rPr>
                <w:color w:val="auto"/>
              </w:rPr>
              <w:t>.</w:t>
            </w:r>
          </w:p>
        </w:tc>
      </w:tr>
    </w:tbl>
    <w:p w14:paraId="496148CB" w14:textId="77777777" w:rsidR="00E82303" w:rsidRPr="00A81030" w:rsidRDefault="00E82303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4D4F41E8" w14:textId="77777777">
        <w:trPr>
          <w:cantSplit/>
        </w:trPr>
        <w:tc>
          <w:tcPr>
            <w:tcW w:w="1728" w:type="dxa"/>
          </w:tcPr>
          <w:p w14:paraId="34326113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Change Date</w:t>
            </w:r>
          </w:p>
        </w:tc>
        <w:tc>
          <w:tcPr>
            <w:tcW w:w="7740" w:type="dxa"/>
          </w:tcPr>
          <w:p w14:paraId="0BC2DAC4" w14:textId="31EC626C" w:rsidR="00E82303" w:rsidRPr="00A81030" w:rsidRDefault="00D17037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January 2</w:t>
            </w:r>
            <w:r w:rsidR="000F6871" w:rsidRPr="00A81030">
              <w:rPr>
                <w:color w:val="auto"/>
              </w:rPr>
              <w:t>1</w:t>
            </w:r>
            <w:r w:rsidRPr="00A81030">
              <w:rPr>
                <w:color w:val="auto"/>
              </w:rPr>
              <w:t>, 2016</w:t>
            </w:r>
          </w:p>
        </w:tc>
      </w:tr>
    </w:tbl>
    <w:p w14:paraId="74A03DAA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5B820B22" w14:textId="77777777" w:rsidTr="00937F69">
        <w:trPr>
          <w:trHeight w:val="240"/>
        </w:trPr>
        <w:tc>
          <w:tcPr>
            <w:tcW w:w="1728" w:type="dxa"/>
          </w:tcPr>
          <w:p w14:paraId="426AA189" w14:textId="650B697C" w:rsidR="00E82303" w:rsidRPr="00A81030" w:rsidRDefault="00E82303" w:rsidP="00544AF4">
            <w:pPr>
              <w:pStyle w:val="Heading5"/>
              <w:rPr>
                <w:color w:val="auto"/>
              </w:rPr>
            </w:pPr>
            <w:bookmarkStart w:id="7" w:name="_a.__Considering"/>
            <w:bookmarkEnd w:id="7"/>
            <w:proofErr w:type="gramStart"/>
            <w:r w:rsidRPr="00A81030">
              <w:rPr>
                <w:color w:val="auto"/>
              </w:rPr>
              <w:t>a.  Considering</w:t>
            </w:r>
            <w:proofErr w:type="gramEnd"/>
            <w:r w:rsidR="00E1462B" w:rsidRPr="00A81030">
              <w:rPr>
                <w:color w:val="auto"/>
              </w:rPr>
              <w:t xml:space="preserve"> Whether to </w:t>
            </w:r>
            <w:r w:rsidR="00544AF4" w:rsidRPr="00A81030">
              <w:rPr>
                <w:color w:val="auto"/>
              </w:rPr>
              <w:t xml:space="preserve">Address </w:t>
            </w:r>
            <w:r w:rsidRPr="00A81030">
              <w:rPr>
                <w:color w:val="auto"/>
              </w:rPr>
              <w:t xml:space="preserve">Competency of a </w:t>
            </w:r>
            <w:r w:rsidR="00A65B2A" w:rsidRPr="00A81030">
              <w:rPr>
                <w:color w:val="auto"/>
              </w:rPr>
              <w:t>Veteran</w:t>
            </w:r>
          </w:p>
        </w:tc>
        <w:tc>
          <w:tcPr>
            <w:tcW w:w="7740" w:type="dxa"/>
          </w:tcPr>
          <w:p w14:paraId="0FC3EB80" w14:textId="24072656" w:rsidR="00E82303" w:rsidRPr="00A81030" w:rsidRDefault="00E82303" w:rsidP="00222FC8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If the claimant is a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 xml:space="preserve">, consider </w:t>
            </w:r>
            <w:r w:rsidR="00505E2F" w:rsidRPr="00A81030">
              <w:rPr>
                <w:color w:val="auto"/>
              </w:rPr>
              <w:t xml:space="preserve">whether to </w:t>
            </w:r>
            <w:r w:rsidR="00544AF4" w:rsidRPr="00A81030">
              <w:rPr>
                <w:color w:val="auto"/>
              </w:rPr>
              <w:t xml:space="preserve">address </w:t>
            </w:r>
            <w:r w:rsidR="00505E2F" w:rsidRPr="00A81030">
              <w:rPr>
                <w:color w:val="auto"/>
              </w:rPr>
              <w:t xml:space="preserve">competency in a decision </w:t>
            </w:r>
            <w:r w:rsidR="002E3129" w:rsidRPr="00A81030">
              <w:rPr>
                <w:color w:val="auto"/>
              </w:rPr>
              <w:t>whenever</w:t>
            </w:r>
            <w:r w:rsidR="00830E89" w:rsidRPr="00A81030">
              <w:rPr>
                <w:color w:val="auto"/>
              </w:rPr>
              <w:t xml:space="preserve"> qualifying</w:t>
            </w:r>
            <w:r w:rsidR="00505E2F" w:rsidRPr="00A81030">
              <w:rPr>
                <w:color w:val="auto"/>
              </w:rPr>
              <w:t xml:space="preserve"> evidence raises a question as to the mental capacity to contract or to manage his/her own affairs, including disbursement of funds without limitation.</w:t>
            </w:r>
          </w:p>
          <w:p w14:paraId="6A2E4219" w14:textId="77777777" w:rsidR="004E2DB2" w:rsidRPr="00A81030" w:rsidRDefault="004E2DB2" w:rsidP="00222FC8">
            <w:pPr>
              <w:pStyle w:val="BlockText"/>
              <w:rPr>
                <w:color w:val="auto"/>
              </w:rPr>
            </w:pPr>
          </w:p>
          <w:p w14:paraId="652C8FA1" w14:textId="7783AE00" w:rsidR="004C2CDE" w:rsidRPr="00A81030" w:rsidRDefault="00523F9F" w:rsidP="004C2CDE">
            <w:r w:rsidRPr="00A81030">
              <w:t>When addressing competency, i</w:t>
            </w:r>
            <w:r w:rsidR="004C2CDE" w:rsidRPr="00A81030">
              <w:t xml:space="preserve">t is </w:t>
            </w:r>
            <w:r w:rsidR="004C2CDE" w:rsidRPr="00A81030">
              <w:rPr>
                <w:b/>
                <w:i/>
              </w:rPr>
              <w:t>not</w:t>
            </w:r>
            <w:r w:rsidR="004C2CDE" w:rsidRPr="00A81030">
              <w:t xml:space="preserve"> required to make a separate issue on the rating decision unless incompetency is proposed </w:t>
            </w:r>
            <w:r w:rsidR="004C2CDE" w:rsidRPr="00A81030">
              <w:rPr>
                <w:i/>
              </w:rPr>
              <w:t>or</w:t>
            </w:r>
            <w:r w:rsidR="004C2CDE" w:rsidRPr="00A81030">
              <w:t xml:space="preserve"> a previous rating of incompetency is being reconsidered.</w:t>
            </w:r>
          </w:p>
          <w:p w14:paraId="3A72239C" w14:textId="77777777" w:rsidR="00DB6FF3" w:rsidRPr="00A81030" w:rsidRDefault="00DB6FF3" w:rsidP="004C2CDE"/>
          <w:p w14:paraId="2EFDD931" w14:textId="19D117BD" w:rsidR="00160CF1" w:rsidRPr="00A81030" w:rsidRDefault="00FF01C1" w:rsidP="009931A0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Use t</w:t>
            </w:r>
            <w:r w:rsidR="002E3129" w:rsidRPr="00A81030">
              <w:rPr>
                <w:color w:val="auto"/>
              </w:rPr>
              <w:t xml:space="preserve">he table below </w:t>
            </w:r>
            <w:r w:rsidRPr="00A81030">
              <w:rPr>
                <w:color w:val="auto"/>
              </w:rPr>
              <w:t>for</w:t>
            </w:r>
            <w:r w:rsidR="002E3129" w:rsidRPr="00A81030">
              <w:rPr>
                <w:color w:val="auto"/>
              </w:rPr>
              <w:t xml:space="preserve"> guidance on what action, if any, to take on the matter of competency</w:t>
            </w:r>
            <w:r w:rsidR="00937F69" w:rsidRPr="00A81030">
              <w:rPr>
                <w:color w:val="auto"/>
              </w:rPr>
              <w:t>.</w:t>
            </w:r>
          </w:p>
        </w:tc>
      </w:tr>
    </w:tbl>
    <w:p w14:paraId="3E03ABBB" w14:textId="77777777" w:rsidR="009931A0" w:rsidRPr="00A81030" w:rsidRDefault="009931A0" w:rsidP="009931A0">
      <w:pPr>
        <w:rPr>
          <w:color w:val="auto"/>
        </w:rPr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E02F6" w:rsidRPr="00A81030" w14:paraId="0F139876" w14:textId="77777777" w:rsidTr="009931A0">
        <w:tc>
          <w:tcPr>
            <w:tcW w:w="3870" w:type="dxa"/>
          </w:tcPr>
          <w:p w14:paraId="3BCEE9A3" w14:textId="730ED35C" w:rsidR="009931A0" w:rsidRPr="00A81030" w:rsidRDefault="009931A0" w:rsidP="009931A0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If the evidence...</w:t>
            </w:r>
          </w:p>
        </w:tc>
        <w:tc>
          <w:tcPr>
            <w:tcW w:w="3780" w:type="dxa"/>
          </w:tcPr>
          <w:p w14:paraId="0BE5EF22" w14:textId="7A040405" w:rsidR="009931A0" w:rsidRPr="00A81030" w:rsidRDefault="009931A0" w:rsidP="009931A0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Then ...</w:t>
            </w:r>
          </w:p>
        </w:tc>
      </w:tr>
      <w:tr w:rsidR="003E02F6" w:rsidRPr="00A81030" w14:paraId="360A5482" w14:textId="77777777" w:rsidTr="009931A0">
        <w:tc>
          <w:tcPr>
            <w:tcW w:w="3870" w:type="dxa"/>
          </w:tcPr>
          <w:p w14:paraId="7DCCA7AD" w14:textId="05887D50" w:rsidR="009931A0" w:rsidRPr="00A81030" w:rsidRDefault="009931A0" w:rsidP="009931A0">
            <w:pPr>
              <w:rPr>
                <w:color w:val="auto"/>
              </w:rPr>
            </w:pPr>
            <w:r w:rsidRPr="00A81030">
              <w:rPr>
                <w:color w:val="auto"/>
              </w:rPr>
              <w:t>suggests but does not clearly and convincingly show that the person is incapable of managing the VA benefit payment without limitation</w:t>
            </w:r>
          </w:p>
        </w:tc>
        <w:tc>
          <w:tcPr>
            <w:tcW w:w="3780" w:type="dxa"/>
          </w:tcPr>
          <w:p w14:paraId="3A17A3A6" w14:textId="7D282F3D" w:rsidR="009931A0" w:rsidRPr="00A81030" w:rsidRDefault="009931A0" w:rsidP="009931A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do not develop</w:t>
            </w:r>
          </w:p>
          <w:p w14:paraId="37EDEEE6" w14:textId="3DDD0404" w:rsidR="009931A0" w:rsidRPr="00A81030" w:rsidRDefault="009931A0" w:rsidP="009931A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do not propose incompetency, and</w:t>
            </w:r>
          </w:p>
          <w:p w14:paraId="2F499C9F" w14:textId="361E6919" w:rsidR="009931A0" w:rsidRPr="00A81030" w:rsidRDefault="009931A0" w:rsidP="000F6871">
            <w:pPr>
              <w:pStyle w:val="ListParagraph"/>
              <w:numPr>
                <w:ilvl w:val="0"/>
                <w:numId w:val="30"/>
              </w:numPr>
              <w:ind w:left="158" w:hanging="187"/>
              <w:rPr>
                <w:color w:val="auto"/>
              </w:rPr>
            </w:pPr>
            <w:proofErr w:type="gramStart"/>
            <w:r w:rsidRPr="00A81030">
              <w:rPr>
                <w:color w:val="auto"/>
              </w:rPr>
              <w:t>state</w:t>
            </w:r>
            <w:proofErr w:type="gramEnd"/>
            <w:r w:rsidRPr="00A81030">
              <w:rPr>
                <w:color w:val="auto"/>
              </w:rPr>
              <w:t xml:space="preserve"> in the </w:t>
            </w:r>
            <w:r w:rsidR="001C1C6F" w:rsidRPr="00A81030">
              <w:rPr>
                <w:color w:val="auto"/>
              </w:rPr>
              <w:t xml:space="preserve">narrative of the </w:t>
            </w:r>
            <w:r w:rsidRPr="00A81030">
              <w:rPr>
                <w:color w:val="auto"/>
              </w:rPr>
              <w:t xml:space="preserve">rating decision </w:t>
            </w:r>
            <w:r w:rsidR="000735BB" w:rsidRPr="00A81030">
              <w:rPr>
                <w:color w:val="auto"/>
              </w:rPr>
              <w:t xml:space="preserve">issue </w:t>
            </w:r>
            <w:r w:rsidRPr="00A81030">
              <w:rPr>
                <w:color w:val="auto"/>
              </w:rPr>
              <w:t>that there was no clear and convincing evidence of incompetency.</w:t>
            </w:r>
          </w:p>
        </w:tc>
      </w:tr>
      <w:tr w:rsidR="009931A0" w:rsidRPr="00A81030" w14:paraId="2C09FDD2" w14:textId="77777777" w:rsidTr="009931A0">
        <w:tc>
          <w:tcPr>
            <w:tcW w:w="3870" w:type="dxa"/>
          </w:tcPr>
          <w:p w14:paraId="4558C369" w14:textId="26BA2EBE" w:rsidR="009931A0" w:rsidRPr="00A81030" w:rsidRDefault="009931A0" w:rsidP="009931A0">
            <w:pPr>
              <w:rPr>
                <w:color w:val="auto"/>
              </w:rPr>
            </w:pPr>
            <w:r w:rsidRPr="00A81030">
              <w:rPr>
                <w:color w:val="auto"/>
              </w:rPr>
              <w:t>clearly and convincingly shows that the person is incapable of managing the VA benefit payment without limitation</w:t>
            </w:r>
          </w:p>
        </w:tc>
        <w:tc>
          <w:tcPr>
            <w:tcW w:w="3780" w:type="dxa"/>
          </w:tcPr>
          <w:p w14:paraId="794D7838" w14:textId="4F9FED5D" w:rsidR="009931A0" w:rsidRPr="00A81030" w:rsidRDefault="009931A0" w:rsidP="009931A0">
            <w:pPr>
              <w:rPr>
                <w:color w:val="auto"/>
              </w:rPr>
            </w:pPr>
            <w:r w:rsidRPr="00A81030">
              <w:rPr>
                <w:color w:val="auto"/>
              </w:rPr>
              <w:t>propose incompetency.</w:t>
            </w:r>
          </w:p>
        </w:tc>
      </w:tr>
    </w:tbl>
    <w:p w14:paraId="39BBA01F" w14:textId="77777777" w:rsidR="009931A0" w:rsidRPr="00A81030" w:rsidRDefault="009931A0" w:rsidP="009931A0">
      <w:pPr>
        <w:rPr>
          <w:color w:val="auto"/>
        </w:rPr>
      </w:pP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3E02F6" w:rsidRPr="00A81030" w14:paraId="04E5ECAB" w14:textId="77777777" w:rsidTr="00185F9E">
        <w:trPr>
          <w:trHeight w:val="2610"/>
        </w:trPr>
        <w:tc>
          <w:tcPr>
            <w:tcW w:w="7740" w:type="dxa"/>
            <w:shd w:val="clear" w:color="auto" w:fill="auto"/>
          </w:tcPr>
          <w:p w14:paraId="754BF4EC" w14:textId="244AF96D" w:rsidR="007475DC" w:rsidRPr="00A81030" w:rsidRDefault="007475DC" w:rsidP="007578E8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Important</w:t>
            </w:r>
            <w:r w:rsidR="009931A0" w:rsidRPr="00A81030">
              <w:rPr>
                <w:color w:val="auto"/>
              </w:rPr>
              <w:t xml:space="preserve">: </w:t>
            </w:r>
          </w:p>
          <w:p w14:paraId="7383598A" w14:textId="1A80C878" w:rsidR="00CA6844" w:rsidRPr="00A81030" w:rsidRDefault="008F7AE2" w:rsidP="00185F9E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A81030">
              <w:t>C</w:t>
            </w:r>
            <w:r w:rsidR="007578E8" w:rsidRPr="00A81030">
              <w:t>ompetency</w:t>
            </w:r>
            <w:r w:rsidR="00F64000" w:rsidRPr="00A81030">
              <w:t xml:space="preserve"> generally</w:t>
            </w:r>
            <w:r w:rsidR="007578E8" w:rsidRPr="00A81030">
              <w:t xml:space="preserve"> </w:t>
            </w:r>
            <w:r w:rsidR="007578E8" w:rsidRPr="00A81030">
              <w:rPr>
                <w:i/>
              </w:rPr>
              <w:t>must</w:t>
            </w:r>
            <w:r w:rsidR="007578E8" w:rsidRPr="00A81030">
              <w:t xml:space="preserve"> be addressed i</w:t>
            </w:r>
            <w:r w:rsidR="009931A0" w:rsidRPr="00A81030">
              <w:t xml:space="preserve">n cases </w:t>
            </w:r>
            <w:r w:rsidR="007475DC" w:rsidRPr="00A81030">
              <w:t>where a mental condition is evaluated as totally disabling</w:t>
            </w:r>
            <w:r w:rsidR="009931A0" w:rsidRPr="00A81030">
              <w:t>.</w:t>
            </w:r>
            <w:r w:rsidR="007475DC" w:rsidRPr="00A81030">
              <w:t xml:space="preserve">  </w:t>
            </w:r>
            <w:r w:rsidR="001C1C6F" w:rsidRPr="00A81030">
              <w:t>This includes</w:t>
            </w:r>
          </w:p>
          <w:p w14:paraId="147A961B" w14:textId="22694BDF" w:rsidR="00CA6844" w:rsidRPr="00A81030" w:rsidRDefault="007475DC" w:rsidP="00CA6844">
            <w:pPr>
              <w:pStyle w:val="ListParagraph"/>
              <w:numPr>
                <w:ilvl w:val="0"/>
                <w:numId w:val="43"/>
              </w:numPr>
              <w:ind w:left="346" w:hanging="187"/>
            </w:pPr>
            <w:r w:rsidRPr="00A81030">
              <w:t xml:space="preserve">when individual employability (IU) is </w:t>
            </w:r>
            <w:r w:rsidR="003740C8" w:rsidRPr="00A81030">
              <w:t xml:space="preserve">awarded </w:t>
            </w:r>
            <w:r w:rsidRPr="00A81030">
              <w:t>on the basis of a single mental health disability</w:t>
            </w:r>
            <w:r w:rsidR="00573312" w:rsidRPr="00A81030">
              <w:t>, and</w:t>
            </w:r>
          </w:p>
          <w:p w14:paraId="32808A76" w14:textId="77777777" w:rsidR="000F6871" w:rsidRPr="00A81030" w:rsidRDefault="00573312" w:rsidP="000F6871">
            <w:pPr>
              <w:pStyle w:val="ListParagraph"/>
              <w:numPr>
                <w:ilvl w:val="0"/>
                <w:numId w:val="50"/>
              </w:numPr>
              <w:ind w:left="346" w:hanging="187"/>
            </w:pPr>
            <w:proofErr w:type="gramStart"/>
            <w:r w:rsidRPr="00A81030">
              <w:t>when</w:t>
            </w:r>
            <w:proofErr w:type="gramEnd"/>
            <w:r w:rsidRPr="00A81030">
              <w:t xml:space="preserve"> assigning a temporary total evaluation for a mental disorder under </w:t>
            </w:r>
            <w:hyperlink r:id="rId17" w:tgtFrame="_blank" w:history="1">
              <w:r w:rsidRPr="00A81030">
                <w:rPr>
                  <w:rStyle w:val="Hyperlink"/>
                </w:rPr>
                <w:t>38 CFR 4.29</w:t>
              </w:r>
            </w:hyperlink>
            <w:r w:rsidRPr="00A81030">
              <w:t>.</w:t>
            </w:r>
            <w:r w:rsidR="00CA6844" w:rsidRPr="00A81030">
              <w:t xml:space="preserve"> </w:t>
            </w:r>
          </w:p>
          <w:p w14:paraId="13CF2CF4" w14:textId="084CAADC" w:rsidR="00185F9E" w:rsidRPr="00A81030" w:rsidRDefault="007578E8" w:rsidP="000F6871">
            <w:pPr>
              <w:pStyle w:val="ListParagraph"/>
              <w:numPr>
                <w:ilvl w:val="0"/>
                <w:numId w:val="49"/>
              </w:numPr>
              <w:ind w:left="158" w:hanging="187"/>
            </w:pPr>
            <w:r w:rsidRPr="00A81030">
              <w:t xml:space="preserve">The mere existence of a mental condition with a total evaluation does not automatically correlate to a Veteran’s inability to manage his/her benefits, </w:t>
            </w:r>
            <w:r w:rsidRPr="00A81030">
              <w:lastRenderedPageBreak/>
              <w:t xml:space="preserve">but many of the symptoms warranting a </w:t>
            </w:r>
            <w:r w:rsidR="007475DC" w:rsidRPr="00A81030">
              <w:t>total disability</w:t>
            </w:r>
            <w:r w:rsidRPr="00A81030">
              <w:t xml:space="preserve"> evaluation could render the Veteran unable to manage benefits.</w:t>
            </w:r>
            <w:r w:rsidR="009931A0" w:rsidRPr="00A81030">
              <w:t xml:space="preserve"> </w:t>
            </w:r>
          </w:p>
          <w:p w14:paraId="20C9BAB6" w14:textId="727DF9E8" w:rsidR="007578E8" w:rsidRPr="00A81030" w:rsidRDefault="00185F9E" w:rsidP="00185F9E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A81030">
              <w:t xml:space="preserve">Carefully </w:t>
            </w:r>
            <w:r w:rsidR="009931A0" w:rsidRPr="00A81030">
              <w:t>consider the facts in these cases to determine whether the regulatory standard warrants a proposal of incompetency.</w:t>
            </w:r>
            <w:r w:rsidR="007578E8" w:rsidRPr="00A81030">
              <w:t xml:space="preserve">  When the evidence shows the Veteran is competent, address the competency determination as part of the </w:t>
            </w:r>
            <w:r w:rsidR="003A3A53" w:rsidRPr="00A81030">
              <w:t xml:space="preserve">narrative within the </w:t>
            </w:r>
            <w:r w:rsidR="007578E8" w:rsidRPr="00A81030">
              <w:t xml:space="preserve">mental condition </w:t>
            </w:r>
            <w:r w:rsidR="003A3A53" w:rsidRPr="00A81030">
              <w:t>issue</w:t>
            </w:r>
            <w:r w:rsidR="007578E8" w:rsidRPr="00A81030">
              <w:t xml:space="preserve">. </w:t>
            </w:r>
          </w:p>
          <w:p w14:paraId="760CAB36" w14:textId="778B366B" w:rsidR="007578E8" w:rsidRPr="00A81030" w:rsidRDefault="007578E8" w:rsidP="007578E8">
            <w:pPr>
              <w:pStyle w:val="NormalWeb"/>
              <w:rPr>
                <w:lang w:val="en"/>
              </w:rPr>
            </w:pPr>
            <w:r w:rsidRPr="00A81030">
              <w:rPr>
                <w:lang w:val="en"/>
              </w:rPr>
              <w:t xml:space="preserve">The following text has been added to the glossary as </w:t>
            </w:r>
            <w:r w:rsidRPr="00A81030">
              <w:rPr>
                <w:i/>
                <w:lang w:val="en"/>
              </w:rPr>
              <w:t>VA COMPETENT</w:t>
            </w:r>
            <w:r w:rsidRPr="00A81030">
              <w:rPr>
                <w:lang w:val="en"/>
              </w:rPr>
              <w:t xml:space="preserve"> within </w:t>
            </w:r>
            <w:r w:rsidR="00DB6FF3" w:rsidRPr="00A81030">
              <w:rPr>
                <w:lang w:val="en"/>
              </w:rPr>
              <w:t>the Veterans Benefits Management System- Rating (</w:t>
            </w:r>
            <w:r w:rsidRPr="00A81030">
              <w:rPr>
                <w:lang w:val="en"/>
              </w:rPr>
              <w:t>VBMS-R</w:t>
            </w:r>
            <w:r w:rsidR="00DB6FF3" w:rsidRPr="00A81030">
              <w:rPr>
                <w:lang w:val="en"/>
              </w:rPr>
              <w:t>)</w:t>
            </w:r>
            <w:r w:rsidRPr="00A81030">
              <w:rPr>
                <w:lang w:val="en"/>
              </w:rPr>
              <w:t xml:space="preserve"> for selection in these cases</w:t>
            </w:r>
            <w:r w:rsidR="0052709F" w:rsidRPr="00A81030">
              <w:rPr>
                <w:lang w:val="en"/>
              </w:rPr>
              <w:t>:</w:t>
            </w:r>
          </w:p>
          <w:p w14:paraId="784AE4E9" w14:textId="5F112150" w:rsidR="009931A0" w:rsidRPr="00A81030" w:rsidRDefault="007578E8" w:rsidP="007578E8">
            <w:pPr>
              <w:pStyle w:val="NoteText"/>
              <w:rPr>
                <w:color w:val="auto"/>
              </w:rPr>
            </w:pPr>
            <w:r w:rsidRPr="00A81030">
              <w:rPr>
                <w:i/>
                <w:color w:val="auto"/>
                <w:lang w:val="en"/>
              </w:rPr>
              <w:t>There is no evidence of record that shows that you are unable to manage your financial affairs.</w:t>
            </w:r>
          </w:p>
          <w:p w14:paraId="283D5C6D" w14:textId="77777777" w:rsidR="009931A0" w:rsidRPr="00A81030" w:rsidRDefault="009931A0" w:rsidP="009931A0">
            <w:pPr>
              <w:pStyle w:val="NoteText"/>
              <w:rPr>
                <w:b/>
                <w:i/>
                <w:color w:val="auto"/>
              </w:rPr>
            </w:pPr>
          </w:p>
          <w:p w14:paraId="27C99676" w14:textId="3515FC12" w:rsidR="009931A0" w:rsidRPr="00A81030" w:rsidRDefault="009931A0" w:rsidP="009931A0">
            <w:pPr>
              <w:pStyle w:val="NoteText"/>
              <w:rPr>
                <w:color w:val="auto"/>
              </w:rPr>
            </w:pPr>
            <w:r w:rsidRPr="00A81030">
              <w:rPr>
                <w:b/>
                <w:bCs/>
                <w:i/>
                <w:iCs/>
                <w:color w:val="auto"/>
              </w:rPr>
              <w:t>References</w:t>
            </w:r>
            <w:r w:rsidRPr="00A81030">
              <w:rPr>
                <w:color w:val="auto"/>
              </w:rPr>
              <w:t>:  For more information on</w:t>
            </w:r>
          </w:p>
          <w:p w14:paraId="7B9DF52B" w14:textId="77777777" w:rsidR="009931A0" w:rsidRPr="00A81030" w:rsidRDefault="009931A0" w:rsidP="009931A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the presumption of competency, see M21-1, Part III, Subpart iv, 8.A.1.c</w:t>
            </w:r>
          </w:p>
          <w:p w14:paraId="75D37DAF" w14:textId="77777777" w:rsidR="009931A0" w:rsidRPr="00A81030" w:rsidRDefault="009931A0" w:rsidP="009931A0">
            <w:pPr>
              <w:pStyle w:val="BulletText1"/>
              <w:rPr>
                <w:rStyle w:val="Hyperlink"/>
                <w:color w:val="auto"/>
                <w:u w:val="none"/>
              </w:rPr>
            </w:pPr>
            <w:r w:rsidRPr="00A81030">
              <w:rPr>
                <w:color w:val="auto"/>
              </w:rPr>
              <w:t>the evidentiary standard for proposing incompetency, see M21-1, Part III, Subpart iv, 8.A.1.d</w:t>
            </w:r>
            <w:r w:rsidRPr="00A81030">
              <w:rPr>
                <w:rStyle w:val="Hyperlink"/>
                <w:color w:val="auto"/>
                <w:u w:val="none"/>
              </w:rPr>
              <w:t>, and</w:t>
            </w:r>
          </w:p>
          <w:p w14:paraId="43EA0C48" w14:textId="5AFA1580" w:rsidR="009931A0" w:rsidRPr="00A81030" w:rsidRDefault="009931A0" w:rsidP="00185F9E">
            <w:pPr>
              <w:pStyle w:val="ListParagraph"/>
              <w:numPr>
                <w:ilvl w:val="0"/>
                <w:numId w:val="29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subordinate issues and ancillary benefits, see M21-1, Part III, Subpart iv, 6.B.2.</w:t>
            </w:r>
          </w:p>
        </w:tc>
      </w:tr>
    </w:tbl>
    <w:p w14:paraId="158BCA38" w14:textId="77777777" w:rsidR="009931A0" w:rsidRPr="00A81030" w:rsidRDefault="009931A0" w:rsidP="009931A0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lastRenderedPageBreak/>
        <w:tab/>
      </w:r>
    </w:p>
    <w:p w14:paraId="2FF5E6B1" w14:textId="2ED9904D" w:rsidR="00E82303" w:rsidRPr="00A81030" w:rsidRDefault="00253101" w:rsidP="009931A0">
      <w:pPr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338EBAFB" w14:textId="77777777">
        <w:trPr>
          <w:cantSplit/>
        </w:trPr>
        <w:tc>
          <w:tcPr>
            <w:tcW w:w="1728" w:type="dxa"/>
          </w:tcPr>
          <w:p w14:paraId="079FE9DF" w14:textId="4717B5B4" w:rsidR="00E82303" w:rsidRPr="00A81030" w:rsidRDefault="00E82303" w:rsidP="00CB5F85">
            <w:pPr>
              <w:pStyle w:val="Heading5"/>
              <w:rPr>
                <w:color w:val="auto"/>
              </w:rPr>
            </w:pPr>
            <w:bookmarkStart w:id="8" w:name="_b.__Considering"/>
            <w:bookmarkEnd w:id="8"/>
            <w:r w:rsidRPr="00A81030">
              <w:rPr>
                <w:color w:val="auto"/>
              </w:rPr>
              <w:t>b.  Considering the Competency of a Child</w:t>
            </w:r>
            <w:r w:rsidR="009931A0" w:rsidRPr="00A81030">
              <w:rPr>
                <w:color w:val="auto"/>
              </w:rPr>
              <w:t xml:space="preserve"> Permanently</w:t>
            </w:r>
            <w:r w:rsidR="00C271B5" w:rsidRPr="00A81030">
              <w:rPr>
                <w:color w:val="auto"/>
              </w:rPr>
              <w:t xml:space="preserve"> Incapable of Self-S</w:t>
            </w:r>
            <w:r w:rsidR="00CB5F85" w:rsidRPr="00A81030">
              <w:rPr>
                <w:color w:val="auto"/>
              </w:rPr>
              <w:t>upport</w:t>
            </w:r>
          </w:p>
        </w:tc>
        <w:tc>
          <w:tcPr>
            <w:tcW w:w="7740" w:type="dxa"/>
          </w:tcPr>
          <w:p w14:paraId="1CDBD420" w14:textId="73D81F59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If the claimant is a child</w:t>
            </w:r>
            <w:r w:rsidR="009931A0" w:rsidRPr="00A81030">
              <w:rPr>
                <w:color w:val="auto"/>
              </w:rPr>
              <w:t xml:space="preserve"> over the age of 18 and permanently </w:t>
            </w:r>
            <w:r w:rsidR="00CB5F85" w:rsidRPr="00A81030">
              <w:rPr>
                <w:color w:val="auto"/>
              </w:rPr>
              <w:t>incapable of self-support</w:t>
            </w:r>
            <w:r w:rsidRPr="00A81030">
              <w:rPr>
                <w:color w:val="auto"/>
              </w:rPr>
              <w:t xml:space="preserve">, the rating activity must resolve the issue of competency for </w:t>
            </w:r>
            <w:r w:rsidR="00142D65" w:rsidRPr="00A81030">
              <w:rPr>
                <w:color w:val="auto"/>
              </w:rPr>
              <w:t>the</w:t>
            </w:r>
            <w:r w:rsidRPr="00A81030">
              <w:rPr>
                <w:color w:val="auto"/>
              </w:rPr>
              <w:t xml:space="preserve"> child because entitlement depends upon permanent incapacity for self-support due to physical or mental disability.  </w:t>
            </w:r>
          </w:p>
          <w:p w14:paraId="3865875F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2A0726BF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If incapacity is due to mental disability</w:t>
            </w:r>
          </w:p>
          <w:p w14:paraId="6F66420E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4100F6AA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consider competency a factor in determining whether the child is permanently incapable of self-support</w:t>
            </w:r>
          </w:p>
          <w:p w14:paraId="5D03C108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determine competency under the same criteria applicable to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>s, and</w:t>
            </w:r>
          </w:p>
          <w:p w14:paraId="7411319C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record the determination in a rating.</w:t>
            </w:r>
          </w:p>
          <w:p w14:paraId="52A9287B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3DFAB357" w14:textId="77777777" w:rsidR="0052709F" w:rsidRPr="00A81030" w:rsidRDefault="0052709F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Pr="00A81030">
              <w:rPr>
                <w:color w:val="auto"/>
              </w:rPr>
              <w:t xml:space="preserve">:  Since the incompetency procedures referred to in M21-1, Part III, Subpart v, 9.B.3 are for payment purposes, do not apply those procedures </w:t>
            </w:r>
            <w:r w:rsidRPr="00A81030">
              <w:rPr>
                <w:i/>
                <w:color w:val="auto"/>
              </w:rPr>
              <w:t>except</w:t>
            </w:r>
            <w:r w:rsidRPr="00A81030">
              <w:rPr>
                <w:color w:val="auto"/>
              </w:rPr>
              <w:t xml:space="preserve"> in cases where the child would receive direct payment in his/her own right.</w:t>
            </w:r>
          </w:p>
          <w:p w14:paraId="17631288" w14:textId="77777777" w:rsidR="0052709F" w:rsidRPr="00A81030" w:rsidRDefault="0052709F">
            <w:pPr>
              <w:pStyle w:val="BlockText"/>
              <w:rPr>
                <w:color w:val="auto"/>
              </w:rPr>
            </w:pPr>
          </w:p>
          <w:p w14:paraId="3E82C56F" w14:textId="55BEE4F9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References</w:t>
            </w:r>
            <w:r w:rsidRPr="00A81030">
              <w:rPr>
                <w:color w:val="auto"/>
              </w:rPr>
              <w:t>:  For</w:t>
            </w:r>
            <w:r w:rsidR="005E1B6E" w:rsidRPr="00A81030">
              <w:rPr>
                <w:color w:val="auto"/>
              </w:rPr>
              <w:t xml:space="preserve"> more</w:t>
            </w:r>
            <w:r w:rsidRPr="00A81030">
              <w:rPr>
                <w:color w:val="auto"/>
              </w:rPr>
              <w:t xml:space="preserve"> information on</w:t>
            </w:r>
          </w:p>
          <w:p w14:paraId="39DD097E" w14:textId="4537920B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due process procedures in incompetency cases, see M21-1, Part III, Subpart v, 9.B.</w:t>
            </w:r>
            <w:r w:rsidR="008B6A08" w:rsidRPr="00A81030">
              <w:rPr>
                <w:color w:val="auto"/>
              </w:rPr>
              <w:t>3</w:t>
            </w:r>
            <w:r w:rsidRPr="00A81030">
              <w:rPr>
                <w:color w:val="auto"/>
              </w:rPr>
              <w:t>, and</w:t>
            </w:r>
          </w:p>
          <w:p w14:paraId="59C9F37C" w14:textId="712FA226" w:rsidR="00E82303" w:rsidRPr="00A81030" w:rsidRDefault="00E82303" w:rsidP="008F3C72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conditions which determine permanent incapacity for self-support, see </w:t>
            </w:r>
            <w:hyperlink r:id="rId18" w:history="1">
              <w:r w:rsidR="00AD5BBE" w:rsidRPr="00A81030">
                <w:rPr>
                  <w:rStyle w:val="Hyperlink"/>
                  <w:color w:val="0000CC"/>
                </w:rPr>
                <w:t>38 CFR</w:t>
              </w:r>
              <w:r w:rsidR="0098486A" w:rsidRPr="00A81030">
                <w:rPr>
                  <w:rStyle w:val="Hyperlink"/>
                  <w:color w:val="0000CC"/>
                </w:rPr>
                <w:t xml:space="preserve"> 3</w:t>
              </w:r>
              <w:r w:rsidRPr="00A81030">
                <w:rPr>
                  <w:rStyle w:val="Hyperlink"/>
                  <w:color w:val="0000CC"/>
                </w:rPr>
                <w:t>.356</w:t>
              </w:r>
            </w:hyperlink>
            <w:r w:rsidRPr="00A81030">
              <w:rPr>
                <w:color w:val="auto"/>
              </w:rPr>
              <w:t>.</w:t>
            </w:r>
          </w:p>
        </w:tc>
      </w:tr>
    </w:tbl>
    <w:p w14:paraId="05A80E59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33ED5FBC" w14:textId="77777777" w:rsidTr="0052709F">
        <w:tc>
          <w:tcPr>
            <w:tcW w:w="1728" w:type="dxa"/>
          </w:tcPr>
          <w:p w14:paraId="1B3B13AC" w14:textId="77777777" w:rsidR="00E82303" w:rsidRPr="00A81030" w:rsidRDefault="00E82303">
            <w:pPr>
              <w:pStyle w:val="Heading5"/>
              <w:rPr>
                <w:color w:val="auto"/>
              </w:rPr>
            </w:pPr>
            <w:bookmarkStart w:id="9" w:name="_c.__Considering"/>
            <w:bookmarkEnd w:id="9"/>
            <w:r w:rsidRPr="00A81030">
              <w:rPr>
                <w:color w:val="auto"/>
              </w:rPr>
              <w:t xml:space="preserve">c.  Considering the </w:t>
            </w:r>
            <w:r w:rsidRPr="00A81030">
              <w:rPr>
                <w:color w:val="auto"/>
              </w:rPr>
              <w:lastRenderedPageBreak/>
              <w:t>Competency of Other Beneficiaries</w:t>
            </w:r>
          </w:p>
        </w:tc>
        <w:tc>
          <w:tcPr>
            <w:tcW w:w="7740" w:type="dxa"/>
          </w:tcPr>
          <w:p w14:paraId="446E6ED2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If there is evidence of incompetency and the claimant is another beneficiary, such as a surviving spouse, parent, or VA insurance beneficiary</w:t>
            </w:r>
          </w:p>
          <w:p w14:paraId="5B9E571D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6480D1CB" w14:textId="6FA297F2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consider competency a rating issue under </w:t>
            </w:r>
            <w:hyperlink r:id="rId19" w:history="1">
              <w:r w:rsidR="00AD5BBE" w:rsidRPr="00A81030">
                <w:rPr>
                  <w:rStyle w:val="Hyperlink"/>
                  <w:color w:val="0000CC"/>
                </w:rPr>
                <w:t>38 CFR</w:t>
              </w:r>
              <w:r w:rsidR="0098486A" w:rsidRPr="00A81030">
                <w:rPr>
                  <w:rStyle w:val="Hyperlink"/>
                  <w:color w:val="0000CC"/>
                </w:rPr>
                <w:t xml:space="preserve"> 3</w:t>
              </w:r>
              <w:r w:rsidRPr="00A81030">
                <w:rPr>
                  <w:rStyle w:val="Hyperlink"/>
                  <w:color w:val="0000CC"/>
                </w:rPr>
                <w:t>.353</w:t>
              </w:r>
            </w:hyperlink>
            <w:r w:rsidRPr="00A81030">
              <w:rPr>
                <w:color w:val="auto"/>
              </w:rPr>
              <w:t xml:space="preserve"> </w:t>
            </w:r>
            <w:r w:rsidRPr="00A81030">
              <w:rPr>
                <w:i/>
                <w:color w:val="auto"/>
              </w:rPr>
              <w:t>except</w:t>
            </w:r>
            <w:r w:rsidRPr="00A81030">
              <w:rPr>
                <w:color w:val="auto"/>
              </w:rPr>
              <w:t xml:space="preserve"> when there has been a judicial determination of incompetency, and</w:t>
            </w:r>
          </w:p>
          <w:p w14:paraId="3CFD45EB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propose a rating on the issue or undertake any required development.</w:t>
            </w:r>
          </w:p>
          <w:p w14:paraId="5B7014CC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75DABA6F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References</w:t>
            </w:r>
            <w:r w:rsidRPr="00A81030">
              <w:rPr>
                <w:color w:val="auto"/>
              </w:rPr>
              <w:t>:  For more information on</w:t>
            </w:r>
          </w:p>
          <w:p w14:paraId="632F3CD7" w14:textId="4B6C7501" w:rsidR="00E82303" w:rsidRPr="00A81030" w:rsidRDefault="0047021A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processing</w:t>
            </w:r>
            <w:r w:rsidR="00E82303" w:rsidRPr="00A81030">
              <w:rPr>
                <w:color w:val="auto"/>
              </w:rPr>
              <w:t xml:space="preserve"> judicial determinations of incompetency, see M21-1, Part III, Subpart v, 9.B.</w:t>
            </w:r>
            <w:r w:rsidR="00DF3007" w:rsidRPr="00A81030">
              <w:rPr>
                <w:color w:val="auto"/>
              </w:rPr>
              <w:t>2</w:t>
            </w:r>
            <w:r w:rsidR="00E82303" w:rsidRPr="00A81030">
              <w:rPr>
                <w:color w:val="auto"/>
              </w:rPr>
              <w:t>.g</w:t>
            </w:r>
          </w:p>
          <w:p w14:paraId="552DD178" w14:textId="77777777" w:rsidR="00DF7334" w:rsidRPr="00A81030" w:rsidRDefault="002603CB" w:rsidP="00DD72FD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processing a court decree of incompetency or court appointment of a fiduciary by reason of incompetency</w:t>
            </w:r>
            <w:r w:rsidR="00E82303" w:rsidRPr="00A81030">
              <w:rPr>
                <w:color w:val="auto"/>
              </w:rPr>
              <w:t>, see</w:t>
            </w:r>
            <w:r w:rsidR="005E1B6E" w:rsidRPr="00A81030">
              <w:rPr>
                <w:color w:val="auto"/>
              </w:rPr>
              <w:t xml:space="preserve"> </w:t>
            </w:r>
            <w:r w:rsidR="00E82303" w:rsidRPr="00A81030">
              <w:rPr>
                <w:color w:val="auto"/>
              </w:rPr>
              <w:t>M21-1, Part III, Subpart v, 9.B.</w:t>
            </w:r>
            <w:r w:rsidR="00DF3007" w:rsidRPr="00A81030">
              <w:rPr>
                <w:color w:val="auto"/>
              </w:rPr>
              <w:t>2</w:t>
            </w:r>
            <w:r w:rsidR="00E82303" w:rsidRPr="00A81030">
              <w:rPr>
                <w:color w:val="auto"/>
              </w:rPr>
              <w:t>.f</w:t>
            </w:r>
            <w:r w:rsidRPr="00A81030">
              <w:rPr>
                <w:color w:val="auto"/>
              </w:rPr>
              <w:t>, and</w:t>
            </w:r>
          </w:p>
          <w:p w14:paraId="263E025D" w14:textId="59C9DBFB" w:rsidR="00DD72FD" w:rsidRPr="00A81030" w:rsidRDefault="002603CB" w:rsidP="00DD72FD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processing a court appointment of a fiduciary without a judicial determination of incompetency</w:t>
            </w:r>
            <w:r w:rsidR="00DD72FD" w:rsidRPr="00A81030">
              <w:rPr>
                <w:color w:val="auto"/>
              </w:rPr>
              <w:t>, see M21-1, Part III, Subpart v, 9.B.</w:t>
            </w:r>
            <w:r w:rsidR="00DF3007" w:rsidRPr="00A81030">
              <w:rPr>
                <w:color w:val="auto"/>
              </w:rPr>
              <w:t>2</w:t>
            </w:r>
            <w:r w:rsidR="00DD72FD" w:rsidRPr="00A81030">
              <w:rPr>
                <w:color w:val="auto"/>
              </w:rPr>
              <w:t xml:space="preserve">.e. </w:t>
            </w:r>
          </w:p>
        </w:tc>
      </w:tr>
    </w:tbl>
    <w:p w14:paraId="347E80BF" w14:textId="528FC61A" w:rsidR="00E82303" w:rsidRPr="00A81030" w:rsidRDefault="00E82303">
      <w:pPr>
        <w:pStyle w:val="BlockLine"/>
        <w:rPr>
          <w:color w:val="auto"/>
        </w:rPr>
      </w:pPr>
    </w:p>
    <w:p w14:paraId="741DE3DE" w14:textId="77777777" w:rsidR="00E82303" w:rsidRPr="00A81030" w:rsidRDefault="00E82303">
      <w:pPr>
        <w:pStyle w:val="Heading4"/>
        <w:rPr>
          <w:color w:val="auto"/>
        </w:rPr>
      </w:pPr>
      <w:r w:rsidRPr="00A81030">
        <w:rPr>
          <w:color w:val="auto"/>
        </w:rPr>
        <w:br w:type="page"/>
      </w:r>
      <w:r w:rsidRPr="00A81030">
        <w:rPr>
          <w:color w:val="auto"/>
        </w:rPr>
        <w:lastRenderedPageBreak/>
        <w:t xml:space="preserve">3.  </w:t>
      </w:r>
      <w:bookmarkStart w:id="10" w:name="Topic3"/>
      <w:bookmarkEnd w:id="10"/>
      <w:r w:rsidRPr="00A81030">
        <w:rPr>
          <w:color w:val="auto"/>
        </w:rPr>
        <w:t>Process for Making Competency Determinations</w:t>
      </w:r>
    </w:p>
    <w:p w14:paraId="61A88DC1" w14:textId="13C1BBDD" w:rsidR="009E3657" w:rsidRPr="00A81030" w:rsidRDefault="0003022E" w:rsidP="0003022E">
      <w:pPr>
        <w:tabs>
          <w:tab w:val="left" w:pos="9360"/>
        </w:tabs>
        <w:ind w:left="1714"/>
        <w:rPr>
          <w:color w:val="auto"/>
          <w:u w:val="single"/>
        </w:rPr>
      </w:pPr>
      <w:r w:rsidRPr="00A81030">
        <w:rPr>
          <w:color w:val="auto"/>
          <w:u w:val="single"/>
        </w:rPr>
        <w:tab/>
      </w:r>
    </w:p>
    <w:p w14:paraId="160A608F" w14:textId="77777777" w:rsidR="0003022E" w:rsidRPr="00A81030" w:rsidRDefault="0003022E" w:rsidP="0003022E">
      <w:pPr>
        <w:tabs>
          <w:tab w:val="left" w:pos="9360"/>
        </w:tabs>
        <w:ind w:left="1714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E3657" w:rsidRPr="00A81030" w14:paraId="3AB8E150" w14:textId="77777777" w:rsidTr="00E8004D">
        <w:trPr>
          <w:cantSplit/>
        </w:trPr>
        <w:tc>
          <w:tcPr>
            <w:tcW w:w="1728" w:type="dxa"/>
          </w:tcPr>
          <w:p w14:paraId="7411CC6D" w14:textId="77777777" w:rsidR="009E3657" w:rsidRPr="00A81030" w:rsidRDefault="009E3657" w:rsidP="00E8004D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Introduction</w:t>
            </w:r>
          </w:p>
        </w:tc>
        <w:tc>
          <w:tcPr>
            <w:tcW w:w="7740" w:type="dxa"/>
          </w:tcPr>
          <w:p w14:paraId="69DC66B5" w14:textId="5D30F4B9" w:rsidR="009E3657" w:rsidRPr="00A81030" w:rsidRDefault="009E3657" w:rsidP="00E8004D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This topic contains information about </w:t>
            </w:r>
            <w:r w:rsidR="00145076" w:rsidRPr="00A81030">
              <w:rPr>
                <w:color w:val="auto"/>
              </w:rPr>
              <w:t>the process</w:t>
            </w:r>
            <w:r w:rsidRPr="00A81030">
              <w:rPr>
                <w:color w:val="auto"/>
              </w:rPr>
              <w:t xml:space="preserve"> for making competency determinations, including</w:t>
            </w:r>
          </w:p>
          <w:p w14:paraId="475D2A5C" w14:textId="77777777" w:rsidR="009E3657" w:rsidRPr="00A81030" w:rsidRDefault="009E3657" w:rsidP="00E8004D">
            <w:pPr>
              <w:pStyle w:val="BlockText"/>
              <w:rPr>
                <w:color w:val="auto"/>
              </w:rPr>
            </w:pPr>
          </w:p>
          <w:p w14:paraId="5C2EE7E2" w14:textId="22A83B05" w:rsidR="009E3657" w:rsidRPr="00A81030" w:rsidRDefault="009E3657" w:rsidP="00E8004D">
            <w:pPr>
              <w:pStyle w:val="BulletText1"/>
              <w:rPr>
                <w:color w:val="auto"/>
              </w:rPr>
            </w:pPr>
            <w:r w:rsidRPr="00A81030">
              <w:rPr>
                <w:rStyle w:val="Hyperlink"/>
                <w:color w:val="auto"/>
                <w:u w:val="none"/>
              </w:rPr>
              <w:t>making initial competency determinations</w:t>
            </w:r>
            <w:r w:rsidR="00142D65" w:rsidRPr="00A81030">
              <w:rPr>
                <w:rStyle w:val="Hyperlink"/>
                <w:color w:val="auto"/>
                <w:u w:val="none"/>
              </w:rPr>
              <w:t xml:space="preserve"> based on medical evidence</w:t>
            </w:r>
          </w:p>
          <w:p w14:paraId="0E82A87D" w14:textId="1B97EF3B" w:rsidR="009E3657" w:rsidRPr="00A81030" w:rsidRDefault="009335CB" w:rsidP="00E8004D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jurisdiction of</w:t>
            </w:r>
            <w:r w:rsidR="009E3657" w:rsidRPr="00A81030">
              <w:rPr>
                <w:rStyle w:val="Hyperlink"/>
                <w:color w:val="auto"/>
                <w:u w:val="none"/>
              </w:rPr>
              <w:t xml:space="preserve"> a final competency determination, and</w:t>
            </w:r>
          </w:p>
          <w:p w14:paraId="53DC0501" w14:textId="613B74AB" w:rsidR="009E3657" w:rsidRPr="00A81030" w:rsidRDefault="009E3657" w:rsidP="009E3657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making final competency determinations</w:t>
            </w:r>
            <w:r w:rsidR="00077E50" w:rsidRPr="00A81030">
              <w:rPr>
                <w:color w:val="auto"/>
              </w:rPr>
              <w:t xml:space="preserve"> when additional medical evidence or a hearing request is received</w:t>
            </w:r>
            <w:r w:rsidRPr="00A81030">
              <w:rPr>
                <w:color w:val="auto"/>
              </w:rPr>
              <w:t>.</w:t>
            </w:r>
          </w:p>
        </w:tc>
      </w:tr>
    </w:tbl>
    <w:p w14:paraId="39BBBC9A" w14:textId="77777777" w:rsidR="00E82303" w:rsidRPr="00A81030" w:rsidRDefault="00E82303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3D89C2C7" w14:textId="77777777">
        <w:trPr>
          <w:cantSplit/>
        </w:trPr>
        <w:tc>
          <w:tcPr>
            <w:tcW w:w="1728" w:type="dxa"/>
          </w:tcPr>
          <w:p w14:paraId="723F2AA5" w14:textId="1EEA1EB6" w:rsidR="00E82303" w:rsidRPr="00A81030" w:rsidRDefault="0003022E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Change Date</w:t>
            </w:r>
          </w:p>
        </w:tc>
        <w:tc>
          <w:tcPr>
            <w:tcW w:w="7740" w:type="dxa"/>
          </w:tcPr>
          <w:p w14:paraId="7C53FFD0" w14:textId="300921E6" w:rsidR="00E82303" w:rsidRPr="00A81030" w:rsidRDefault="008F3C72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November 13, 2015</w:t>
            </w:r>
          </w:p>
        </w:tc>
      </w:tr>
    </w:tbl>
    <w:p w14:paraId="69021BA4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INFOTYPE="PROCESS"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44554BF1" w14:textId="77777777">
        <w:trPr>
          <w:cantSplit/>
        </w:trPr>
        <w:tc>
          <w:tcPr>
            <w:tcW w:w="1728" w:type="dxa"/>
          </w:tcPr>
          <w:p w14:paraId="10EB4A22" w14:textId="40F7B497" w:rsidR="00E82303" w:rsidRPr="00A81030" w:rsidRDefault="00E82303" w:rsidP="00142D65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 xml:space="preserve">a.  Making </w:t>
            </w:r>
            <w:r w:rsidR="009E3657" w:rsidRPr="00A81030">
              <w:rPr>
                <w:color w:val="auto"/>
              </w:rPr>
              <w:t xml:space="preserve">Initial </w:t>
            </w:r>
            <w:r w:rsidRPr="00A81030">
              <w:rPr>
                <w:color w:val="auto"/>
              </w:rPr>
              <w:t>Competency Determinations</w:t>
            </w:r>
            <w:r w:rsidR="00142D65" w:rsidRPr="00A81030">
              <w:rPr>
                <w:color w:val="auto"/>
              </w:rPr>
              <w:t xml:space="preserve"> Based on Medical Evidence</w:t>
            </w:r>
            <w:r w:rsidR="00CA5676" w:rsidRPr="00A81030">
              <w:rPr>
                <w:color w:val="auto"/>
              </w:rPr>
              <w:t xml:space="preserve"> </w:t>
            </w:r>
          </w:p>
        </w:tc>
        <w:tc>
          <w:tcPr>
            <w:tcW w:w="7740" w:type="dxa"/>
          </w:tcPr>
          <w:p w14:paraId="2D87AEE1" w14:textId="668B2FD7" w:rsidR="00E82303" w:rsidRPr="00A81030" w:rsidRDefault="007779EC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The regional office (RO) is responsible for all initial competency determinations based on medical evidence.  </w:t>
            </w:r>
            <w:r w:rsidR="00E82303" w:rsidRPr="00A81030">
              <w:rPr>
                <w:color w:val="auto"/>
              </w:rPr>
              <w:t>The table below describes the actions involved in making</w:t>
            </w:r>
            <w:r w:rsidR="00365DED" w:rsidRPr="00A81030">
              <w:rPr>
                <w:color w:val="auto"/>
              </w:rPr>
              <w:t xml:space="preserve"> initial</w:t>
            </w:r>
            <w:r w:rsidR="00E82303" w:rsidRPr="00A81030">
              <w:rPr>
                <w:color w:val="auto"/>
              </w:rPr>
              <w:t xml:space="preserve"> competency determinations</w:t>
            </w:r>
            <w:r w:rsidR="008731FC" w:rsidRPr="00A81030">
              <w:rPr>
                <w:color w:val="auto"/>
              </w:rPr>
              <w:t xml:space="preserve"> based on receipt of medical evidence</w:t>
            </w:r>
            <w:r w:rsidR="00E82303" w:rsidRPr="00A81030">
              <w:rPr>
                <w:color w:val="auto"/>
              </w:rPr>
              <w:t>.</w:t>
            </w:r>
            <w:r w:rsidR="0003022E" w:rsidRPr="00A81030">
              <w:rPr>
                <w:color w:val="auto"/>
              </w:rPr>
              <w:t xml:space="preserve">  </w:t>
            </w:r>
          </w:p>
          <w:p w14:paraId="1D89A395" w14:textId="213465AA" w:rsidR="008731FC" w:rsidRPr="00A81030" w:rsidRDefault="008731FC" w:rsidP="007779EC">
            <w:pPr>
              <w:rPr>
                <w:color w:val="auto"/>
              </w:rPr>
            </w:pPr>
          </w:p>
        </w:tc>
      </w:tr>
    </w:tbl>
    <w:p w14:paraId="174F3AF7" w14:textId="77777777" w:rsidR="00E82303" w:rsidRPr="00A81030" w:rsidRDefault="00E82303">
      <w:pPr>
        <w:rPr>
          <w:color w:val="auto"/>
        </w:rPr>
      </w:pPr>
    </w:p>
    <w:tbl>
      <w:tblPr>
        <w:tblW w:w="7624" w:type="dxa"/>
        <w:tblInd w:w="181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4"/>
        <w:gridCol w:w="2520"/>
        <w:gridCol w:w="4230"/>
      </w:tblGrid>
      <w:tr w:rsidR="003E02F6" w:rsidRPr="00A81030" w14:paraId="79B543EB" w14:textId="77777777" w:rsidTr="00A81030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C41C" w14:textId="722CEC2B" w:rsidR="00E82303" w:rsidRPr="00A81030" w:rsidRDefault="00CA5676" w:rsidP="00CA5676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Step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50B8" w14:textId="406D1D6A" w:rsidR="00E82303" w:rsidRPr="00A81030" w:rsidRDefault="00E82303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Responsible</w:t>
            </w:r>
            <w:r w:rsidR="007779EC" w:rsidRPr="00A81030">
              <w:rPr>
                <w:color w:val="auto"/>
              </w:rPr>
              <w:t xml:space="preserve"> </w:t>
            </w:r>
            <w:r w:rsidR="00CA5676" w:rsidRPr="00A81030">
              <w:rPr>
                <w:color w:val="auto"/>
              </w:rPr>
              <w:t>Employee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87EB" w14:textId="77777777" w:rsidR="00E82303" w:rsidRPr="00A81030" w:rsidRDefault="00E82303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Action</w:t>
            </w:r>
          </w:p>
        </w:tc>
      </w:tr>
      <w:tr w:rsidR="003E02F6" w:rsidRPr="00A81030" w14:paraId="01EFFA45" w14:textId="77777777" w:rsidTr="00A81030">
        <w:trPr>
          <w:trHeight w:val="61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90D2" w14:textId="77777777" w:rsidR="00FD0247" w:rsidRPr="00A81030" w:rsidRDefault="00FD0247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AB46" w14:textId="77777777" w:rsidR="00FD0247" w:rsidRPr="00A81030" w:rsidRDefault="00FD0247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Rating Veterans Service Representative (RVSR) or designee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FEB7" w14:textId="77777777" w:rsidR="009E3657" w:rsidRPr="00A81030" w:rsidRDefault="004B7B54" w:rsidP="004A05EF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Prepares a rating decision proposing a finding of incompetency after receiving clear and convincing evidence that a payee is incapable of managing his/her own affairs, including disbursement of funds without limitation</w:t>
            </w:r>
            <w:r w:rsidR="009E3657" w:rsidRPr="00A81030">
              <w:rPr>
                <w:color w:val="auto"/>
              </w:rPr>
              <w:t>, and</w:t>
            </w:r>
          </w:p>
          <w:p w14:paraId="77740D5D" w14:textId="235B1CEE" w:rsidR="004B7B54" w:rsidRPr="00A81030" w:rsidRDefault="009E3657" w:rsidP="004A05EF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ensures </w:t>
            </w:r>
            <w:r w:rsidR="00365DED" w:rsidRPr="00A81030">
              <w:rPr>
                <w:color w:val="auto"/>
              </w:rPr>
              <w:t xml:space="preserve">that </w:t>
            </w:r>
            <w:r w:rsidRPr="00A81030">
              <w:rPr>
                <w:color w:val="auto"/>
              </w:rPr>
              <w:t xml:space="preserve">the facts contained in the proposed rating decision are complete so that they do not need to be repeated in the final rating decision.  </w:t>
            </w:r>
          </w:p>
          <w:p w14:paraId="1A6CAEDB" w14:textId="77777777" w:rsidR="004B7B54" w:rsidRPr="00A81030" w:rsidRDefault="004B7B54" w:rsidP="004B7B54">
            <w:pPr>
              <w:rPr>
                <w:b/>
                <w:i/>
                <w:color w:val="auto"/>
              </w:rPr>
            </w:pPr>
          </w:p>
          <w:p w14:paraId="0121E82E" w14:textId="672E5F39" w:rsidR="00734FA0" w:rsidRPr="00A81030" w:rsidRDefault="004B7B54" w:rsidP="00CF7DA4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Pr="00A81030">
              <w:rPr>
                <w:color w:val="auto"/>
              </w:rPr>
              <w:t xml:space="preserve">: </w:t>
            </w:r>
            <w:r w:rsidR="004A74F1" w:rsidRPr="00A81030">
              <w:rPr>
                <w:color w:val="auto"/>
              </w:rPr>
              <w:t xml:space="preserve"> </w:t>
            </w:r>
            <w:r w:rsidR="007779EC" w:rsidRPr="00A81030">
              <w:rPr>
                <w:color w:val="auto"/>
              </w:rPr>
              <w:t>If there is a finding of incompetency by a court, a</w:t>
            </w:r>
            <w:r w:rsidRPr="00A81030">
              <w:rPr>
                <w:color w:val="auto"/>
              </w:rPr>
              <w:t xml:space="preserve"> rating is not necessary for any payee besides a Veteran.  For all payees, however, a court adjudication waives the due process</w:t>
            </w:r>
            <w:r w:rsidR="00365DED" w:rsidRPr="00A81030">
              <w:rPr>
                <w:color w:val="auto"/>
              </w:rPr>
              <w:t xml:space="preserve"> </w:t>
            </w:r>
            <w:r w:rsidRPr="00A81030">
              <w:rPr>
                <w:color w:val="auto"/>
              </w:rPr>
              <w:t>requirement.</w:t>
            </w:r>
          </w:p>
        </w:tc>
      </w:tr>
      <w:tr w:rsidR="00FD0247" w:rsidRPr="00A81030" w14:paraId="224CC4F6" w14:textId="77777777" w:rsidTr="00A81030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A362" w14:textId="65A062F5" w:rsidR="00FD0247" w:rsidRPr="00A81030" w:rsidRDefault="00FD0247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AAA2" w14:textId="77777777" w:rsidR="00FD0247" w:rsidRPr="00A81030" w:rsidRDefault="00FD0247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Veterans Service Representative (VSR) or designee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5DBA" w14:textId="77777777" w:rsidR="00A53CE9" w:rsidRPr="00A81030" w:rsidRDefault="00A53CE9" w:rsidP="004A05EF">
            <w:pPr>
              <w:pStyle w:val="ListParagraph"/>
              <w:numPr>
                <w:ilvl w:val="0"/>
                <w:numId w:val="7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Provides the payee notice of</w:t>
            </w:r>
          </w:p>
          <w:p w14:paraId="4A3425C2" w14:textId="5F3A0564" w:rsidR="00A53CE9" w:rsidRPr="00A81030" w:rsidRDefault="00A53CE9" w:rsidP="004A05EF">
            <w:pPr>
              <w:pStyle w:val="ListParagraph"/>
              <w:numPr>
                <w:ilvl w:val="0"/>
                <w:numId w:val="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the proposed incompetency rating, and</w:t>
            </w:r>
          </w:p>
          <w:p w14:paraId="4FEDBEEB" w14:textId="7907F8B4" w:rsidR="00A53CE9" w:rsidRPr="00A81030" w:rsidRDefault="00A53CE9" w:rsidP="004A05EF">
            <w:pPr>
              <w:pStyle w:val="ListParagraph"/>
              <w:numPr>
                <w:ilvl w:val="0"/>
                <w:numId w:val="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the opportunity for a hearing</w:t>
            </w:r>
          </w:p>
          <w:p w14:paraId="725B67B7" w14:textId="3BD123F1" w:rsidR="00A53CE9" w:rsidRPr="00A81030" w:rsidRDefault="00A53CE9" w:rsidP="00FD0247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clears any pending EP that would normally be taken at this point</w:t>
            </w:r>
            <w:r w:rsidR="00AC2666" w:rsidRPr="00A81030">
              <w:rPr>
                <w:color w:val="auto"/>
              </w:rPr>
              <w:t xml:space="preserve">, </w:t>
            </w:r>
            <w:r w:rsidR="00AC2666" w:rsidRPr="00A81030">
              <w:rPr>
                <w:color w:val="auto"/>
              </w:rPr>
              <w:lastRenderedPageBreak/>
              <w:t>including releasing monthly benefits</w:t>
            </w:r>
          </w:p>
          <w:p w14:paraId="2CFA99D8" w14:textId="4C891F6E" w:rsidR="00FD0247" w:rsidRPr="00A81030" w:rsidRDefault="00FD0247" w:rsidP="00FD0247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notifies </w:t>
            </w:r>
            <w:r w:rsidR="00077E50" w:rsidRPr="00A81030">
              <w:rPr>
                <w:color w:val="auto"/>
              </w:rPr>
              <w:t>p</w:t>
            </w:r>
            <w:r w:rsidRPr="00A81030">
              <w:rPr>
                <w:color w:val="auto"/>
              </w:rPr>
              <w:t xml:space="preserve">ower of </w:t>
            </w:r>
            <w:r w:rsidR="00077E50" w:rsidRPr="00A81030">
              <w:rPr>
                <w:color w:val="auto"/>
              </w:rPr>
              <w:t>a</w:t>
            </w:r>
            <w:r w:rsidRPr="00A81030">
              <w:rPr>
                <w:color w:val="auto"/>
              </w:rPr>
              <w:t>ttorney (POA), if appli</w:t>
            </w:r>
            <w:r w:rsidR="000C3138" w:rsidRPr="00A81030">
              <w:rPr>
                <w:color w:val="auto"/>
              </w:rPr>
              <w:t>cable</w:t>
            </w:r>
            <w:r w:rsidR="00077E50" w:rsidRPr="00A81030">
              <w:rPr>
                <w:color w:val="auto"/>
              </w:rPr>
              <w:t xml:space="preserve">, </w:t>
            </w:r>
            <w:r w:rsidR="000C3138" w:rsidRPr="00A81030">
              <w:rPr>
                <w:color w:val="auto"/>
              </w:rPr>
              <w:t>per M21-1, Part I, 3.B.</w:t>
            </w:r>
            <w:r w:rsidR="00077E50" w:rsidRPr="00A81030">
              <w:rPr>
                <w:color w:val="auto"/>
              </w:rPr>
              <w:t>3</w:t>
            </w:r>
            <w:r w:rsidR="005A72E4" w:rsidRPr="00A81030">
              <w:rPr>
                <w:color w:val="auto"/>
              </w:rPr>
              <w:t>, and</w:t>
            </w:r>
          </w:p>
          <w:p w14:paraId="20A6348F" w14:textId="77777777" w:rsidR="005A72E4" w:rsidRPr="00A81030" w:rsidRDefault="00FD0247" w:rsidP="00185F9E">
            <w:pPr>
              <w:pStyle w:val="ListParagraph"/>
              <w:numPr>
                <w:ilvl w:val="0"/>
                <w:numId w:val="35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establishes a one</w:t>
            </w:r>
            <w:r w:rsidR="00AC2666" w:rsidRPr="00A81030">
              <w:rPr>
                <w:color w:val="auto"/>
              </w:rPr>
              <w:t>-</w:t>
            </w:r>
            <w:r w:rsidRPr="00A81030">
              <w:rPr>
                <w:color w:val="auto"/>
              </w:rPr>
              <w:t xml:space="preserve">month diary using the </w:t>
            </w:r>
            <w:r w:rsidR="00AC2666" w:rsidRPr="00A81030">
              <w:rPr>
                <w:i/>
                <w:color w:val="auto"/>
              </w:rPr>
              <w:t>L</w:t>
            </w:r>
            <w:r w:rsidRPr="00A81030">
              <w:rPr>
                <w:i/>
                <w:color w:val="auto"/>
              </w:rPr>
              <w:t xml:space="preserve">ocal </w:t>
            </w:r>
            <w:r w:rsidR="00145076" w:rsidRPr="00A81030">
              <w:rPr>
                <w:i/>
                <w:color w:val="auto"/>
              </w:rPr>
              <w:t>R</w:t>
            </w:r>
            <w:r w:rsidR="00AC2666" w:rsidRPr="00A81030">
              <w:rPr>
                <w:i/>
                <w:color w:val="auto"/>
              </w:rPr>
              <w:t xml:space="preserve">egional </w:t>
            </w:r>
            <w:r w:rsidR="00145076" w:rsidRPr="00A81030">
              <w:rPr>
                <w:i/>
                <w:color w:val="auto"/>
              </w:rPr>
              <w:t>O</w:t>
            </w:r>
            <w:r w:rsidR="00AC2666" w:rsidRPr="00A81030">
              <w:rPr>
                <w:i/>
                <w:color w:val="auto"/>
              </w:rPr>
              <w:t>ffice – Special</w:t>
            </w:r>
            <w:r w:rsidR="00AC2666" w:rsidRPr="00A81030">
              <w:rPr>
                <w:color w:val="auto"/>
              </w:rPr>
              <w:t xml:space="preserve"> </w:t>
            </w:r>
            <w:r w:rsidRPr="00A81030">
              <w:rPr>
                <w:color w:val="auto"/>
              </w:rPr>
              <w:t xml:space="preserve">with remarks </w:t>
            </w:r>
            <w:r w:rsidRPr="00A81030">
              <w:rPr>
                <w:i/>
                <w:color w:val="auto"/>
              </w:rPr>
              <w:t>Incomp Due Process</w:t>
            </w:r>
            <w:r w:rsidR="005A72E4" w:rsidRPr="00A81030">
              <w:rPr>
                <w:color w:val="auto"/>
              </w:rPr>
              <w:t>.</w:t>
            </w:r>
          </w:p>
          <w:p w14:paraId="5BA1F226" w14:textId="77777777" w:rsidR="00FD0247" w:rsidRPr="00A81030" w:rsidRDefault="00FD0247" w:rsidP="00FD0247">
            <w:pPr>
              <w:pStyle w:val="TableText"/>
              <w:rPr>
                <w:b/>
                <w:bCs/>
                <w:i/>
                <w:iCs/>
                <w:color w:val="auto"/>
              </w:rPr>
            </w:pPr>
          </w:p>
          <w:p w14:paraId="07174207" w14:textId="23B3CBDE" w:rsidR="00FC6275" w:rsidRPr="00A81030" w:rsidRDefault="00FD0247" w:rsidP="00607984">
            <w:pPr>
              <w:pStyle w:val="TableText"/>
              <w:rPr>
                <w:color w:val="auto"/>
              </w:rPr>
            </w:pPr>
            <w:r w:rsidRPr="00A81030">
              <w:rPr>
                <w:b/>
                <w:bCs/>
                <w:i/>
                <w:iCs/>
                <w:color w:val="auto"/>
              </w:rPr>
              <w:t>Note</w:t>
            </w:r>
            <w:r w:rsidRPr="00A81030">
              <w:rPr>
                <w:color w:val="auto"/>
              </w:rPr>
              <w:t xml:space="preserve">:  </w:t>
            </w:r>
            <w:r w:rsidR="005E1B6E" w:rsidRPr="00A81030">
              <w:rPr>
                <w:color w:val="auto"/>
              </w:rPr>
              <w:t>S</w:t>
            </w:r>
            <w:r w:rsidRPr="00A81030">
              <w:rPr>
                <w:color w:val="auto"/>
              </w:rPr>
              <w:t>end e</w:t>
            </w:r>
            <w:r w:rsidR="005E1B6E" w:rsidRPr="00A81030">
              <w:rPr>
                <w:color w:val="auto"/>
              </w:rPr>
              <w:t>-</w:t>
            </w:r>
            <w:r w:rsidRPr="00A81030">
              <w:rPr>
                <w:color w:val="auto"/>
              </w:rPr>
              <w:t>mail notification of the proposed incompetency rating</w:t>
            </w:r>
            <w:r w:rsidR="00C778B9" w:rsidRPr="00A81030">
              <w:rPr>
                <w:color w:val="auto"/>
              </w:rPr>
              <w:t xml:space="preserve">, along with the beneficiary's name and claim number, </w:t>
            </w:r>
            <w:r w:rsidRPr="00A81030">
              <w:rPr>
                <w:color w:val="auto"/>
              </w:rPr>
              <w:t>to the f</w:t>
            </w:r>
            <w:r w:rsidR="000C3138" w:rsidRPr="00A81030">
              <w:rPr>
                <w:color w:val="auto"/>
              </w:rPr>
              <w:t>iduciary hub of jurisdiction</w:t>
            </w:r>
            <w:r w:rsidRPr="00A81030">
              <w:rPr>
                <w:color w:val="auto"/>
              </w:rPr>
              <w:t>.</w:t>
            </w:r>
            <w:r w:rsidR="0003022E" w:rsidRPr="00A81030">
              <w:rPr>
                <w:color w:val="auto"/>
              </w:rPr>
              <w:t xml:space="preserve"> </w:t>
            </w:r>
          </w:p>
        </w:tc>
      </w:tr>
    </w:tbl>
    <w:p w14:paraId="328E317F" w14:textId="77777777" w:rsidR="00A14872" w:rsidRPr="00A81030" w:rsidRDefault="00A14872" w:rsidP="00FC6275">
      <w:pPr>
        <w:tabs>
          <w:tab w:val="left" w:pos="9360"/>
        </w:tabs>
        <w:ind w:left="1714"/>
        <w:rPr>
          <w:color w:val="auto"/>
          <w:u w:val="single"/>
        </w:rPr>
      </w:pPr>
    </w:p>
    <w:tbl>
      <w:tblPr>
        <w:tblStyle w:val="TableGrid"/>
        <w:tblW w:w="7650" w:type="dxa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3E02F6" w:rsidRPr="00A81030" w14:paraId="3666B648" w14:textId="77777777" w:rsidTr="00540BA5">
        <w:tc>
          <w:tcPr>
            <w:tcW w:w="7650" w:type="dxa"/>
            <w:shd w:val="clear" w:color="auto" w:fill="auto"/>
          </w:tcPr>
          <w:p w14:paraId="00D85AEA" w14:textId="77777777" w:rsidR="00A14872" w:rsidRPr="00A81030" w:rsidRDefault="00A14872" w:rsidP="00A14872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References</w:t>
            </w:r>
            <w:r w:rsidRPr="00A81030">
              <w:rPr>
                <w:color w:val="auto"/>
              </w:rPr>
              <w:t xml:space="preserve">:  For more information on </w:t>
            </w:r>
          </w:p>
          <w:p w14:paraId="0724627B" w14:textId="55A99591" w:rsidR="00A14872" w:rsidRPr="00A81030" w:rsidRDefault="00A14872" w:rsidP="00A14872">
            <w:pPr>
              <w:pStyle w:val="ListParagraph"/>
              <w:numPr>
                <w:ilvl w:val="0"/>
                <w:numId w:val="9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due process</w:t>
            </w:r>
            <w:r w:rsidR="002603CB" w:rsidRPr="00A81030">
              <w:rPr>
                <w:color w:val="auto"/>
              </w:rPr>
              <w:t xml:space="preserve"> requirements for</w:t>
            </w:r>
            <w:r w:rsidRPr="00A81030">
              <w:rPr>
                <w:color w:val="auto"/>
              </w:rPr>
              <w:t xml:space="preserve"> incompetency determinations, see M21-1, Part III, Subpart v, 9.B.3</w:t>
            </w:r>
          </w:p>
          <w:p w14:paraId="19E2C741" w14:textId="39BDEFE4" w:rsidR="00A14872" w:rsidRPr="00A81030" w:rsidRDefault="002603CB" w:rsidP="00A14872">
            <w:pPr>
              <w:pStyle w:val="ListParagraph"/>
              <w:numPr>
                <w:ilvl w:val="0"/>
                <w:numId w:val="9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jurisdiction for competency decisions</w:t>
            </w:r>
            <w:r w:rsidR="00A14872" w:rsidRPr="00A81030">
              <w:rPr>
                <w:color w:val="auto"/>
              </w:rPr>
              <w:t>, see M21-1, Part III, Subpart iv, 8.A.2.a</w:t>
            </w:r>
          </w:p>
          <w:p w14:paraId="11E0082B" w14:textId="56D0E802" w:rsidR="0052709F" w:rsidRPr="00A81030" w:rsidRDefault="002603CB" w:rsidP="00A14872">
            <w:pPr>
              <w:pStyle w:val="ListParagraph"/>
              <w:numPr>
                <w:ilvl w:val="0"/>
                <w:numId w:val="9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determining when a competency rating is needed after a decree by a court</w:t>
            </w:r>
            <w:r w:rsidR="00A14872" w:rsidRPr="00A81030">
              <w:rPr>
                <w:color w:val="auto"/>
              </w:rPr>
              <w:t xml:space="preserve">, see M21-1, Part III, Subpart iv, 8.A.5.b, and </w:t>
            </w:r>
          </w:p>
          <w:p w14:paraId="622B68F7" w14:textId="27616F18" w:rsidR="00A14872" w:rsidRPr="00A81030" w:rsidRDefault="002603CB" w:rsidP="00A14872">
            <w:pPr>
              <w:pStyle w:val="ListParagraph"/>
              <w:numPr>
                <w:ilvl w:val="0"/>
                <w:numId w:val="9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decree by a court as notice and hearing</w:t>
            </w:r>
            <w:r w:rsidR="00A14872" w:rsidRPr="00A81030">
              <w:rPr>
                <w:color w:val="auto"/>
              </w:rPr>
              <w:t xml:space="preserve">, see M21-1, Part III, Subpart iv, 8.A.5.a.  </w:t>
            </w:r>
          </w:p>
        </w:tc>
      </w:tr>
    </w:tbl>
    <w:p w14:paraId="5EE03105" w14:textId="6ECF8EE5" w:rsidR="00FC6275" w:rsidRPr="00A81030" w:rsidRDefault="00FC6275" w:rsidP="00FC6275">
      <w:pPr>
        <w:tabs>
          <w:tab w:val="left" w:pos="9360"/>
        </w:tabs>
        <w:ind w:left="1714"/>
        <w:rPr>
          <w:color w:val="auto"/>
          <w:u w:val="single"/>
        </w:rPr>
      </w:pPr>
      <w:r w:rsidRPr="00A81030">
        <w:rPr>
          <w:color w:val="auto"/>
          <w:u w:val="single"/>
        </w:rPr>
        <w:tab/>
      </w:r>
    </w:p>
    <w:p w14:paraId="06860CF2" w14:textId="77777777" w:rsidR="00CA451E" w:rsidRPr="00A81030" w:rsidRDefault="00CA451E" w:rsidP="00FC6275">
      <w:pPr>
        <w:tabs>
          <w:tab w:val="left" w:pos="9360"/>
        </w:tabs>
        <w:ind w:left="1714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3E02F6" w:rsidRPr="00A81030" w14:paraId="0EDFB94D" w14:textId="77777777" w:rsidTr="00A35E81">
        <w:tc>
          <w:tcPr>
            <w:tcW w:w="1728" w:type="dxa"/>
            <w:shd w:val="clear" w:color="auto" w:fill="auto"/>
          </w:tcPr>
          <w:p w14:paraId="183298B1" w14:textId="135921A3" w:rsidR="00FC6275" w:rsidRPr="00A81030" w:rsidRDefault="00FC6275" w:rsidP="009335CB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 xml:space="preserve">b.  </w:t>
            </w:r>
            <w:r w:rsidR="009335CB" w:rsidRPr="00A81030">
              <w:rPr>
                <w:b/>
                <w:color w:val="auto"/>
                <w:sz w:val="22"/>
              </w:rPr>
              <w:t>Jurisdiction of</w:t>
            </w:r>
            <w:r w:rsidRPr="00A81030">
              <w:rPr>
                <w:b/>
                <w:color w:val="auto"/>
                <w:sz w:val="22"/>
              </w:rPr>
              <w:t xml:space="preserve"> a Final</w:t>
            </w:r>
            <w:r w:rsidR="005F36BB" w:rsidRPr="00A81030">
              <w:rPr>
                <w:b/>
                <w:color w:val="auto"/>
                <w:sz w:val="22"/>
              </w:rPr>
              <w:t xml:space="preserve"> Competency</w:t>
            </w:r>
            <w:r w:rsidRPr="00A81030">
              <w:rPr>
                <w:b/>
                <w:color w:val="auto"/>
                <w:sz w:val="22"/>
              </w:rPr>
              <w:t xml:space="preserve"> Determination </w:t>
            </w:r>
          </w:p>
        </w:tc>
        <w:tc>
          <w:tcPr>
            <w:tcW w:w="7740" w:type="dxa"/>
            <w:shd w:val="clear" w:color="auto" w:fill="auto"/>
          </w:tcPr>
          <w:p w14:paraId="68187F7C" w14:textId="567B0FD9" w:rsidR="00FC6275" w:rsidRPr="00A81030" w:rsidRDefault="00C778B9" w:rsidP="00C778B9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Use the table below to determine jurisdiction of the final competency determination. </w:t>
            </w:r>
          </w:p>
        </w:tc>
      </w:tr>
    </w:tbl>
    <w:p w14:paraId="65DF5EC0" w14:textId="6A92F04D" w:rsidR="00FC6275" w:rsidRPr="00A81030" w:rsidRDefault="00C420C3" w:rsidP="00C778B9">
      <w:pPr>
        <w:rPr>
          <w:color w:val="auto"/>
        </w:rPr>
      </w:pPr>
      <w:r w:rsidRPr="00A81030">
        <w:rPr>
          <w:color w:val="auto"/>
        </w:rPr>
        <w:tab/>
      </w: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E02F6" w:rsidRPr="00A81030" w14:paraId="06D2803F" w14:textId="77777777" w:rsidTr="00C778B9">
        <w:tc>
          <w:tcPr>
            <w:tcW w:w="3870" w:type="dxa"/>
          </w:tcPr>
          <w:p w14:paraId="6A191361" w14:textId="7FF408C3" w:rsidR="00C778B9" w:rsidRPr="00A81030" w:rsidRDefault="00C778B9" w:rsidP="00C778B9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If ...</w:t>
            </w:r>
          </w:p>
        </w:tc>
        <w:tc>
          <w:tcPr>
            <w:tcW w:w="3780" w:type="dxa"/>
          </w:tcPr>
          <w:p w14:paraId="5F096773" w14:textId="44B66E47" w:rsidR="00C778B9" w:rsidRPr="00A81030" w:rsidRDefault="00C778B9" w:rsidP="00C778B9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Then the...</w:t>
            </w:r>
          </w:p>
        </w:tc>
      </w:tr>
      <w:tr w:rsidR="003E02F6" w:rsidRPr="00A81030" w14:paraId="46819DAC" w14:textId="77777777" w:rsidTr="00C778B9">
        <w:tc>
          <w:tcPr>
            <w:tcW w:w="3870" w:type="dxa"/>
          </w:tcPr>
          <w:p w14:paraId="548E9FB7" w14:textId="6D3F3DA6" w:rsidR="00C778B9" w:rsidRPr="00A81030" w:rsidRDefault="00C778B9" w:rsidP="00C778B9">
            <w:pPr>
              <w:rPr>
                <w:color w:val="auto"/>
              </w:rPr>
            </w:pPr>
            <w:r w:rsidRPr="00A81030">
              <w:rPr>
                <w:color w:val="auto"/>
              </w:rPr>
              <w:t>no evidence is received during the due process period</w:t>
            </w:r>
          </w:p>
        </w:tc>
        <w:tc>
          <w:tcPr>
            <w:tcW w:w="3780" w:type="dxa"/>
          </w:tcPr>
          <w:p w14:paraId="122E3C4E" w14:textId="5F5FC051" w:rsidR="00C778B9" w:rsidRPr="00A81030" w:rsidRDefault="00C778B9" w:rsidP="00C778B9">
            <w:pPr>
              <w:rPr>
                <w:color w:val="auto"/>
              </w:rPr>
            </w:pPr>
            <w:r w:rsidRPr="00A81030">
              <w:rPr>
                <w:color w:val="auto"/>
              </w:rPr>
              <w:t>FSR at the fiduciary hub has jurisdiction to finalize the previously-proposed competency determination.</w:t>
            </w:r>
          </w:p>
          <w:p w14:paraId="12CC28C6" w14:textId="77777777" w:rsidR="00C778B9" w:rsidRPr="00A81030" w:rsidRDefault="00C778B9" w:rsidP="00C778B9">
            <w:pPr>
              <w:rPr>
                <w:color w:val="auto"/>
              </w:rPr>
            </w:pPr>
          </w:p>
          <w:p w14:paraId="7E921D79" w14:textId="0AF6A996" w:rsidR="00C778B9" w:rsidRPr="00A81030" w:rsidRDefault="00C778B9" w:rsidP="00C778B9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Important</w:t>
            </w:r>
            <w:r w:rsidRPr="00A81030">
              <w:rPr>
                <w:color w:val="auto"/>
              </w:rPr>
              <w:t>:  The FSR does not have authority to change the previously-proposed competency decision.</w:t>
            </w:r>
          </w:p>
        </w:tc>
      </w:tr>
      <w:tr w:rsidR="003E02F6" w:rsidRPr="00A81030" w14:paraId="1FD6A0CC" w14:textId="77777777" w:rsidTr="00C778B9">
        <w:tc>
          <w:tcPr>
            <w:tcW w:w="3870" w:type="dxa"/>
          </w:tcPr>
          <w:p w14:paraId="689A8C3A" w14:textId="0C027A65" w:rsidR="00C778B9" w:rsidRPr="00A81030" w:rsidRDefault="00C778B9" w:rsidP="00185F9E">
            <w:pPr>
              <w:pStyle w:val="ListParagraph"/>
              <w:numPr>
                <w:ilvl w:val="0"/>
                <w:numId w:val="3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a hearing has been requested regarding the competency determination, or</w:t>
            </w:r>
          </w:p>
          <w:p w14:paraId="758AACEB" w14:textId="5DEAD425" w:rsidR="00C778B9" w:rsidRPr="00A81030" w:rsidRDefault="00C778B9" w:rsidP="00185F9E">
            <w:pPr>
              <w:pStyle w:val="ListParagraph"/>
              <w:numPr>
                <w:ilvl w:val="0"/>
                <w:numId w:val="3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additional medical evidence concerning the issue of competency has been received</w:t>
            </w:r>
          </w:p>
        </w:tc>
        <w:tc>
          <w:tcPr>
            <w:tcW w:w="3780" w:type="dxa"/>
          </w:tcPr>
          <w:p w14:paraId="6418A09D" w14:textId="3D39C497" w:rsidR="00C778B9" w:rsidRPr="00A81030" w:rsidRDefault="00C778B9" w:rsidP="00C778B9">
            <w:pPr>
              <w:rPr>
                <w:color w:val="auto"/>
              </w:rPr>
            </w:pPr>
            <w:r w:rsidRPr="00A81030">
              <w:rPr>
                <w:color w:val="auto"/>
              </w:rPr>
              <w:t>RVSR at the RO co-located with the fiduciary hub has jurisdiction of the final determination.</w:t>
            </w:r>
          </w:p>
        </w:tc>
      </w:tr>
    </w:tbl>
    <w:p w14:paraId="2219A74C" w14:textId="60AF8910" w:rsidR="00C778B9" w:rsidRPr="00A81030" w:rsidRDefault="00C778B9" w:rsidP="00C778B9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tab/>
      </w:r>
    </w:p>
    <w:p w14:paraId="1B5986A3" w14:textId="4F908081" w:rsidR="00C420C3" w:rsidRPr="00A81030" w:rsidRDefault="00C420C3" w:rsidP="00C420C3">
      <w:pPr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C420C3" w:rsidRPr="00A81030" w14:paraId="038881C7" w14:textId="77777777" w:rsidTr="00A35E81">
        <w:tc>
          <w:tcPr>
            <w:tcW w:w="1728" w:type="dxa"/>
            <w:shd w:val="clear" w:color="auto" w:fill="auto"/>
          </w:tcPr>
          <w:p w14:paraId="6D217A37" w14:textId="19A70DF0" w:rsidR="00C420C3" w:rsidRPr="00A81030" w:rsidRDefault="00C420C3" w:rsidP="007779EC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 xml:space="preserve">c.  Making Final Competency </w:t>
            </w:r>
            <w:r w:rsidRPr="00A81030">
              <w:rPr>
                <w:b/>
                <w:color w:val="auto"/>
                <w:sz w:val="22"/>
              </w:rPr>
              <w:lastRenderedPageBreak/>
              <w:t>Determinations</w:t>
            </w:r>
            <w:r w:rsidR="00077E50" w:rsidRPr="00A81030">
              <w:rPr>
                <w:b/>
                <w:color w:val="auto"/>
                <w:sz w:val="22"/>
              </w:rPr>
              <w:t xml:space="preserve"> When Additional Medical Evidence or a Hearing Request Is Received</w:t>
            </w:r>
          </w:p>
        </w:tc>
        <w:tc>
          <w:tcPr>
            <w:tcW w:w="7740" w:type="dxa"/>
            <w:shd w:val="clear" w:color="auto" w:fill="auto"/>
          </w:tcPr>
          <w:p w14:paraId="134F6D90" w14:textId="19D0F2FC" w:rsidR="00C420C3" w:rsidRPr="00A81030" w:rsidRDefault="00FF01C1" w:rsidP="00C420C3">
            <w:pPr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The table below describes</w:t>
            </w:r>
            <w:r w:rsidR="00C420C3" w:rsidRPr="00A81030">
              <w:rPr>
                <w:color w:val="auto"/>
              </w:rPr>
              <w:t xml:space="preserve"> the appropriate process for making final competency determinations at the </w:t>
            </w:r>
            <w:r w:rsidR="00295DC3" w:rsidRPr="00A81030">
              <w:rPr>
                <w:color w:val="auto"/>
              </w:rPr>
              <w:t>RO</w:t>
            </w:r>
            <w:r w:rsidR="00C420C3" w:rsidRPr="00A81030">
              <w:rPr>
                <w:color w:val="auto"/>
              </w:rPr>
              <w:t xml:space="preserve"> co-located with the fiduciary hub</w:t>
            </w:r>
            <w:r w:rsidR="00077E50" w:rsidRPr="00A81030">
              <w:rPr>
                <w:color w:val="auto"/>
              </w:rPr>
              <w:t xml:space="preserve"> when additional medical evidence or a hearing request is received</w:t>
            </w:r>
            <w:r w:rsidR="00C420C3" w:rsidRPr="00A81030">
              <w:rPr>
                <w:color w:val="auto"/>
              </w:rPr>
              <w:t xml:space="preserve">.  </w:t>
            </w:r>
          </w:p>
          <w:p w14:paraId="2FF2750B" w14:textId="77777777" w:rsidR="00C420C3" w:rsidRPr="00A81030" w:rsidRDefault="00C420C3" w:rsidP="00C420C3">
            <w:pPr>
              <w:rPr>
                <w:color w:val="auto"/>
              </w:rPr>
            </w:pPr>
          </w:p>
          <w:p w14:paraId="385A840C" w14:textId="55CA7DC2" w:rsidR="00C420C3" w:rsidRPr="00A81030" w:rsidRDefault="00C420C3" w:rsidP="00C420C3">
            <w:pPr>
              <w:rPr>
                <w:color w:val="auto"/>
              </w:rPr>
            </w:pPr>
          </w:p>
        </w:tc>
      </w:tr>
    </w:tbl>
    <w:p w14:paraId="7C4E38B5" w14:textId="77777777" w:rsidR="0076432E" w:rsidRPr="00A81030" w:rsidRDefault="0076432E" w:rsidP="00A35E81">
      <w:pPr>
        <w:rPr>
          <w:color w:val="auto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0"/>
        <w:gridCol w:w="1530"/>
        <w:gridCol w:w="5300"/>
      </w:tblGrid>
      <w:tr w:rsidR="003E02F6" w:rsidRPr="00A81030" w14:paraId="448F03C3" w14:textId="77777777" w:rsidTr="00DB6FF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9B4B" w14:textId="77777777" w:rsidR="0076432E" w:rsidRPr="00A81030" w:rsidRDefault="0076432E" w:rsidP="00E8004D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Step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3502" w14:textId="77777777" w:rsidR="0076432E" w:rsidRPr="00A81030" w:rsidRDefault="0076432E" w:rsidP="00E8004D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Responsible Employee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6060" w14:textId="77777777" w:rsidR="0076432E" w:rsidRPr="00A81030" w:rsidRDefault="0076432E" w:rsidP="00E8004D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Action</w:t>
            </w:r>
          </w:p>
        </w:tc>
      </w:tr>
      <w:tr w:rsidR="003E02F6" w:rsidRPr="00A81030" w14:paraId="2A881827" w14:textId="77777777" w:rsidTr="00DB6FF3">
        <w:trPr>
          <w:trHeight w:val="1677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3538" w14:textId="77777777" w:rsidR="0076432E" w:rsidRPr="00A81030" w:rsidRDefault="0076432E" w:rsidP="00E8004D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75F7" w14:textId="0F39E218" w:rsidR="0076432E" w:rsidRPr="00A81030" w:rsidRDefault="0076432E" w:rsidP="00E8004D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Fiduciary hub employee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C05B" w14:textId="2FF2B9A4" w:rsidR="0076432E" w:rsidRPr="00A81030" w:rsidRDefault="00CF7DA4" w:rsidP="00185F9E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transfers</w:t>
            </w:r>
            <w:r w:rsidR="0076432E" w:rsidRPr="00A81030">
              <w:rPr>
                <w:color w:val="auto"/>
              </w:rPr>
              <w:t xml:space="preserve"> the claims f</w:t>
            </w:r>
            <w:r w:rsidR="00295DC3" w:rsidRPr="00A81030">
              <w:rPr>
                <w:color w:val="auto"/>
              </w:rPr>
              <w:t>older</w:t>
            </w:r>
            <w:r w:rsidR="0076432E" w:rsidRPr="00A81030">
              <w:rPr>
                <w:color w:val="auto"/>
              </w:rPr>
              <w:t xml:space="preserve"> to the </w:t>
            </w:r>
            <w:r w:rsidR="00295DC3" w:rsidRPr="00A81030">
              <w:rPr>
                <w:color w:val="auto"/>
              </w:rPr>
              <w:t>RO</w:t>
            </w:r>
            <w:r w:rsidR="0076432E" w:rsidRPr="00A81030">
              <w:rPr>
                <w:color w:val="auto"/>
              </w:rPr>
              <w:t xml:space="preserve"> co-located with the fiduciary hub upon receipt of</w:t>
            </w:r>
          </w:p>
          <w:p w14:paraId="1377AE60" w14:textId="2B17AC08" w:rsidR="0076432E" w:rsidRPr="00A81030" w:rsidRDefault="0076432E" w:rsidP="00185F9E">
            <w:pPr>
              <w:pStyle w:val="ListParagraph"/>
              <w:numPr>
                <w:ilvl w:val="0"/>
                <w:numId w:val="14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a request for hearing concerning the competency determination, or</w:t>
            </w:r>
          </w:p>
          <w:p w14:paraId="2D8C078D" w14:textId="5868E532" w:rsidR="008F0F32" w:rsidRPr="00A81030" w:rsidRDefault="0076432E" w:rsidP="00185F9E">
            <w:pPr>
              <w:pStyle w:val="ListParagraph"/>
              <w:numPr>
                <w:ilvl w:val="0"/>
                <w:numId w:val="14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additional medical evidence concerning the competency determination</w:t>
            </w:r>
          </w:p>
          <w:p w14:paraId="1AEB0E7D" w14:textId="7149CC58" w:rsidR="008F0F32" w:rsidRPr="00A81030" w:rsidRDefault="008F0F32" w:rsidP="00185F9E">
            <w:pPr>
              <w:pStyle w:val="ListParagraph"/>
              <w:numPr>
                <w:ilvl w:val="0"/>
                <w:numId w:val="15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transfers jurisdiction of the EP 600 from the fiduciary hub to the </w:t>
            </w:r>
            <w:r w:rsidR="00266A1C" w:rsidRPr="00A81030">
              <w:rPr>
                <w:color w:val="auto"/>
              </w:rPr>
              <w:t>RO co</w:t>
            </w:r>
            <w:r w:rsidRPr="00A81030">
              <w:rPr>
                <w:color w:val="auto"/>
              </w:rPr>
              <w:t>-located with the fiduciary hub, and</w:t>
            </w:r>
          </w:p>
          <w:p w14:paraId="3374FFDA" w14:textId="3822CBF6" w:rsidR="008F0F32" w:rsidRPr="00A81030" w:rsidRDefault="008F0F32" w:rsidP="00A81030">
            <w:pPr>
              <w:pStyle w:val="ListParagraph"/>
              <w:numPr>
                <w:ilvl w:val="0"/>
                <w:numId w:val="15"/>
              </w:numPr>
              <w:ind w:left="158" w:hanging="187"/>
              <w:rPr>
                <w:color w:val="auto"/>
              </w:rPr>
            </w:pPr>
            <w:proofErr w:type="gramStart"/>
            <w:r w:rsidRPr="00A81030">
              <w:rPr>
                <w:color w:val="auto"/>
              </w:rPr>
              <w:t>closes</w:t>
            </w:r>
            <w:proofErr w:type="gramEnd"/>
            <w:r w:rsidRPr="00A81030">
              <w:rPr>
                <w:color w:val="auto"/>
              </w:rPr>
              <w:t xml:space="preserve"> the tracked item</w:t>
            </w:r>
            <w:r w:rsidR="00104838" w:rsidRPr="00A81030">
              <w:rPr>
                <w:color w:val="auto"/>
              </w:rPr>
              <w:t xml:space="preserve"> in VBMS or Modern Awards Processing – Development (MAP-D)</w:t>
            </w:r>
            <w:r w:rsidRPr="00A81030">
              <w:rPr>
                <w:color w:val="auto"/>
              </w:rPr>
              <w:t xml:space="preserve"> and changes the claim status to </w:t>
            </w:r>
            <w:r w:rsidRPr="00A81030">
              <w:rPr>
                <w:i/>
                <w:color w:val="auto"/>
              </w:rPr>
              <w:t>Inter-office action required: Additional Competency Evidence to VSC.</w:t>
            </w:r>
          </w:p>
        </w:tc>
      </w:tr>
      <w:tr w:rsidR="003E02F6" w:rsidRPr="00A81030" w14:paraId="6E8B6F22" w14:textId="77777777" w:rsidTr="00DB6FF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2CE5" w14:textId="53C1CCA0" w:rsidR="008F0F32" w:rsidRPr="00A81030" w:rsidRDefault="008F0F32" w:rsidP="00E8004D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1CC4" w14:textId="6F6239CD" w:rsidR="008F0F32" w:rsidRPr="00A81030" w:rsidRDefault="008F0F32" w:rsidP="00295DC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 xml:space="preserve">VSR at the </w:t>
            </w:r>
            <w:r w:rsidR="00295DC3" w:rsidRPr="00A81030">
              <w:rPr>
                <w:color w:val="auto"/>
              </w:rPr>
              <w:t xml:space="preserve">RO </w:t>
            </w:r>
            <w:r w:rsidRPr="00A81030">
              <w:rPr>
                <w:color w:val="auto"/>
              </w:rPr>
              <w:t>co-located with the fiduciary hub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811" w14:textId="29F77D2D" w:rsidR="008F0F32" w:rsidRPr="00A81030" w:rsidRDefault="00351176" w:rsidP="00185F9E">
            <w:pPr>
              <w:pStyle w:val="ListParagraph"/>
              <w:numPr>
                <w:ilvl w:val="0"/>
                <w:numId w:val="33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m</w:t>
            </w:r>
            <w:r w:rsidR="0028077A" w:rsidRPr="00A81030">
              <w:rPr>
                <w:color w:val="auto"/>
              </w:rPr>
              <w:t>onitors</w:t>
            </w:r>
            <w:r w:rsidR="00104838" w:rsidRPr="00A81030">
              <w:rPr>
                <w:color w:val="auto"/>
              </w:rPr>
              <w:t xml:space="preserve"> </w:t>
            </w:r>
            <w:r w:rsidR="00165615" w:rsidRPr="00A81030">
              <w:rPr>
                <w:color w:val="auto"/>
              </w:rPr>
              <w:t>workload management reports</w:t>
            </w:r>
            <w:r w:rsidR="008F0F32" w:rsidRPr="00A81030">
              <w:rPr>
                <w:color w:val="auto"/>
              </w:rPr>
              <w:t xml:space="preserve"> for claims with the status of </w:t>
            </w:r>
            <w:r w:rsidR="008F0F32" w:rsidRPr="00A81030">
              <w:rPr>
                <w:i/>
                <w:color w:val="auto"/>
              </w:rPr>
              <w:t>Inter-office action required:  Additional Competency Evidence to VSC</w:t>
            </w:r>
            <w:r w:rsidRPr="00A81030">
              <w:rPr>
                <w:i/>
                <w:color w:val="auto"/>
              </w:rPr>
              <w:t xml:space="preserve">, </w:t>
            </w:r>
            <w:r w:rsidRPr="00A81030">
              <w:rPr>
                <w:color w:val="auto"/>
              </w:rPr>
              <w:t>and</w:t>
            </w:r>
          </w:p>
          <w:p w14:paraId="75F2614B" w14:textId="0F9475C9" w:rsidR="00351176" w:rsidRPr="00A81030" w:rsidRDefault="00351176" w:rsidP="00185F9E">
            <w:pPr>
              <w:pStyle w:val="ListParagraph"/>
              <w:numPr>
                <w:ilvl w:val="0"/>
                <w:numId w:val="33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provides the claims folder for RVSR review and final decision preparation.</w:t>
            </w:r>
          </w:p>
        </w:tc>
      </w:tr>
      <w:tr w:rsidR="003E02F6" w:rsidRPr="00A81030" w14:paraId="36DC8B5C" w14:textId="77777777" w:rsidTr="00DB6FF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5CBF" w14:textId="7D5E3DB9" w:rsidR="0076432E" w:rsidRPr="00A81030" w:rsidRDefault="008F0F32" w:rsidP="00E8004D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749" w14:textId="7E666404" w:rsidR="0076432E" w:rsidRPr="00A81030" w:rsidRDefault="0076432E" w:rsidP="00E8004D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 xml:space="preserve">RVSR at the </w:t>
            </w:r>
            <w:r w:rsidR="00295DC3" w:rsidRPr="00A81030">
              <w:rPr>
                <w:color w:val="auto"/>
              </w:rPr>
              <w:t>RO</w:t>
            </w:r>
            <w:r w:rsidRPr="00A81030">
              <w:rPr>
                <w:color w:val="auto"/>
              </w:rPr>
              <w:t xml:space="preserve"> co-located with the fiduciary hub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6683" w14:textId="4B2DA70D" w:rsidR="0076432E" w:rsidRPr="00A81030" w:rsidRDefault="0028077A" w:rsidP="00185F9E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c</w:t>
            </w:r>
            <w:r w:rsidR="0076432E" w:rsidRPr="00A81030">
              <w:rPr>
                <w:color w:val="auto"/>
              </w:rPr>
              <w:t>onducts all requested hearings concernin</w:t>
            </w:r>
            <w:r w:rsidR="000C3138" w:rsidRPr="00A81030">
              <w:rPr>
                <w:color w:val="auto"/>
              </w:rPr>
              <w:t>g the competency determination</w:t>
            </w:r>
          </w:p>
          <w:p w14:paraId="659AF42D" w14:textId="132D0F9F" w:rsidR="0076432E" w:rsidRPr="00A81030" w:rsidRDefault="0076432E" w:rsidP="00185F9E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reviews all additional medical evidence received since the initial proposal of a finding of incompetency,</w:t>
            </w:r>
            <w:r w:rsidR="000C3138" w:rsidRPr="00A81030">
              <w:rPr>
                <w:color w:val="auto"/>
              </w:rPr>
              <w:t xml:space="preserve"> and</w:t>
            </w:r>
          </w:p>
          <w:p w14:paraId="6BBFC459" w14:textId="3C0060D5" w:rsidR="000C3138" w:rsidRPr="00A81030" w:rsidRDefault="0076432E" w:rsidP="00185F9E">
            <w:pPr>
              <w:pStyle w:val="ListParagraph"/>
              <w:numPr>
                <w:ilvl w:val="0"/>
                <w:numId w:val="12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issues a final decision based on all the evidence of record.</w:t>
            </w:r>
            <w:r w:rsidR="00351176" w:rsidRPr="00A81030" w:rsidDel="00351176">
              <w:rPr>
                <w:color w:val="auto"/>
              </w:rPr>
              <w:t xml:space="preserve"> </w:t>
            </w:r>
          </w:p>
        </w:tc>
      </w:tr>
      <w:tr w:rsidR="003E02F6" w:rsidRPr="00A81030" w14:paraId="45B30987" w14:textId="77777777" w:rsidTr="00DB6FF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9518" w14:textId="00815FBB" w:rsidR="008F0F32" w:rsidRPr="00A81030" w:rsidRDefault="008F0F32" w:rsidP="00E8004D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F8C" w14:textId="2ACBC504" w:rsidR="008F0F32" w:rsidRPr="00A81030" w:rsidRDefault="008F0F32" w:rsidP="00295DC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 xml:space="preserve">VSR at the </w:t>
            </w:r>
            <w:r w:rsidR="00295DC3" w:rsidRPr="00A81030">
              <w:rPr>
                <w:color w:val="auto"/>
              </w:rPr>
              <w:t>RO</w:t>
            </w:r>
            <w:r w:rsidRPr="00A81030">
              <w:rPr>
                <w:color w:val="auto"/>
              </w:rPr>
              <w:t xml:space="preserve"> co-located with the fiduciary hub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2E55" w14:textId="5AA7CFAC" w:rsidR="00DB2D76" w:rsidRPr="00A81030" w:rsidRDefault="00295DC3" w:rsidP="00185F9E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I</w:t>
            </w:r>
            <w:r w:rsidR="008F0F32" w:rsidRPr="00A81030">
              <w:rPr>
                <w:color w:val="auto"/>
              </w:rPr>
              <w:t>f the beneficiary is rated competent</w:t>
            </w:r>
            <w:r w:rsidR="00FE5DAB" w:rsidRPr="00A81030">
              <w:rPr>
                <w:color w:val="auto"/>
              </w:rPr>
              <w:t xml:space="preserve"> </w:t>
            </w:r>
          </w:p>
          <w:p w14:paraId="6A803934" w14:textId="73DA5EA6" w:rsidR="00FE5DAB" w:rsidRPr="00A81030" w:rsidRDefault="00FE5DAB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p</w:t>
            </w:r>
            <w:r w:rsidR="008F0F32" w:rsidRPr="00A81030">
              <w:rPr>
                <w:color w:val="auto"/>
              </w:rPr>
              <w:t>rocesses any award</w:t>
            </w:r>
            <w:r w:rsidRPr="00A81030">
              <w:rPr>
                <w:color w:val="auto"/>
              </w:rPr>
              <w:t xml:space="preserve"> actions</w:t>
            </w:r>
          </w:p>
          <w:p w14:paraId="52D9000F" w14:textId="1B6DF128" w:rsidR="00FE5DAB" w:rsidRPr="00A81030" w:rsidRDefault="00FE5DAB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sends notification to the beneficiary</w:t>
            </w:r>
          </w:p>
          <w:p w14:paraId="71EF77EB" w14:textId="72D6EAB3" w:rsidR="00FE5DAB" w:rsidRPr="00A81030" w:rsidRDefault="00FE5DAB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clears the pending EP 600, and</w:t>
            </w:r>
          </w:p>
          <w:p w14:paraId="502CA3CF" w14:textId="648C2BE2" w:rsidR="00FE5DAB" w:rsidRPr="00A81030" w:rsidRDefault="00FE5DAB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returns the claims </w:t>
            </w:r>
            <w:r w:rsidR="000C6C63" w:rsidRPr="00A81030">
              <w:rPr>
                <w:color w:val="auto"/>
              </w:rPr>
              <w:t>folder</w:t>
            </w:r>
            <w:r w:rsidRPr="00A81030">
              <w:rPr>
                <w:color w:val="auto"/>
              </w:rPr>
              <w:t xml:space="preserve"> jurisdiction to the </w:t>
            </w:r>
            <w:r w:rsidR="004E0EB6" w:rsidRPr="00A81030">
              <w:rPr>
                <w:color w:val="auto"/>
              </w:rPr>
              <w:t>SOO</w:t>
            </w:r>
            <w:r w:rsidRPr="00A81030">
              <w:rPr>
                <w:color w:val="auto"/>
              </w:rPr>
              <w:t>.</w:t>
            </w:r>
          </w:p>
          <w:p w14:paraId="5B9512BD" w14:textId="77777777" w:rsidR="00FE5DAB" w:rsidRPr="00A81030" w:rsidRDefault="00FE5DAB" w:rsidP="00A35E81">
            <w:pPr>
              <w:pStyle w:val="ListParagraph"/>
              <w:ind w:left="346"/>
              <w:rPr>
                <w:color w:val="auto"/>
              </w:rPr>
            </w:pPr>
          </w:p>
          <w:p w14:paraId="7A4D1E73" w14:textId="40A3B596" w:rsidR="00FE5DAB" w:rsidRPr="00A81030" w:rsidRDefault="00FE5DAB" w:rsidP="00185F9E">
            <w:pPr>
              <w:pStyle w:val="ListParagraph"/>
              <w:numPr>
                <w:ilvl w:val="0"/>
                <w:numId w:val="17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If the b</w:t>
            </w:r>
            <w:r w:rsidR="009242DA" w:rsidRPr="00A81030">
              <w:rPr>
                <w:color w:val="auto"/>
              </w:rPr>
              <w:t>eneficiary is rated incompetent</w:t>
            </w:r>
          </w:p>
          <w:p w14:paraId="31AC296C" w14:textId="1D99A25A" w:rsidR="00FE5DAB" w:rsidRPr="00A81030" w:rsidRDefault="00FE5DAB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processes any award actions</w:t>
            </w:r>
          </w:p>
          <w:p w14:paraId="4470297C" w14:textId="6EA74A1C" w:rsidR="00FE5DAB" w:rsidRPr="00A81030" w:rsidRDefault="00FE5DAB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sends notification to the beneficiary</w:t>
            </w:r>
          </w:p>
          <w:p w14:paraId="08A9335D" w14:textId="77777777" w:rsidR="00A40BFD" w:rsidRPr="00A81030" w:rsidRDefault="00FE5DAB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completes </w:t>
            </w:r>
            <w:r w:rsidRPr="00A81030">
              <w:rPr>
                <w:i/>
                <w:color w:val="auto"/>
              </w:rPr>
              <w:t>VA Form 21-592</w:t>
            </w:r>
            <w:r w:rsidR="00295DC3" w:rsidRPr="00A81030">
              <w:rPr>
                <w:i/>
                <w:color w:val="auto"/>
              </w:rPr>
              <w:t xml:space="preserve">, </w:t>
            </w:r>
            <w:r w:rsidRPr="00A81030">
              <w:rPr>
                <w:color w:val="auto"/>
              </w:rPr>
              <w:t xml:space="preserve"> </w:t>
            </w:r>
            <w:r w:rsidR="00295DC3" w:rsidRPr="00A81030">
              <w:rPr>
                <w:i/>
                <w:color w:val="auto"/>
              </w:rPr>
              <w:t>Request for Appointment of a Fiduciary, Custodian, or Guardian,</w:t>
            </w:r>
            <w:r w:rsidR="00295DC3" w:rsidRPr="00A81030">
              <w:rPr>
                <w:color w:val="auto"/>
              </w:rPr>
              <w:t xml:space="preserve"> </w:t>
            </w:r>
            <w:r w:rsidRPr="00A81030">
              <w:rPr>
                <w:color w:val="auto"/>
              </w:rPr>
              <w:t xml:space="preserve">and </w:t>
            </w:r>
          </w:p>
          <w:p w14:paraId="2B7505F0" w14:textId="5E2434F9" w:rsidR="00FE5DAB" w:rsidRPr="00A81030" w:rsidRDefault="00FE5DAB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sends it to the fiduciary hub.</w:t>
            </w:r>
            <w:r w:rsidRPr="00A81030">
              <w:rPr>
                <w:i/>
                <w:color w:val="auto"/>
              </w:rPr>
              <w:t xml:space="preserve"> </w:t>
            </w:r>
          </w:p>
          <w:p w14:paraId="6B6EC229" w14:textId="77777777" w:rsidR="00C6333B" w:rsidRPr="00A81030" w:rsidRDefault="00C6333B" w:rsidP="00A35E81">
            <w:pPr>
              <w:pStyle w:val="ListParagraph"/>
              <w:ind w:left="346"/>
              <w:rPr>
                <w:color w:val="auto"/>
              </w:rPr>
            </w:pPr>
          </w:p>
          <w:p w14:paraId="71899200" w14:textId="2E112B85" w:rsidR="00FE5DAB" w:rsidRPr="00A81030" w:rsidRDefault="00FE5DAB" w:rsidP="00D635F3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="007D3E10" w:rsidRPr="00A81030">
              <w:rPr>
                <w:color w:val="auto"/>
              </w:rPr>
              <w:t>:  The fiduciary hub sub</w:t>
            </w:r>
            <w:r w:rsidRPr="00A81030">
              <w:rPr>
                <w:color w:val="auto"/>
              </w:rPr>
              <w:t>sequently establishes</w:t>
            </w:r>
            <w:r w:rsidR="00A40BFD" w:rsidRPr="00A81030">
              <w:rPr>
                <w:color w:val="auto"/>
              </w:rPr>
              <w:t xml:space="preserve"> an</w:t>
            </w:r>
            <w:r w:rsidRPr="00A81030">
              <w:rPr>
                <w:color w:val="auto"/>
              </w:rPr>
              <w:t xml:space="preserve"> EP 290 and releases retroactive benefits upon appointment of a fiduciary, if appropriate.  </w:t>
            </w:r>
          </w:p>
        </w:tc>
      </w:tr>
    </w:tbl>
    <w:p w14:paraId="276A3319" w14:textId="37B3001A" w:rsidR="007D3E10" w:rsidRPr="00A81030" w:rsidRDefault="007D3E10" w:rsidP="00066525">
      <w:pPr>
        <w:rPr>
          <w:color w:val="auto"/>
        </w:rPr>
      </w:pPr>
      <w:r w:rsidRPr="00A81030">
        <w:rPr>
          <w:color w:val="auto"/>
        </w:rPr>
        <w:lastRenderedPageBreak/>
        <w:tab/>
      </w:r>
    </w:p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3E02F6" w:rsidRPr="00A81030" w14:paraId="2FC38A23" w14:textId="77777777" w:rsidTr="00A40BFD">
        <w:tc>
          <w:tcPr>
            <w:tcW w:w="7740" w:type="dxa"/>
            <w:shd w:val="clear" w:color="auto" w:fill="auto"/>
          </w:tcPr>
          <w:p w14:paraId="19651606" w14:textId="20AE5EF1" w:rsidR="00351176" w:rsidRPr="00A81030" w:rsidRDefault="00A40BFD" w:rsidP="00A40BFD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="00B15215" w:rsidRPr="00A81030">
              <w:rPr>
                <w:b/>
                <w:i/>
                <w:color w:val="auto"/>
              </w:rPr>
              <w:t>s</w:t>
            </w:r>
            <w:r w:rsidRPr="00A81030">
              <w:rPr>
                <w:color w:val="auto"/>
              </w:rPr>
              <w:t xml:space="preserve">: </w:t>
            </w:r>
            <w:r w:rsidRPr="00A81030">
              <w:rPr>
                <w:b/>
                <w:color w:val="auto"/>
              </w:rPr>
              <w:t xml:space="preserve"> </w:t>
            </w:r>
            <w:r w:rsidRPr="00A81030">
              <w:rPr>
                <w:color w:val="auto"/>
              </w:rPr>
              <w:t xml:space="preserve">For more information on </w:t>
            </w:r>
          </w:p>
          <w:p w14:paraId="242C7B1A" w14:textId="5FEFA171" w:rsidR="00351176" w:rsidRPr="00A81030" w:rsidRDefault="002603CB" w:rsidP="00185F9E">
            <w:pPr>
              <w:pStyle w:val="ListParagraph"/>
              <w:numPr>
                <w:ilvl w:val="0"/>
                <w:numId w:val="3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jurisdiction of a final competency determination</w:t>
            </w:r>
            <w:r w:rsidR="00A40BFD" w:rsidRPr="00A81030">
              <w:rPr>
                <w:color w:val="auto"/>
              </w:rPr>
              <w:t>, see M21-1</w:t>
            </w:r>
            <w:r w:rsidR="00351176" w:rsidRPr="00A81030">
              <w:rPr>
                <w:color w:val="auto"/>
              </w:rPr>
              <w:t>,</w:t>
            </w:r>
            <w:r w:rsidR="00A40BFD" w:rsidRPr="00A81030">
              <w:rPr>
                <w:color w:val="auto"/>
              </w:rPr>
              <w:t xml:space="preserve"> Part III, Subpart iv, 8.A.3.b</w:t>
            </w:r>
          </w:p>
          <w:p w14:paraId="699159C2" w14:textId="07114EF6" w:rsidR="00351176" w:rsidRPr="00A81030" w:rsidRDefault="002603CB" w:rsidP="00185F9E">
            <w:pPr>
              <w:pStyle w:val="ListParagraph"/>
              <w:numPr>
                <w:ilvl w:val="0"/>
                <w:numId w:val="3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processing a beneficiary’s request for a hearing</w:t>
            </w:r>
            <w:r w:rsidR="00351176" w:rsidRPr="00A81030">
              <w:rPr>
                <w:color w:val="auto"/>
              </w:rPr>
              <w:t>, see M21-1, Part III, Subpart v, 9.B.3.h, and</w:t>
            </w:r>
          </w:p>
          <w:p w14:paraId="0ED58106" w14:textId="521BA196" w:rsidR="00A40BFD" w:rsidRPr="00A81030" w:rsidRDefault="002603CB" w:rsidP="00185F9E">
            <w:pPr>
              <w:pStyle w:val="ListParagraph"/>
              <w:numPr>
                <w:ilvl w:val="0"/>
                <w:numId w:val="3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determining when a competency rating is needed after a decree by a court</w:t>
            </w:r>
            <w:r w:rsidR="00351176" w:rsidRPr="00A81030">
              <w:rPr>
                <w:color w:val="auto"/>
              </w:rPr>
              <w:t>, see M21-1, Part III, Subpart iv, 8.A.5.b.</w:t>
            </w:r>
          </w:p>
        </w:tc>
      </w:tr>
    </w:tbl>
    <w:p w14:paraId="6AA9D428" w14:textId="680361BD" w:rsidR="00A40BFD" w:rsidRPr="00A81030" w:rsidRDefault="00A40BFD" w:rsidP="00A40BFD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tab/>
      </w:r>
    </w:p>
    <w:p w14:paraId="06B5F2A9" w14:textId="77777777" w:rsidR="00A40BFD" w:rsidRPr="00A81030" w:rsidRDefault="00A40BFD" w:rsidP="00A40BFD">
      <w:pPr>
        <w:rPr>
          <w:color w:val="auto"/>
        </w:rPr>
      </w:pPr>
    </w:p>
    <w:p w14:paraId="66E1956B" w14:textId="77777777" w:rsidR="007D3E10" w:rsidRPr="00A81030" w:rsidRDefault="007D3E10" w:rsidP="00A35E81">
      <w:pPr>
        <w:rPr>
          <w:color w:val="auto"/>
        </w:rPr>
      </w:pPr>
    </w:p>
    <w:p w14:paraId="2A7F9A46" w14:textId="77777777" w:rsidR="0076432E" w:rsidRPr="00A81030" w:rsidRDefault="0076432E">
      <w:pPr>
        <w:rPr>
          <w:rFonts w:ascii="Arial" w:hAnsi="Arial" w:cs="Arial"/>
          <w:b/>
          <w:color w:val="auto"/>
          <w:sz w:val="32"/>
          <w:szCs w:val="20"/>
        </w:rPr>
      </w:pPr>
      <w:r w:rsidRPr="00A81030">
        <w:rPr>
          <w:color w:val="auto"/>
        </w:rPr>
        <w:br w:type="page"/>
      </w:r>
    </w:p>
    <w:p w14:paraId="661FD637" w14:textId="152794AE" w:rsidR="00E82303" w:rsidRPr="00A81030" w:rsidRDefault="00E82303" w:rsidP="00054C82">
      <w:pPr>
        <w:pStyle w:val="MapTitleContinued"/>
        <w:rPr>
          <w:color w:val="auto"/>
        </w:rPr>
      </w:pPr>
      <w:r w:rsidRPr="00A81030">
        <w:rPr>
          <w:color w:val="auto"/>
        </w:rPr>
        <w:lastRenderedPageBreak/>
        <w:t xml:space="preserve">4.  </w:t>
      </w:r>
      <w:bookmarkStart w:id="11" w:name="Topic4"/>
      <w:bookmarkEnd w:id="11"/>
      <w:r w:rsidRPr="00A81030">
        <w:rPr>
          <w:color w:val="auto"/>
        </w:rPr>
        <w:t>Changing Competency Status</w:t>
      </w:r>
    </w:p>
    <w:p w14:paraId="6E69DFDB" w14:textId="77777777" w:rsidR="00E82303" w:rsidRPr="00A81030" w:rsidRDefault="00E82303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INFOTYPE="OTHER"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780BF94F" w14:textId="77777777">
        <w:trPr>
          <w:cantSplit/>
        </w:trPr>
        <w:tc>
          <w:tcPr>
            <w:tcW w:w="1728" w:type="dxa"/>
          </w:tcPr>
          <w:p w14:paraId="6EBDD9A1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Introduction</w:t>
            </w:r>
          </w:p>
        </w:tc>
        <w:tc>
          <w:tcPr>
            <w:tcW w:w="7740" w:type="dxa"/>
          </w:tcPr>
          <w:p w14:paraId="0452E61C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This topic contains information about changing competency status, including</w:t>
            </w:r>
          </w:p>
          <w:p w14:paraId="7B5273F2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2536F876" w14:textId="54476DAB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proposing </w:t>
            </w:r>
            <w:r w:rsidR="004C3DD3" w:rsidRPr="00A81030">
              <w:rPr>
                <w:color w:val="auto"/>
              </w:rPr>
              <w:t>incompetency</w:t>
            </w:r>
          </w:p>
          <w:p w14:paraId="48E68FC6" w14:textId="0106C604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determining restored competency</w:t>
            </w:r>
          </w:p>
          <w:p w14:paraId="50266EA7" w14:textId="3795184A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limitations after competency is restored, and</w:t>
            </w:r>
          </w:p>
          <w:p w14:paraId="6D6FE0B2" w14:textId="6C05DE8C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evidence required to restore competency.</w:t>
            </w:r>
          </w:p>
        </w:tc>
      </w:tr>
    </w:tbl>
    <w:p w14:paraId="7E683412" w14:textId="77777777" w:rsidR="00E82303" w:rsidRPr="00A81030" w:rsidRDefault="00E82303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0265D879" w14:textId="77777777">
        <w:trPr>
          <w:cantSplit/>
        </w:trPr>
        <w:tc>
          <w:tcPr>
            <w:tcW w:w="1728" w:type="dxa"/>
          </w:tcPr>
          <w:p w14:paraId="7EA297C9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Change Date</w:t>
            </w:r>
          </w:p>
        </w:tc>
        <w:tc>
          <w:tcPr>
            <w:tcW w:w="7740" w:type="dxa"/>
          </w:tcPr>
          <w:p w14:paraId="3EA606F6" w14:textId="7C817D03" w:rsidR="00E82303" w:rsidRPr="00A81030" w:rsidRDefault="00461C30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August 3, 2009</w:t>
            </w:r>
          </w:p>
        </w:tc>
      </w:tr>
    </w:tbl>
    <w:p w14:paraId="182E49EA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28E34568" w14:textId="77777777">
        <w:trPr>
          <w:cantSplit/>
        </w:trPr>
        <w:tc>
          <w:tcPr>
            <w:tcW w:w="1728" w:type="dxa"/>
          </w:tcPr>
          <w:p w14:paraId="42D65314" w14:textId="53470C11" w:rsidR="00E82303" w:rsidRPr="00A81030" w:rsidRDefault="00E82303" w:rsidP="004C3DD3">
            <w:pPr>
              <w:pStyle w:val="Heading5"/>
              <w:rPr>
                <w:color w:val="auto"/>
              </w:rPr>
            </w:pPr>
            <w:bookmarkStart w:id="12" w:name="_a.__Proposing"/>
            <w:bookmarkEnd w:id="12"/>
            <w:r w:rsidRPr="00A81030">
              <w:rPr>
                <w:color w:val="auto"/>
              </w:rPr>
              <w:t xml:space="preserve">a.  Proposing </w:t>
            </w:r>
            <w:r w:rsidR="004C3DD3" w:rsidRPr="00A81030">
              <w:rPr>
                <w:color w:val="auto"/>
              </w:rPr>
              <w:t>Incompetency</w:t>
            </w:r>
          </w:p>
        </w:tc>
        <w:tc>
          <w:tcPr>
            <w:tcW w:w="7740" w:type="dxa"/>
          </w:tcPr>
          <w:p w14:paraId="333DF22B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Issue a rating proposing a change in competency status if the evidence of record will result in a change in competency status from competent to incompetent.</w:t>
            </w:r>
          </w:p>
          <w:p w14:paraId="6A803588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5392A169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This proposal may be included in a rating addressing other issues, such as evaluation of a mental disorder.</w:t>
            </w:r>
          </w:p>
          <w:p w14:paraId="3B470E6A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3000C71C" w14:textId="34FAB8C3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Pr="00A81030">
              <w:rPr>
                <w:color w:val="auto"/>
              </w:rPr>
              <w:t xml:space="preserve">:  For more information on procedures to follow upon receipt of evidence of incompetency, see M21-1, Part III, Subpart </w:t>
            </w:r>
            <w:r w:rsidR="002603CB" w:rsidRPr="00A81030">
              <w:rPr>
                <w:color w:val="auto"/>
              </w:rPr>
              <w:t>i</w:t>
            </w:r>
            <w:r w:rsidRPr="00A81030">
              <w:rPr>
                <w:color w:val="auto"/>
              </w:rPr>
              <w:t xml:space="preserve">v, </w:t>
            </w:r>
            <w:r w:rsidR="002603CB" w:rsidRPr="00A81030">
              <w:rPr>
                <w:color w:val="auto"/>
              </w:rPr>
              <w:t>8</w:t>
            </w:r>
            <w:r w:rsidRPr="00A81030">
              <w:rPr>
                <w:color w:val="auto"/>
              </w:rPr>
              <w:t>.</w:t>
            </w:r>
            <w:r w:rsidR="002603CB" w:rsidRPr="00A81030">
              <w:rPr>
                <w:color w:val="auto"/>
              </w:rPr>
              <w:t>A.1</w:t>
            </w:r>
            <w:r w:rsidRPr="00A81030">
              <w:rPr>
                <w:color w:val="auto"/>
              </w:rPr>
              <w:t>.</w:t>
            </w:r>
          </w:p>
        </w:tc>
      </w:tr>
    </w:tbl>
    <w:p w14:paraId="31EA5E28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363312E6" w14:textId="77777777">
        <w:trPr>
          <w:cantSplit/>
        </w:trPr>
        <w:tc>
          <w:tcPr>
            <w:tcW w:w="1728" w:type="dxa"/>
          </w:tcPr>
          <w:p w14:paraId="072AE0ED" w14:textId="77777777" w:rsidR="00E82303" w:rsidRPr="00A81030" w:rsidRDefault="00E82303">
            <w:pPr>
              <w:pStyle w:val="Heading5"/>
              <w:rPr>
                <w:color w:val="auto"/>
              </w:rPr>
            </w:pPr>
            <w:bookmarkStart w:id="13" w:name="_b.__Determining"/>
            <w:bookmarkEnd w:id="13"/>
            <w:r w:rsidRPr="00A81030">
              <w:rPr>
                <w:color w:val="auto"/>
              </w:rPr>
              <w:t>b.  Determining Restored Competency</w:t>
            </w:r>
          </w:p>
        </w:tc>
        <w:tc>
          <w:tcPr>
            <w:tcW w:w="7740" w:type="dxa"/>
          </w:tcPr>
          <w:p w14:paraId="1303A703" w14:textId="3E9A7DB4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In any case in which the beneficiary has </w:t>
            </w:r>
            <w:r w:rsidR="00A40BFD" w:rsidRPr="00A81030">
              <w:rPr>
                <w:color w:val="auto"/>
              </w:rPr>
              <w:t xml:space="preserve">previously </w:t>
            </w:r>
            <w:r w:rsidRPr="00A81030">
              <w:rPr>
                <w:color w:val="auto"/>
              </w:rPr>
              <w:t>been</w:t>
            </w:r>
            <w:r w:rsidR="009335CB" w:rsidRPr="00A81030">
              <w:rPr>
                <w:color w:val="auto"/>
              </w:rPr>
              <w:t xml:space="preserve"> </w:t>
            </w:r>
            <w:r w:rsidRPr="00A81030">
              <w:rPr>
                <w:color w:val="auto"/>
              </w:rPr>
              <w:t xml:space="preserve">rated incompetent, take necessary development and rating action to determine whether competency has been regained if so indicated in a </w:t>
            </w:r>
          </w:p>
          <w:p w14:paraId="0E2AD970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1CE44BC5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hospital summary</w:t>
            </w:r>
          </w:p>
          <w:p w14:paraId="7D3B933D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report of release to or discharge from non-bed care, or</w:t>
            </w:r>
          </w:p>
          <w:p w14:paraId="718C80B8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report of other material change in condition.</w:t>
            </w:r>
          </w:p>
        </w:tc>
      </w:tr>
    </w:tbl>
    <w:p w14:paraId="6068C55D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INFOTYPE="PRINCIPLE"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E02F6" w:rsidRPr="00A81030" w14:paraId="65F6D7B3" w14:textId="77777777">
        <w:trPr>
          <w:cantSplit/>
        </w:trPr>
        <w:tc>
          <w:tcPr>
            <w:tcW w:w="1728" w:type="dxa"/>
          </w:tcPr>
          <w:p w14:paraId="2E686963" w14:textId="77777777" w:rsidR="00E82303" w:rsidRPr="00A81030" w:rsidRDefault="00E82303">
            <w:pPr>
              <w:pStyle w:val="Heading5"/>
              <w:rPr>
                <w:color w:val="auto"/>
              </w:rPr>
            </w:pPr>
            <w:bookmarkStart w:id="14" w:name="_c.__Limitations"/>
            <w:bookmarkEnd w:id="14"/>
            <w:r w:rsidRPr="00A81030">
              <w:rPr>
                <w:color w:val="auto"/>
              </w:rPr>
              <w:t>c.  Limitations After Competency Is Restored</w:t>
            </w:r>
          </w:p>
        </w:tc>
        <w:tc>
          <w:tcPr>
            <w:tcW w:w="7740" w:type="dxa"/>
          </w:tcPr>
          <w:p w14:paraId="769FC451" w14:textId="7AC09044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Restored competency does not</w:t>
            </w:r>
            <w:r w:rsidR="0028077A" w:rsidRPr="00A81030">
              <w:rPr>
                <w:color w:val="auto"/>
              </w:rPr>
              <w:t xml:space="preserve"> in and</w:t>
            </w:r>
            <w:r w:rsidRPr="00A81030">
              <w:rPr>
                <w:color w:val="auto"/>
              </w:rPr>
              <w:t xml:space="preserve"> of itself</w:t>
            </w:r>
          </w:p>
          <w:p w14:paraId="6A3B50F5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009DB8AD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warrant a reduction in the evaluation of a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>’s disability, or</w:t>
            </w:r>
          </w:p>
          <w:p w14:paraId="3DC26704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establish that a parent or surviving spouse is no longer entitled to Aid and Attendance (A&amp;A).</w:t>
            </w:r>
          </w:p>
        </w:tc>
      </w:tr>
    </w:tbl>
    <w:p w14:paraId="3354E27E" w14:textId="77777777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INFOTYPE="PRINCIPLE"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335E34B2" w14:textId="77777777" w:rsidTr="00692686">
        <w:tc>
          <w:tcPr>
            <w:tcW w:w="1728" w:type="dxa"/>
          </w:tcPr>
          <w:p w14:paraId="5A81DD7B" w14:textId="77777777" w:rsidR="00E82303" w:rsidRPr="00A81030" w:rsidRDefault="00E82303">
            <w:pPr>
              <w:pStyle w:val="Heading5"/>
              <w:rPr>
                <w:color w:val="auto"/>
              </w:rPr>
            </w:pPr>
            <w:bookmarkStart w:id="15" w:name="_d.__Evidence"/>
            <w:bookmarkEnd w:id="15"/>
            <w:r w:rsidRPr="00A81030">
              <w:rPr>
                <w:color w:val="auto"/>
              </w:rPr>
              <w:t>d.  Evidence Required to Restore Competency</w:t>
            </w:r>
          </w:p>
        </w:tc>
        <w:tc>
          <w:tcPr>
            <w:tcW w:w="7740" w:type="dxa"/>
          </w:tcPr>
          <w:p w14:paraId="431A8C21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Any evidence showing the beneficiary </w:t>
            </w:r>
            <w:r w:rsidR="00A332E2" w:rsidRPr="00A81030">
              <w:rPr>
                <w:color w:val="auto"/>
              </w:rPr>
              <w:t xml:space="preserve">may be capable of handling </w:t>
            </w:r>
            <w:r w:rsidR="004F4DD5" w:rsidRPr="00A81030">
              <w:rPr>
                <w:color w:val="auto"/>
              </w:rPr>
              <w:t>funds</w:t>
            </w:r>
            <w:r w:rsidRPr="00A81030">
              <w:rPr>
                <w:color w:val="auto"/>
              </w:rPr>
              <w:t xml:space="preserve"> should be referred to the rating activity.  The rating activity will consider this evidence, along with all other evidence of record, to determine whether competency should be restored.</w:t>
            </w:r>
          </w:p>
          <w:p w14:paraId="6C7E9CA9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504CF4F5" w14:textId="4552883C" w:rsidR="00E82303" w:rsidRPr="00A81030" w:rsidRDefault="00E82303" w:rsidP="004F4DD5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Under </w:t>
            </w:r>
            <w:hyperlink r:id="rId20" w:history="1">
              <w:r w:rsidR="00AD5BBE" w:rsidRPr="00A81030">
                <w:rPr>
                  <w:rStyle w:val="Hyperlink"/>
                  <w:color w:val="0000CC"/>
                </w:rPr>
                <w:t>38 CFR</w:t>
              </w:r>
              <w:r w:rsidR="0098486A" w:rsidRPr="00A81030">
                <w:rPr>
                  <w:rStyle w:val="Hyperlink"/>
                  <w:color w:val="0000CC"/>
                </w:rPr>
                <w:t xml:space="preserve"> 3</w:t>
              </w:r>
              <w:r w:rsidRPr="00A81030">
                <w:rPr>
                  <w:rStyle w:val="Hyperlink"/>
                  <w:color w:val="0000CC"/>
                </w:rPr>
                <w:t>.353(b)(3)</w:t>
              </w:r>
            </w:hyperlink>
            <w:r w:rsidRPr="00A81030">
              <w:rPr>
                <w:color w:val="auto"/>
              </w:rPr>
              <w:t xml:space="preserve">, a beneficiary is not required to undergo a psychiatric examination and/or field examination before his/her competency </w:t>
            </w:r>
            <w:r w:rsidRPr="00A81030">
              <w:rPr>
                <w:color w:val="auto"/>
              </w:rPr>
              <w:lastRenderedPageBreak/>
              <w:t>may be restored.  However, a current psychiatric examination and/or field examination may be requested if needed to properly evaluate the beneficiary’s mental capa</w:t>
            </w:r>
            <w:r w:rsidR="00A332E2" w:rsidRPr="00A81030">
              <w:rPr>
                <w:color w:val="auto"/>
              </w:rPr>
              <w:t xml:space="preserve">city to handle his/her own </w:t>
            </w:r>
            <w:r w:rsidR="004F4DD5" w:rsidRPr="00A81030">
              <w:rPr>
                <w:color w:val="auto"/>
              </w:rPr>
              <w:t>funds</w:t>
            </w:r>
            <w:r w:rsidRPr="00A81030">
              <w:rPr>
                <w:color w:val="auto"/>
              </w:rPr>
              <w:t xml:space="preserve">. </w:t>
            </w:r>
          </w:p>
        </w:tc>
      </w:tr>
    </w:tbl>
    <w:p w14:paraId="40185466" w14:textId="77777777" w:rsidR="00E82303" w:rsidRPr="00A81030" w:rsidRDefault="00E82303">
      <w:pPr>
        <w:pStyle w:val="BlockLine"/>
        <w:rPr>
          <w:color w:val="auto"/>
        </w:rPr>
      </w:pPr>
    </w:p>
    <w:p w14:paraId="006AAEB1" w14:textId="77777777" w:rsidR="00E82303" w:rsidRPr="00A81030" w:rsidRDefault="00E82303">
      <w:pPr>
        <w:pStyle w:val="Heading4"/>
        <w:rPr>
          <w:color w:val="auto"/>
        </w:rPr>
      </w:pPr>
      <w:r w:rsidRPr="00A81030">
        <w:rPr>
          <w:color w:val="auto"/>
        </w:rPr>
        <w:br w:type="page"/>
      </w:r>
      <w:r w:rsidRPr="00A81030">
        <w:rPr>
          <w:color w:val="auto"/>
        </w:rPr>
        <w:lastRenderedPageBreak/>
        <w:t xml:space="preserve">5.  </w:t>
      </w:r>
      <w:bookmarkStart w:id="16" w:name="Topic5"/>
      <w:bookmarkEnd w:id="16"/>
      <w:r w:rsidRPr="00A81030">
        <w:rPr>
          <w:color w:val="auto"/>
        </w:rPr>
        <w:t>Evaluating Competency in Special Circumstances</w:t>
      </w:r>
    </w:p>
    <w:p w14:paraId="17BC636B" w14:textId="77777777" w:rsidR="00E82303" w:rsidRPr="00A81030" w:rsidRDefault="00E82303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INFOTYPE="OTHER"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1AA32148" w14:textId="77777777">
        <w:trPr>
          <w:cantSplit/>
        </w:trPr>
        <w:tc>
          <w:tcPr>
            <w:tcW w:w="1728" w:type="dxa"/>
          </w:tcPr>
          <w:p w14:paraId="313EAC4E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Introduction</w:t>
            </w:r>
          </w:p>
        </w:tc>
        <w:tc>
          <w:tcPr>
            <w:tcW w:w="7740" w:type="dxa"/>
          </w:tcPr>
          <w:p w14:paraId="4C6506A9" w14:textId="77777777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This topic contains information about evaluating competency in special circumstances, including</w:t>
            </w:r>
          </w:p>
          <w:p w14:paraId="5ABD6D2D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2969805C" w14:textId="58FEC5EB" w:rsidR="00B4166B" w:rsidRPr="00A81030" w:rsidRDefault="00B4166B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decree by a court as notice and hearing</w:t>
            </w:r>
          </w:p>
          <w:p w14:paraId="30124F89" w14:textId="67A6C4EF" w:rsidR="00E82303" w:rsidRPr="00A81030" w:rsidRDefault="009110CA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determining when</w:t>
            </w:r>
            <w:r w:rsidR="00E1462B" w:rsidRPr="00A81030">
              <w:rPr>
                <w:color w:val="auto"/>
              </w:rPr>
              <w:t xml:space="preserve"> </w:t>
            </w:r>
            <w:r w:rsidR="00E82303" w:rsidRPr="00A81030">
              <w:rPr>
                <w:color w:val="auto"/>
              </w:rPr>
              <w:t>a competency rating</w:t>
            </w:r>
            <w:r w:rsidRPr="00A81030">
              <w:rPr>
                <w:color w:val="auto"/>
              </w:rPr>
              <w:t xml:space="preserve"> is needed</w:t>
            </w:r>
            <w:r w:rsidR="00E82303" w:rsidRPr="00A81030">
              <w:rPr>
                <w:color w:val="auto"/>
              </w:rPr>
              <w:t xml:space="preserve"> after a decree by a court </w:t>
            </w:r>
          </w:p>
          <w:p w14:paraId="4799A497" w14:textId="1045C665" w:rsidR="006773FD" w:rsidRPr="00A81030" w:rsidRDefault="006773FD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procedures for payee found incompetent by court decree</w:t>
            </w:r>
            <w:r w:rsidR="009335CB" w:rsidRPr="00A81030">
              <w:rPr>
                <w:color w:val="auto"/>
              </w:rPr>
              <w:t xml:space="preserve"> or court appointment of a fiduciary</w:t>
            </w:r>
            <w:r w:rsidR="003F61E8" w:rsidRPr="00A81030">
              <w:rPr>
                <w:color w:val="auto"/>
              </w:rPr>
              <w:t xml:space="preserve"> by reason of incompetency</w:t>
            </w:r>
          </w:p>
          <w:p w14:paraId="74E442C1" w14:textId="118EEE34" w:rsidR="005F2D04" w:rsidRPr="00A81030" w:rsidRDefault="008038A0">
            <w:pPr>
              <w:pStyle w:val="BulletText1"/>
              <w:rPr>
                <w:rStyle w:val="Hyperlink"/>
                <w:color w:val="auto"/>
                <w:u w:val="none"/>
              </w:rPr>
            </w:pPr>
            <w:r w:rsidRPr="00A81030">
              <w:rPr>
                <w:rStyle w:val="Hyperlink"/>
                <w:color w:val="auto"/>
                <w:u w:val="none"/>
              </w:rPr>
              <w:t>procedure</w:t>
            </w:r>
            <w:r w:rsidR="00E1462B" w:rsidRPr="00A81030">
              <w:rPr>
                <w:rStyle w:val="Hyperlink"/>
                <w:color w:val="auto"/>
                <w:u w:val="none"/>
              </w:rPr>
              <w:t>s</w:t>
            </w:r>
            <w:r w:rsidRPr="00A81030">
              <w:rPr>
                <w:rStyle w:val="Hyperlink"/>
                <w:color w:val="auto"/>
                <w:u w:val="none"/>
              </w:rPr>
              <w:t xml:space="preserve"> </w:t>
            </w:r>
            <w:r w:rsidR="0012465D" w:rsidRPr="00A81030">
              <w:rPr>
                <w:rStyle w:val="Hyperlink"/>
                <w:color w:val="auto"/>
                <w:u w:val="none"/>
              </w:rPr>
              <w:t>following receipt of court decree restoring competency</w:t>
            </w:r>
          </w:p>
          <w:p w14:paraId="53EAA6C0" w14:textId="1127D3C3" w:rsidR="005F2D04" w:rsidRPr="00A81030" w:rsidRDefault="00FB4756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  <w:sz w:val="22"/>
              </w:rPr>
              <w:t>VSR actions when reinstating benefits for a Veteran previously rated incompetent</w:t>
            </w:r>
          </w:p>
          <w:p w14:paraId="177D9F3B" w14:textId="00212799" w:rsidR="005F2D04" w:rsidRPr="00A81030" w:rsidRDefault="00B72C7B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  <w:sz w:val="22"/>
              </w:rPr>
              <w:t>RVSR action</w:t>
            </w:r>
            <w:r w:rsidR="00761334" w:rsidRPr="00A81030">
              <w:rPr>
                <w:color w:val="auto"/>
                <w:sz w:val="22"/>
              </w:rPr>
              <w:t>s</w:t>
            </w:r>
            <w:r w:rsidRPr="00A81030">
              <w:rPr>
                <w:color w:val="auto"/>
                <w:sz w:val="22"/>
              </w:rPr>
              <w:t xml:space="preserve"> </w:t>
            </w:r>
            <w:r w:rsidR="00FB4756" w:rsidRPr="00A81030">
              <w:rPr>
                <w:color w:val="auto"/>
                <w:sz w:val="22"/>
              </w:rPr>
              <w:t>when reinstating benefits for a Veteran previously rated incompetent</w:t>
            </w:r>
            <w:r w:rsidR="005F2D04" w:rsidRPr="00A81030">
              <w:rPr>
                <w:color w:val="auto"/>
                <w:sz w:val="22"/>
              </w:rPr>
              <w:t>, and</w:t>
            </w:r>
          </w:p>
          <w:p w14:paraId="4981FBBB" w14:textId="197419E8" w:rsidR="00E82303" w:rsidRPr="00A81030" w:rsidRDefault="00511042" w:rsidP="00B72C7B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  <w:sz w:val="22"/>
              </w:rPr>
              <w:t>r</w:t>
            </w:r>
            <w:r w:rsidR="005F2D04" w:rsidRPr="00A81030">
              <w:rPr>
                <w:color w:val="auto"/>
                <w:sz w:val="22"/>
              </w:rPr>
              <w:t xml:space="preserve">eferral to </w:t>
            </w:r>
            <w:r w:rsidR="00B72C7B" w:rsidRPr="00A81030">
              <w:rPr>
                <w:color w:val="auto"/>
                <w:sz w:val="22"/>
              </w:rPr>
              <w:t>f</w:t>
            </w:r>
            <w:r w:rsidR="005F2D04" w:rsidRPr="00A81030">
              <w:rPr>
                <w:color w:val="auto"/>
                <w:sz w:val="22"/>
              </w:rPr>
              <w:t xml:space="preserve">iduciary </w:t>
            </w:r>
            <w:r w:rsidR="00B72C7B" w:rsidRPr="00A81030">
              <w:rPr>
                <w:color w:val="auto"/>
                <w:sz w:val="22"/>
              </w:rPr>
              <w:t xml:space="preserve">hub after </w:t>
            </w:r>
            <w:r w:rsidR="00FB4756" w:rsidRPr="00A81030">
              <w:rPr>
                <w:color w:val="auto"/>
                <w:sz w:val="22"/>
              </w:rPr>
              <w:t>reinstating benefits for a Veteran with a continued finding of incompetency</w:t>
            </w:r>
            <w:r w:rsidR="005F2D04" w:rsidRPr="00A81030">
              <w:rPr>
                <w:color w:val="auto"/>
                <w:sz w:val="22"/>
              </w:rPr>
              <w:t>.</w:t>
            </w:r>
          </w:p>
        </w:tc>
      </w:tr>
    </w:tbl>
    <w:p w14:paraId="7F4093A8" w14:textId="49524930" w:rsidR="00E82303" w:rsidRPr="00A81030" w:rsidRDefault="00E82303">
      <w:pPr>
        <w:pStyle w:val="BlockLine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2B54D491" w14:textId="77777777">
        <w:trPr>
          <w:cantSplit/>
        </w:trPr>
        <w:tc>
          <w:tcPr>
            <w:tcW w:w="1728" w:type="dxa"/>
          </w:tcPr>
          <w:p w14:paraId="6B6D7F54" w14:textId="77777777" w:rsidR="00E82303" w:rsidRPr="00A81030" w:rsidRDefault="00E82303">
            <w:pPr>
              <w:pStyle w:val="Heading5"/>
              <w:rPr>
                <w:color w:val="auto"/>
              </w:rPr>
            </w:pPr>
            <w:r w:rsidRPr="00A81030">
              <w:rPr>
                <w:color w:val="auto"/>
              </w:rPr>
              <w:t>Change Date</w:t>
            </w:r>
          </w:p>
        </w:tc>
        <w:tc>
          <w:tcPr>
            <w:tcW w:w="7740" w:type="dxa"/>
          </w:tcPr>
          <w:p w14:paraId="62BA978D" w14:textId="335500CE" w:rsidR="00E82303" w:rsidRPr="00A81030" w:rsidRDefault="00540BA5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>November 13, 2015</w:t>
            </w:r>
          </w:p>
        </w:tc>
      </w:tr>
    </w:tbl>
    <w:p w14:paraId="223FB333" w14:textId="00CA7470" w:rsidR="00B4166B" w:rsidRPr="00A81030" w:rsidRDefault="00B4166B">
      <w:pPr>
        <w:pStyle w:val="BlockLine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3E02F6" w:rsidRPr="00A81030" w14:paraId="5AA63A7D" w14:textId="77777777" w:rsidTr="00B4166B">
        <w:tc>
          <w:tcPr>
            <w:tcW w:w="1728" w:type="dxa"/>
            <w:shd w:val="clear" w:color="auto" w:fill="auto"/>
          </w:tcPr>
          <w:p w14:paraId="3C60044E" w14:textId="1D2C11CA" w:rsidR="00B4166B" w:rsidRPr="00A81030" w:rsidRDefault="00B4166B" w:rsidP="00B4166B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>a.  Decree by a Court as Notice and Hearing</w:t>
            </w:r>
          </w:p>
        </w:tc>
        <w:tc>
          <w:tcPr>
            <w:tcW w:w="7740" w:type="dxa"/>
            <w:shd w:val="clear" w:color="auto" w:fill="auto"/>
          </w:tcPr>
          <w:p w14:paraId="4D809E1D" w14:textId="77777777" w:rsidR="00B4166B" w:rsidRPr="00A81030" w:rsidRDefault="00B4166B" w:rsidP="00B4166B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A payee may be considered to have had notice and hearing under the laws of the State so that additional notice and hearing are not required when</w:t>
            </w:r>
          </w:p>
          <w:p w14:paraId="5A3E9FDE" w14:textId="77777777" w:rsidR="00B4166B" w:rsidRPr="00A81030" w:rsidRDefault="00B4166B" w:rsidP="00B4166B">
            <w:pPr>
              <w:pStyle w:val="TableText"/>
              <w:rPr>
                <w:color w:val="auto"/>
              </w:rPr>
            </w:pPr>
          </w:p>
          <w:p w14:paraId="1F239B2B" w14:textId="77777777" w:rsidR="00B4166B" w:rsidRPr="00A81030" w:rsidRDefault="00B4166B" w:rsidP="00B4166B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the payee has been found by a court of jurisdiction to be incompetent, or</w:t>
            </w:r>
          </w:p>
          <w:p w14:paraId="4A91E90B" w14:textId="34048EB3" w:rsidR="00B4166B" w:rsidRPr="00A81030" w:rsidRDefault="00B4166B" w:rsidP="00B4166B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a court having jurisdiction has appointed a guardian by reason of incompetency for a payee.</w:t>
            </w:r>
          </w:p>
        </w:tc>
      </w:tr>
    </w:tbl>
    <w:p w14:paraId="706B7811" w14:textId="71D562E4" w:rsidR="00E82303" w:rsidRPr="00A81030" w:rsidRDefault="00253101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31063CEC" w14:textId="77777777" w:rsidTr="009A2881">
        <w:tc>
          <w:tcPr>
            <w:tcW w:w="1728" w:type="dxa"/>
          </w:tcPr>
          <w:p w14:paraId="65EA299F" w14:textId="76B5F7BF" w:rsidR="00E82303" w:rsidRPr="00A81030" w:rsidRDefault="00B4166B">
            <w:pPr>
              <w:pStyle w:val="Heading5"/>
              <w:rPr>
                <w:color w:val="auto"/>
              </w:rPr>
            </w:pPr>
            <w:bookmarkStart w:id="17" w:name="_a.__Competency"/>
            <w:bookmarkEnd w:id="17"/>
            <w:r w:rsidRPr="00A81030">
              <w:rPr>
                <w:color w:val="auto"/>
              </w:rPr>
              <w:t>b</w:t>
            </w:r>
            <w:r w:rsidR="00E82303" w:rsidRPr="00A81030">
              <w:rPr>
                <w:color w:val="auto"/>
              </w:rPr>
              <w:t xml:space="preserve">.  </w:t>
            </w:r>
            <w:r w:rsidR="008038A0" w:rsidRPr="00A81030">
              <w:rPr>
                <w:color w:val="auto"/>
              </w:rPr>
              <w:t>Determining When</w:t>
            </w:r>
            <w:r w:rsidR="00E1462B" w:rsidRPr="00A81030">
              <w:rPr>
                <w:color w:val="auto"/>
              </w:rPr>
              <w:t xml:space="preserve"> a</w:t>
            </w:r>
            <w:r w:rsidR="008038A0" w:rsidRPr="00A81030">
              <w:rPr>
                <w:color w:val="auto"/>
              </w:rPr>
              <w:t xml:space="preserve"> </w:t>
            </w:r>
            <w:r w:rsidR="00E82303" w:rsidRPr="00A81030">
              <w:rPr>
                <w:color w:val="auto"/>
              </w:rPr>
              <w:t xml:space="preserve">Competency Rating </w:t>
            </w:r>
            <w:r w:rsidR="008038A0" w:rsidRPr="00A81030">
              <w:rPr>
                <w:color w:val="auto"/>
              </w:rPr>
              <w:t xml:space="preserve"> Is Needed </w:t>
            </w:r>
            <w:r w:rsidR="00E82303" w:rsidRPr="00A81030">
              <w:rPr>
                <w:color w:val="auto"/>
              </w:rPr>
              <w:t>After a Decree by a Court</w:t>
            </w:r>
          </w:p>
        </w:tc>
        <w:tc>
          <w:tcPr>
            <w:tcW w:w="7740" w:type="dxa"/>
          </w:tcPr>
          <w:p w14:paraId="1D431195" w14:textId="5A56D65B" w:rsidR="00E82303" w:rsidRPr="00A81030" w:rsidRDefault="00E82303" w:rsidP="006A4840">
            <w:pPr>
              <w:pStyle w:val="BulletText1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A81030">
              <w:rPr>
                <w:color w:val="auto"/>
              </w:rPr>
              <w:t>Use the table below to decide how to proceed with a competency rating of payees who have been found incompetent by a court</w:t>
            </w:r>
            <w:r w:rsidR="009335CB" w:rsidRPr="00A81030">
              <w:rPr>
                <w:color w:val="auto"/>
              </w:rPr>
              <w:t xml:space="preserve"> decree</w:t>
            </w:r>
            <w:r w:rsidRPr="00A81030">
              <w:rPr>
                <w:color w:val="auto"/>
              </w:rPr>
              <w:t xml:space="preserve">. </w:t>
            </w:r>
          </w:p>
        </w:tc>
      </w:tr>
    </w:tbl>
    <w:p w14:paraId="5B1423CD" w14:textId="71A8D86C" w:rsidR="00DD5789" w:rsidRPr="00A81030" w:rsidRDefault="00DD5789" w:rsidP="00DD5789">
      <w:pPr>
        <w:rPr>
          <w:color w:val="auto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0"/>
        <w:gridCol w:w="5490"/>
        <w:gridCol w:w="10"/>
      </w:tblGrid>
      <w:tr w:rsidR="003E02F6" w:rsidRPr="00A81030" w14:paraId="5DB0E004" w14:textId="77777777" w:rsidTr="00911620"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0027" w14:textId="77777777" w:rsidR="00DD5789" w:rsidRPr="00A81030" w:rsidRDefault="00DD5789" w:rsidP="00911620">
            <w:pPr>
              <w:pStyle w:val="TableHeaderText"/>
              <w:jc w:val="left"/>
              <w:rPr>
                <w:color w:val="auto"/>
              </w:rPr>
            </w:pPr>
            <w:r w:rsidRPr="00A81030">
              <w:rPr>
                <w:color w:val="auto"/>
              </w:rPr>
              <w:t>If determining the competency of …</w:t>
            </w:r>
          </w:p>
        </w:tc>
        <w:tc>
          <w:tcPr>
            <w:tcW w:w="5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A04A" w14:textId="77777777" w:rsidR="00DD5789" w:rsidRPr="00A81030" w:rsidRDefault="00DD5789" w:rsidP="00911620">
            <w:pPr>
              <w:pStyle w:val="TableHeaderText"/>
              <w:jc w:val="left"/>
              <w:rPr>
                <w:color w:val="auto"/>
              </w:rPr>
            </w:pPr>
            <w:r w:rsidRPr="00A81030">
              <w:rPr>
                <w:color w:val="auto"/>
              </w:rPr>
              <w:t>Then …</w:t>
            </w:r>
          </w:p>
        </w:tc>
      </w:tr>
      <w:tr w:rsidR="003E02F6" w:rsidRPr="00A81030" w14:paraId="771F29FD" w14:textId="77777777" w:rsidTr="00911620"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EEF0" w14:textId="77777777" w:rsidR="00DD5789" w:rsidRPr="00A81030" w:rsidRDefault="00DD5789" w:rsidP="00911620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non-Veteran beneficiaries such as a</w:t>
            </w:r>
          </w:p>
          <w:p w14:paraId="37716633" w14:textId="77777777" w:rsidR="00DD5789" w:rsidRPr="00A81030" w:rsidRDefault="00DD5789" w:rsidP="00911620">
            <w:pPr>
              <w:pStyle w:val="TableText"/>
              <w:rPr>
                <w:color w:val="auto"/>
              </w:rPr>
            </w:pPr>
          </w:p>
          <w:p w14:paraId="146A736B" w14:textId="77777777" w:rsidR="00DD5789" w:rsidRPr="00A81030" w:rsidRDefault="00DD5789" w:rsidP="009116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parent </w:t>
            </w:r>
          </w:p>
          <w:p w14:paraId="52DA8EE3" w14:textId="77777777" w:rsidR="00DD5789" w:rsidRPr="00A81030" w:rsidRDefault="00DD5789" w:rsidP="009116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surviving spouse, or</w:t>
            </w:r>
          </w:p>
          <w:p w14:paraId="25A86B17" w14:textId="506A3A39" w:rsidR="00DD5789" w:rsidRPr="00A81030" w:rsidRDefault="008038A0" w:rsidP="009116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child </w:t>
            </w:r>
            <w:r w:rsidR="00692686" w:rsidRPr="00A81030">
              <w:rPr>
                <w:color w:val="auto"/>
              </w:rPr>
              <w:t xml:space="preserve">permanently </w:t>
            </w:r>
            <w:r w:rsidRPr="00A81030">
              <w:rPr>
                <w:color w:val="auto"/>
              </w:rPr>
              <w:lastRenderedPageBreak/>
              <w:t xml:space="preserve">incapable of </w:t>
            </w:r>
            <w:r w:rsidR="005A04E8" w:rsidRPr="00A81030">
              <w:rPr>
                <w:color w:val="auto"/>
              </w:rPr>
              <w:t>self-support</w:t>
            </w:r>
          </w:p>
        </w:tc>
        <w:tc>
          <w:tcPr>
            <w:tcW w:w="5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15EA" w14:textId="75D8E071" w:rsidR="00DD5789" w:rsidRPr="00A81030" w:rsidRDefault="00DD5789" w:rsidP="0028077A">
            <w:pPr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 xml:space="preserve">a rating </w:t>
            </w:r>
            <w:r w:rsidR="00826F44" w:rsidRPr="00A81030">
              <w:rPr>
                <w:color w:val="auto"/>
              </w:rPr>
              <w:t xml:space="preserve">(proposed or final) </w:t>
            </w:r>
            <w:r w:rsidRPr="00A81030">
              <w:rPr>
                <w:color w:val="auto"/>
              </w:rPr>
              <w:t xml:space="preserve">is not required except </w:t>
            </w:r>
            <w:r w:rsidR="004A05EF" w:rsidRPr="00A81030">
              <w:rPr>
                <w:color w:val="auto"/>
              </w:rPr>
              <w:t>for</w:t>
            </w:r>
            <w:r w:rsidR="008038A0" w:rsidRPr="00A81030">
              <w:rPr>
                <w:color w:val="auto"/>
              </w:rPr>
              <w:t xml:space="preserve"> children </w:t>
            </w:r>
            <w:r w:rsidR="00692686" w:rsidRPr="00A81030">
              <w:rPr>
                <w:color w:val="auto"/>
              </w:rPr>
              <w:t xml:space="preserve">permanently </w:t>
            </w:r>
            <w:r w:rsidR="008038A0" w:rsidRPr="00A81030">
              <w:rPr>
                <w:color w:val="auto"/>
              </w:rPr>
              <w:t xml:space="preserve">incapable of </w:t>
            </w:r>
            <w:r w:rsidR="005A04E8" w:rsidRPr="00A81030">
              <w:rPr>
                <w:color w:val="auto"/>
              </w:rPr>
              <w:t>self-support</w:t>
            </w:r>
            <w:r w:rsidR="008038A0" w:rsidRPr="00A81030">
              <w:rPr>
                <w:color w:val="auto"/>
              </w:rPr>
              <w:t xml:space="preserve"> who are over age 18 and potentially entitled to payment of benefits</w:t>
            </w:r>
            <w:r w:rsidRPr="00A81030">
              <w:rPr>
                <w:color w:val="auto"/>
              </w:rPr>
              <w:t>.</w:t>
            </w:r>
          </w:p>
          <w:p w14:paraId="15529391" w14:textId="77777777" w:rsidR="00DD5789" w:rsidRPr="00A81030" w:rsidRDefault="00DD5789" w:rsidP="00911620">
            <w:pPr>
              <w:pStyle w:val="TableText"/>
              <w:rPr>
                <w:color w:val="auto"/>
              </w:rPr>
            </w:pPr>
          </w:p>
          <w:p w14:paraId="0228B310" w14:textId="7EC19F96" w:rsidR="0028077A" w:rsidRPr="00A81030" w:rsidRDefault="00DD5789" w:rsidP="0028077A">
            <w:pPr>
              <w:pStyle w:val="Table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="003F3923" w:rsidRPr="00A81030">
              <w:rPr>
                <w:b/>
                <w:i/>
                <w:color w:val="auto"/>
              </w:rPr>
              <w:t>s</w:t>
            </w:r>
            <w:r w:rsidRPr="00A81030">
              <w:rPr>
                <w:color w:val="auto"/>
              </w:rPr>
              <w:t xml:space="preserve">:  For more information on </w:t>
            </w:r>
          </w:p>
          <w:p w14:paraId="6ABDBF36" w14:textId="244BA0AD" w:rsidR="00826F44" w:rsidRPr="00A81030" w:rsidRDefault="00DD5789" w:rsidP="00185F9E">
            <w:pPr>
              <w:pStyle w:val="ListParagraph"/>
              <w:numPr>
                <w:ilvl w:val="0"/>
                <w:numId w:val="24"/>
              </w:numPr>
              <w:ind w:left="158" w:hanging="187"/>
              <w:rPr>
                <w:rStyle w:val="Hyperlink"/>
                <w:color w:val="auto"/>
              </w:rPr>
            </w:pPr>
            <w:r w:rsidRPr="00A81030">
              <w:rPr>
                <w:color w:val="auto"/>
              </w:rPr>
              <w:t>a child’s permanent incapacity for self-support, see M21-1, Part III, Subpart iii, 7</w:t>
            </w:r>
            <w:r w:rsidR="0028077A" w:rsidRPr="00A81030">
              <w:rPr>
                <w:rStyle w:val="Hyperlink"/>
                <w:color w:val="auto"/>
                <w:u w:val="none"/>
              </w:rPr>
              <w:t>,</w:t>
            </w:r>
            <w:r w:rsidR="00273A71" w:rsidRPr="00A81030">
              <w:rPr>
                <w:rStyle w:val="Hyperlink"/>
                <w:color w:val="auto"/>
                <w:u w:val="none"/>
              </w:rPr>
              <w:t xml:space="preserve"> and</w:t>
            </w:r>
          </w:p>
          <w:p w14:paraId="1BF3E830" w14:textId="2AB57319" w:rsidR="00DD5789" w:rsidRPr="00A81030" w:rsidRDefault="002009FF" w:rsidP="00185F9E">
            <w:pPr>
              <w:pStyle w:val="ListParagraph"/>
              <w:numPr>
                <w:ilvl w:val="0"/>
                <w:numId w:val="19"/>
              </w:numPr>
              <w:ind w:left="158" w:hanging="187"/>
              <w:rPr>
                <w:color w:val="auto"/>
              </w:rPr>
            </w:pPr>
            <w:r w:rsidRPr="00A81030">
              <w:rPr>
                <w:rStyle w:val="Hyperlink"/>
                <w:color w:val="auto"/>
                <w:u w:val="none"/>
              </w:rPr>
              <w:t xml:space="preserve">considering the competency of </w:t>
            </w:r>
            <w:r w:rsidR="00826F44" w:rsidRPr="00A81030">
              <w:rPr>
                <w:rStyle w:val="Hyperlink"/>
                <w:color w:val="auto"/>
                <w:u w:val="none"/>
              </w:rPr>
              <w:t>a child</w:t>
            </w:r>
            <w:r w:rsidRPr="00A81030">
              <w:rPr>
                <w:rStyle w:val="Hyperlink"/>
                <w:color w:val="auto"/>
                <w:u w:val="none"/>
              </w:rPr>
              <w:t xml:space="preserve"> permanently</w:t>
            </w:r>
            <w:r w:rsidR="00826F44" w:rsidRPr="00A81030">
              <w:rPr>
                <w:rStyle w:val="Hyperlink"/>
                <w:color w:val="auto"/>
                <w:u w:val="none"/>
              </w:rPr>
              <w:t xml:space="preserve"> </w:t>
            </w:r>
            <w:r w:rsidR="00826F44" w:rsidRPr="00A81030">
              <w:rPr>
                <w:rStyle w:val="Hyperlink"/>
                <w:color w:val="auto"/>
                <w:u w:val="none"/>
              </w:rPr>
              <w:lastRenderedPageBreak/>
              <w:t xml:space="preserve">incapable of </w:t>
            </w:r>
            <w:r w:rsidR="005A04E8" w:rsidRPr="00A81030">
              <w:rPr>
                <w:rStyle w:val="Hyperlink"/>
                <w:color w:val="auto"/>
                <w:u w:val="none"/>
              </w:rPr>
              <w:t>self-support</w:t>
            </w:r>
            <w:r w:rsidR="00826F44" w:rsidRPr="00A81030">
              <w:rPr>
                <w:rStyle w:val="Hyperlink"/>
                <w:color w:val="auto"/>
                <w:u w:val="none"/>
              </w:rPr>
              <w:t>, see</w:t>
            </w:r>
            <w:r w:rsidR="008038A0" w:rsidRPr="00A81030">
              <w:rPr>
                <w:rStyle w:val="Hyperlink"/>
                <w:color w:val="auto"/>
                <w:u w:val="none"/>
              </w:rPr>
              <w:t xml:space="preserve"> M21-1, Part III, Subpart iv, 8.A.2.b</w:t>
            </w:r>
            <w:r w:rsidR="00DD5789" w:rsidRPr="00A81030">
              <w:rPr>
                <w:color w:val="auto"/>
              </w:rPr>
              <w:t>.</w:t>
            </w:r>
          </w:p>
        </w:tc>
      </w:tr>
      <w:tr w:rsidR="003E02F6" w:rsidRPr="00A81030" w14:paraId="59CE4E4C" w14:textId="77777777" w:rsidTr="00911620">
        <w:trPr>
          <w:gridAfter w:val="1"/>
          <w:wAfter w:w="10" w:type="dxa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C3BA" w14:textId="0C5D69E4" w:rsidR="00DD5789" w:rsidRPr="00A81030" w:rsidRDefault="00DD5789" w:rsidP="00911620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a Veteran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A447" w14:textId="41002F56" w:rsidR="0012465D" w:rsidRPr="00A81030" w:rsidRDefault="005A3268" w:rsidP="00A35E81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  <w:r w:rsidRPr="00A81030">
              <w:rPr>
                <w:color w:val="auto"/>
              </w:rPr>
              <w:t>j</w:t>
            </w:r>
            <w:r w:rsidR="0012465D" w:rsidRPr="00A81030">
              <w:rPr>
                <w:color w:val="auto"/>
              </w:rPr>
              <w:t>udicial findings of a court with respect to the competency of a Veteran are not binding on the rating activity.</w:t>
            </w:r>
            <w:r w:rsidR="0028077A" w:rsidRPr="00A81030">
              <w:rPr>
                <w:color w:val="auto"/>
              </w:rPr>
              <w:t xml:space="preserve">  In such cases,</w:t>
            </w:r>
          </w:p>
          <w:p w14:paraId="55A03C96" w14:textId="3E0D3C4F" w:rsidR="008038A0" w:rsidRPr="00A81030" w:rsidRDefault="008038A0" w:rsidP="00A35E81">
            <w:pPr>
              <w:pStyle w:val="BulletText1"/>
              <w:numPr>
                <w:ilvl w:val="0"/>
                <w:numId w:val="0"/>
              </w:numPr>
              <w:rPr>
                <w:color w:val="auto"/>
              </w:rPr>
            </w:pPr>
          </w:p>
          <w:p w14:paraId="295370F1" w14:textId="77777777" w:rsidR="00DD5789" w:rsidRPr="00A81030" w:rsidRDefault="00DD5789" w:rsidP="009116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develop all necessary evidence for a rating activity determination, such as</w:t>
            </w:r>
          </w:p>
          <w:p w14:paraId="01209423" w14:textId="77777777" w:rsidR="00DD5789" w:rsidRPr="00A81030" w:rsidRDefault="00DD5789" w:rsidP="00911620">
            <w:pPr>
              <w:pStyle w:val="BulletText2"/>
              <w:rPr>
                <w:color w:val="auto"/>
              </w:rPr>
            </w:pPr>
            <w:r w:rsidRPr="00A81030">
              <w:rPr>
                <w:color w:val="auto"/>
              </w:rPr>
              <w:t>an examination</w:t>
            </w:r>
          </w:p>
          <w:p w14:paraId="59DFC5BD" w14:textId="77777777" w:rsidR="00DD5789" w:rsidRPr="00A81030" w:rsidRDefault="00DD5789" w:rsidP="00911620">
            <w:pPr>
              <w:pStyle w:val="BulletText2"/>
              <w:rPr>
                <w:color w:val="auto"/>
              </w:rPr>
            </w:pPr>
            <w:r w:rsidRPr="00A81030">
              <w:rPr>
                <w:color w:val="auto"/>
              </w:rPr>
              <w:t xml:space="preserve">hospital observation, or </w:t>
            </w:r>
          </w:p>
          <w:p w14:paraId="78B1BCA3" w14:textId="77777777" w:rsidR="00DD5789" w:rsidRPr="00A81030" w:rsidRDefault="00DD5789" w:rsidP="00911620">
            <w:pPr>
              <w:pStyle w:val="BulletText2"/>
              <w:rPr>
                <w:color w:val="auto"/>
              </w:rPr>
            </w:pPr>
            <w:r w:rsidRPr="00A81030">
              <w:rPr>
                <w:color w:val="auto"/>
              </w:rPr>
              <w:t>a field examination</w:t>
            </w:r>
          </w:p>
          <w:p w14:paraId="559EA629" w14:textId="77777777" w:rsidR="00DD5789" w:rsidRPr="00A81030" w:rsidRDefault="00DD5789" w:rsidP="009116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 xml:space="preserve">give great weight to a </w:t>
            </w:r>
          </w:p>
          <w:p w14:paraId="425950C8" w14:textId="77777777" w:rsidR="00DD5789" w:rsidRPr="00A81030" w:rsidRDefault="00DD5789" w:rsidP="00911620">
            <w:pPr>
              <w:pStyle w:val="BulletText2"/>
              <w:rPr>
                <w:color w:val="auto"/>
              </w:rPr>
            </w:pPr>
            <w:r w:rsidRPr="00A81030">
              <w:rPr>
                <w:color w:val="auto"/>
              </w:rPr>
              <w:t>court decree of incompetency, and</w:t>
            </w:r>
          </w:p>
          <w:p w14:paraId="777CD2FB" w14:textId="77777777" w:rsidR="00DD5789" w:rsidRPr="00A81030" w:rsidRDefault="00DD5789" w:rsidP="00911620">
            <w:pPr>
              <w:pStyle w:val="BulletText2"/>
              <w:rPr>
                <w:color w:val="auto"/>
              </w:rPr>
            </w:pPr>
            <w:r w:rsidRPr="00A81030">
              <w:rPr>
                <w:color w:val="auto"/>
              </w:rPr>
              <w:t xml:space="preserve">the inability to manage financial affairs, and </w:t>
            </w:r>
          </w:p>
          <w:p w14:paraId="0AB6EE95" w14:textId="77777777" w:rsidR="00DD5789" w:rsidRPr="00A81030" w:rsidRDefault="00DD5789" w:rsidP="00911620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do not make a rating of competency unless there is clear and convincing evidence of that fact.</w:t>
            </w:r>
          </w:p>
          <w:p w14:paraId="26EB864C" w14:textId="77777777" w:rsidR="00DD5789" w:rsidRPr="00A81030" w:rsidRDefault="00DD5789" w:rsidP="00911620">
            <w:pPr>
              <w:pStyle w:val="TableText"/>
              <w:rPr>
                <w:color w:val="auto"/>
              </w:rPr>
            </w:pPr>
          </w:p>
          <w:p w14:paraId="5E4D62A5" w14:textId="7503B99B" w:rsidR="00DD5789" w:rsidRPr="00A81030" w:rsidRDefault="00DD5789" w:rsidP="00911620">
            <w:pPr>
              <w:pStyle w:val="TableText"/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Pr="00A81030">
              <w:rPr>
                <w:color w:val="auto"/>
              </w:rPr>
              <w:t xml:space="preserve">:  If the Veteran continues to be rated competent, mention </w:t>
            </w:r>
            <w:r w:rsidR="004A05EF" w:rsidRPr="00A81030">
              <w:rPr>
                <w:color w:val="auto"/>
              </w:rPr>
              <w:t>whether</w:t>
            </w:r>
            <w:r w:rsidRPr="00A81030">
              <w:rPr>
                <w:color w:val="auto"/>
              </w:rPr>
              <w:t xml:space="preserve"> the court made a parallel determination </w:t>
            </w:r>
            <w:r w:rsidR="004A05EF" w:rsidRPr="00A81030">
              <w:rPr>
                <w:color w:val="auto"/>
              </w:rPr>
              <w:t>or whether the court made a different determination</w:t>
            </w:r>
            <w:r w:rsidRPr="00A81030">
              <w:rPr>
                <w:color w:val="auto"/>
              </w:rPr>
              <w:t>.</w:t>
            </w:r>
          </w:p>
        </w:tc>
      </w:tr>
    </w:tbl>
    <w:p w14:paraId="5E69B3A4" w14:textId="4466889F" w:rsidR="006773FD" w:rsidRPr="00A81030" w:rsidRDefault="00253101" w:rsidP="009335CB">
      <w:pPr>
        <w:pStyle w:val="BlockLine"/>
        <w:rPr>
          <w:color w:val="auto"/>
        </w:rPr>
      </w:pPr>
      <w:r w:rsidRPr="00A81030">
        <w:rPr>
          <w:color w:val="auto"/>
        </w:rPr>
        <w:fldChar w:fldCharType="begin"/>
      </w:r>
      <w:r w:rsidRPr="00A81030">
        <w:rPr>
          <w:color w:val="auto"/>
        </w:rPr>
        <w:instrText xml:space="preserve"> PRIVATE INFOTYPE="PROCEDURE" </w:instrText>
      </w:r>
      <w:r w:rsidRPr="00A81030">
        <w:rPr>
          <w:color w:val="auto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6773FD" w:rsidRPr="00A81030" w14:paraId="4C48D2DD" w14:textId="77777777" w:rsidTr="00A35E81">
        <w:tc>
          <w:tcPr>
            <w:tcW w:w="1728" w:type="dxa"/>
            <w:shd w:val="clear" w:color="auto" w:fill="auto"/>
          </w:tcPr>
          <w:p w14:paraId="77AC4193" w14:textId="5E1985F4" w:rsidR="006773FD" w:rsidRPr="00A81030" w:rsidRDefault="00B4166B" w:rsidP="00EB2B74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>c</w:t>
            </w:r>
            <w:r w:rsidR="006773FD" w:rsidRPr="00A81030">
              <w:rPr>
                <w:b/>
                <w:color w:val="auto"/>
                <w:sz w:val="22"/>
              </w:rPr>
              <w:t>.  Procedures for Payee Found Incompetent by Court Decree</w:t>
            </w:r>
            <w:r w:rsidR="009335CB" w:rsidRPr="00A81030">
              <w:rPr>
                <w:b/>
                <w:color w:val="auto"/>
                <w:sz w:val="22"/>
              </w:rPr>
              <w:t xml:space="preserve"> or Court Appointment of a Fiduciary</w:t>
            </w:r>
            <w:r w:rsidR="003F61E8" w:rsidRPr="00A81030">
              <w:rPr>
                <w:b/>
                <w:color w:val="auto"/>
                <w:sz w:val="22"/>
              </w:rPr>
              <w:t xml:space="preserve"> by Reason of Incompetency</w:t>
            </w:r>
            <w:r w:rsidR="006773FD" w:rsidRPr="00A81030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31D3140D" w14:textId="5959A330" w:rsidR="001861F6" w:rsidRPr="00A81030" w:rsidRDefault="00FF01C1" w:rsidP="001861F6">
            <w:pPr>
              <w:rPr>
                <w:color w:val="auto"/>
              </w:rPr>
            </w:pPr>
            <w:r w:rsidRPr="00A81030">
              <w:rPr>
                <w:color w:val="auto"/>
              </w:rPr>
              <w:t>The table below describes</w:t>
            </w:r>
            <w:r w:rsidR="00C966FB" w:rsidRPr="00A81030">
              <w:rPr>
                <w:color w:val="auto"/>
              </w:rPr>
              <w:t xml:space="preserve"> the appropriate action to take</w:t>
            </w:r>
            <w:r w:rsidR="00A54B4D" w:rsidRPr="00A81030">
              <w:rPr>
                <w:color w:val="auto"/>
              </w:rPr>
              <w:t xml:space="preserve"> for a </w:t>
            </w:r>
            <w:r w:rsidR="009335CB" w:rsidRPr="00A81030">
              <w:rPr>
                <w:color w:val="auto"/>
              </w:rPr>
              <w:t>payee</w:t>
            </w:r>
            <w:r w:rsidR="00A54B4D" w:rsidRPr="00A81030">
              <w:rPr>
                <w:color w:val="auto"/>
              </w:rPr>
              <w:t xml:space="preserve"> </w:t>
            </w:r>
            <w:r w:rsidR="0081754A" w:rsidRPr="00A81030">
              <w:rPr>
                <w:color w:val="auto"/>
              </w:rPr>
              <w:t>when</w:t>
            </w:r>
            <w:r w:rsidR="00A54B4D" w:rsidRPr="00A81030">
              <w:rPr>
                <w:color w:val="auto"/>
              </w:rPr>
              <w:t xml:space="preserve"> a</w:t>
            </w:r>
            <w:r w:rsidR="00EB2B74" w:rsidRPr="00A81030">
              <w:rPr>
                <w:color w:val="auto"/>
              </w:rPr>
              <w:t>n RO receives a</w:t>
            </w:r>
            <w:r w:rsidR="00A54B4D" w:rsidRPr="00A81030">
              <w:rPr>
                <w:color w:val="auto"/>
              </w:rPr>
              <w:t xml:space="preserve"> c</w:t>
            </w:r>
            <w:r w:rsidR="001861F6" w:rsidRPr="00A81030">
              <w:rPr>
                <w:color w:val="auto"/>
              </w:rPr>
              <w:t>ourt decree of incompetency or a court appointment of a fiduciary by reason of incompetency</w:t>
            </w:r>
            <w:r w:rsidR="00A54B4D" w:rsidRPr="00A81030">
              <w:rPr>
                <w:color w:val="auto"/>
              </w:rPr>
              <w:t>.</w:t>
            </w:r>
          </w:p>
          <w:p w14:paraId="09B4F332" w14:textId="77777777" w:rsidR="001861F6" w:rsidRPr="00A81030" w:rsidRDefault="001861F6" w:rsidP="001861F6">
            <w:pPr>
              <w:rPr>
                <w:color w:val="auto"/>
              </w:rPr>
            </w:pPr>
          </w:p>
          <w:p w14:paraId="265CAC40" w14:textId="77777777" w:rsidR="006773FD" w:rsidRPr="00A81030" w:rsidRDefault="006773FD" w:rsidP="003F61E8">
            <w:pPr>
              <w:pStyle w:val="ListParagraph"/>
              <w:ind w:left="158"/>
              <w:rPr>
                <w:color w:val="auto"/>
              </w:rPr>
            </w:pPr>
          </w:p>
        </w:tc>
      </w:tr>
    </w:tbl>
    <w:p w14:paraId="40478C06" w14:textId="77777777" w:rsidR="006773FD" w:rsidRPr="00A81030" w:rsidRDefault="006773FD" w:rsidP="006773FD">
      <w:pPr>
        <w:rPr>
          <w:color w:val="auto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0"/>
        <w:gridCol w:w="1530"/>
        <w:gridCol w:w="5300"/>
      </w:tblGrid>
      <w:tr w:rsidR="003E02F6" w:rsidRPr="00A81030" w14:paraId="48A71999" w14:textId="77777777" w:rsidTr="002C06C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81B" w14:textId="77777777" w:rsidR="0081754A" w:rsidRPr="00A81030" w:rsidRDefault="0081754A" w:rsidP="002C06C3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Step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1A6E" w14:textId="77777777" w:rsidR="0081754A" w:rsidRPr="00A81030" w:rsidRDefault="0081754A" w:rsidP="002C06C3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Responsible Employee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D7C2" w14:textId="77777777" w:rsidR="0081754A" w:rsidRPr="00A81030" w:rsidRDefault="0081754A" w:rsidP="002C06C3">
            <w:pPr>
              <w:pStyle w:val="TableHeaderText"/>
              <w:rPr>
                <w:color w:val="auto"/>
              </w:rPr>
            </w:pPr>
            <w:r w:rsidRPr="00A81030">
              <w:rPr>
                <w:color w:val="auto"/>
              </w:rPr>
              <w:t>Action</w:t>
            </w:r>
          </w:p>
        </w:tc>
      </w:tr>
      <w:tr w:rsidR="003E02F6" w:rsidRPr="00A81030" w14:paraId="5120038F" w14:textId="77777777" w:rsidTr="00E07829">
        <w:trPr>
          <w:trHeight w:val="615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E08B" w14:textId="77777777" w:rsidR="0081754A" w:rsidRPr="00A81030" w:rsidRDefault="0081754A" w:rsidP="002C06C3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05CB" w14:textId="44267A58" w:rsidR="0081754A" w:rsidRPr="00A81030" w:rsidRDefault="00C966FB" w:rsidP="002C06C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VSR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6830" w14:textId="358AE22D" w:rsidR="00C966FB" w:rsidRPr="00A81030" w:rsidRDefault="00842B64" w:rsidP="00A35E81">
            <w:pPr>
              <w:rPr>
                <w:color w:val="auto"/>
              </w:rPr>
            </w:pPr>
            <w:r w:rsidRPr="00A81030">
              <w:rPr>
                <w:color w:val="auto"/>
              </w:rPr>
              <w:t>R</w:t>
            </w:r>
            <w:r w:rsidR="00C966FB" w:rsidRPr="00A81030">
              <w:rPr>
                <w:color w:val="auto"/>
              </w:rPr>
              <w:t xml:space="preserve">efers the </w:t>
            </w:r>
            <w:r w:rsidRPr="00A81030">
              <w:rPr>
                <w:color w:val="auto"/>
              </w:rPr>
              <w:t xml:space="preserve">court </w:t>
            </w:r>
            <w:r w:rsidR="00266A1C" w:rsidRPr="00A81030">
              <w:rPr>
                <w:color w:val="auto"/>
              </w:rPr>
              <w:t>documents to</w:t>
            </w:r>
            <w:r w:rsidR="00C966FB" w:rsidRPr="00A81030">
              <w:rPr>
                <w:color w:val="auto"/>
              </w:rPr>
              <w:t xml:space="preserve"> the fiduciary hub using</w:t>
            </w:r>
          </w:p>
          <w:p w14:paraId="33011042" w14:textId="77777777" w:rsidR="00C966FB" w:rsidRPr="00A81030" w:rsidRDefault="00C966FB" w:rsidP="00A35E81">
            <w:pPr>
              <w:rPr>
                <w:color w:val="auto"/>
              </w:rPr>
            </w:pPr>
          </w:p>
          <w:p w14:paraId="325C6991" w14:textId="4D8E015F" w:rsidR="00C966FB" w:rsidRPr="00A81030" w:rsidRDefault="00C966FB" w:rsidP="004A05EF">
            <w:pPr>
              <w:pStyle w:val="ListParagraph"/>
              <w:numPr>
                <w:ilvl w:val="0"/>
                <w:numId w:val="6"/>
              </w:numPr>
              <w:ind w:left="158" w:hanging="187"/>
              <w:rPr>
                <w:color w:val="auto"/>
              </w:rPr>
            </w:pPr>
            <w:r w:rsidRPr="00A81030">
              <w:rPr>
                <w:i/>
                <w:color w:val="auto"/>
              </w:rPr>
              <w:t>VA Form 21-592,</w:t>
            </w:r>
            <w:r w:rsidRPr="00A81030">
              <w:rPr>
                <w:color w:val="auto"/>
              </w:rPr>
              <w:t xml:space="preserve"> if not already provided</w:t>
            </w:r>
            <w:r w:rsidR="003F61E8" w:rsidRPr="00A81030">
              <w:rPr>
                <w:color w:val="auto"/>
              </w:rPr>
              <w:t>, or</w:t>
            </w:r>
          </w:p>
          <w:p w14:paraId="1E4A9E3E" w14:textId="5E9C59BD" w:rsidR="00C966FB" w:rsidRPr="00A81030" w:rsidRDefault="00C966FB" w:rsidP="004A05EF">
            <w:pPr>
              <w:pStyle w:val="ListParagraph"/>
              <w:numPr>
                <w:ilvl w:val="0"/>
                <w:numId w:val="6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memorandum or letter, if </w:t>
            </w:r>
            <w:r w:rsidRPr="00A81030">
              <w:rPr>
                <w:i/>
                <w:color w:val="auto"/>
              </w:rPr>
              <w:t xml:space="preserve">VA Form 21-592 </w:t>
            </w:r>
            <w:r w:rsidRPr="00A81030">
              <w:rPr>
                <w:color w:val="auto"/>
              </w:rPr>
              <w:t>was previously furnished, and</w:t>
            </w:r>
            <w:r w:rsidR="003F61E8" w:rsidRPr="00A81030">
              <w:rPr>
                <w:color w:val="auto"/>
              </w:rPr>
              <w:t xml:space="preserve"> </w:t>
            </w:r>
          </w:p>
          <w:p w14:paraId="5E60F1E6" w14:textId="2F2B7F41" w:rsidR="00C966FB" w:rsidRPr="00A81030" w:rsidRDefault="00C966FB" w:rsidP="00185F9E">
            <w:pPr>
              <w:pStyle w:val="ListParagraph"/>
              <w:numPr>
                <w:ilvl w:val="0"/>
                <w:numId w:val="20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a copy of the decree of incompetency or the letters of appointment of a fiduciary.</w:t>
            </w:r>
          </w:p>
          <w:p w14:paraId="4C054ADF" w14:textId="77777777" w:rsidR="00C966FB" w:rsidRPr="00A81030" w:rsidRDefault="00C966FB" w:rsidP="00A35E81">
            <w:pPr>
              <w:rPr>
                <w:color w:val="auto"/>
              </w:rPr>
            </w:pPr>
          </w:p>
          <w:p w14:paraId="16A84A7C" w14:textId="77777777" w:rsidR="00842B64" w:rsidRPr="00A81030" w:rsidRDefault="00C966FB" w:rsidP="00A35E81">
            <w:pPr>
              <w:rPr>
                <w:i/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="00842B64" w:rsidRPr="00A81030">
              <w:rPr>
                <w:b/>
                <w:i/>
                <w:color w:val="auto"/>
              </w:rPr>
              <w:t>s</w:t>
            </w:r>
            <w:r w:rsidRPr="00A81030">
              <w:rPr>
                <w:color w:val="auto"/>
              </w:rPr>
              <w:t xml:space="preserve">: </w:t>
            </w:r>
          </w:p>
          <w:p w14:paraId="626D77D8" w14:textId="18FBB1A7" w:rsidR="00842B64" w:rsidRPr="00A81030" w:rsidRDefault="00C966FB" w:rsidP="00185F9E">
            <w:pPr>
              <w:pStyle w:val="ListParagraph"/>
              <w:numPr>
                <w:ilvl w:val="0"/>
                <w:numId w:val="2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Do not</w:t>
            </w:r>
            <w:r w:rsidR="00842B64" w:rsidRPr="00A81030">
              <w:rPr>
                <w:color w:val="auto"/>
              </w:rPr>
              <w:t xml:space="preserve"> establish EP 290</w:t>
            </w:r>
            <w:r w:rsidR="00283BD0" w:rsidRPr="00A81030">
              <w:rPr>
                <w:color w:val="auto"/>
              </w:rPr>
              <w:t xml:space="preserve"> at the </w:t>
            </w:r>
            <w:r w:rsidR="00295DC3" w:rsidRPr="00A81030">
              <w:rPr>
                <w:color w:val="auto"/>
              </w:rPr>
              <w:t>RO</w:t>
            </w:r>
            <w:r w:rsidR="0028077A" w:rsidRPr="00A81030">
              <w:rPr>
                <w:color w:val="auto"/>
              </w:rPr>
              <w:t>.</w:t>
            </w:r>
          </w:p>
          <w:p w14:paraId="57BEE33A" w14:textId="0ADB06EC" w:rsidR="00C966FB" w:rsidRPr="00A81030" w:rsidRDefault="0028077A" w:rsidP="00185F9E">
            <w:pPr>
              <w:pStyle w:val="ListParagraph"/>
              <w:numPr>
                <w:ilvl w:val="0"/>
                <w:numId w:val="2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</w:t>
            </w:r>
            <w:r w:rsidR="00842B64" w:rsidRPr="00A81030">
              <w:rPr>
                <w:color w:val="auto"/>
              </w:rPr>
              <w:t>o not refer for rating action at this point.</w:t>
            </w:r>
            <w:r w:rsidR="00C966FB" w:rsidRPr="00A81030">
              <w:rPr>
                <w:color w:val="auto"/>
              </w:rPr>
              <w:t xml:space="preserve">  </w:t>
            </w:r>
          </w:p>
        </w:tc>
      </w:tr>
      <w:tr w:rsidR="003E02F6" w:rsidRPr="00A81030" w14:paraId="57AD1F0A" w14:textId="77777777" w:rsidTr="002C06C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5678" w14:textId="1C9B7BED" w:rsidR="0081754A" w:rsidRPr="00A81030" w:rsidRDefault="00C966FB" w:rsidP="002C06C3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2B6A" w14:textId="6D81A8F4" w:rsidR="0081754A" w:rsidRPr="00A81030" w:rsidRDefault="00C966FB" w:rsidP="002C06C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Fiduciary hub personnel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FA54" w14:textId="578F234A" w:rsidR="0081754A" w:rsidRPr="00A81030" w:rsidRDefault="00842B64" w:rsidP="00A35E81">
            <w:pPr>
              <w:rPr>
                <w:color w:val="auto"/>
              </w:rPr>
            </w:pPr>
            <w:r w:rsidRPr="00A81030">
              <w:rPr>
                <w:color w:val="auto"/>
              </w:rPr>
              <w:t>Establish</w:t>
            </w:r>
            <w:r w:rsidR="00EB2B74" w:rsidRPr="00A81030">
              <w:rPr>
                <w:color w:val="auto"/>
              </w:rPr>
              <w:t>es</w:t>
            </w:r>
            <w:r w:rsidRPr="00A81030">
              <w:rPr>
                <w:color w:val="auto"/>
              </w:rPr>
              <w:t xml:space="preserve"> EP 290.  </w:t>
            </w:r>
            <w:r w:rsidR="00C966FB" w:rsidRPr="00A81030">
              <w:rPr>
                <w:color w:val="auto"/>
              </w:rPr>
              <w:t>Follow fiduciary hub procedures to establish a fiduciary</w:t>
            </w:r>
            <w:r w:rsidRPr="00A81030">
              <w:rPr>
                <w:color w:val="auto"/>
              </w:rPr>
              <w:t>.</w:t>
            </w:r>
          </w:p>
          <w:p w14:paraId="10B13B77" w14:textId="77777777" w:rsidR="00842B64" w:rsidRPr="00A81030" w:rsidRDefault="00842B64" w:rsidP="00A35E81">
            <w:pPr>
              <w:rPr>
                <w:color w:val="auto"/>
              </w:rPr>
            </w:pPr>
          </w:p>
          <w:p w14:paraId="161D8A1C" w14:textId="77777777" w:rsidR="00B3724F" w:rsidRPr="00A81030" w:rsidRDefault="00842B64" w:rsidP="00A35E81">
            <w:pPr>
              <w:rPr>
                <w:color w:val="auto"/>
              </w:rPr>
            </w:pPr>
            <w:r w:rsidRPr="00A81030">
              <w:rPr>
                <w:color w:val="auto"/>
              </w:rPr>
              <w:t>For a non-Veteran beneficiary, no further action is warranted</w:t>
            </w:r>
            <w:r w:rsidR="00B3724F" w:rsidRPr="00A81030">
              <w:rPr>
                <w:color w:val="auto"/>
              </w:rPr>
              <w:t xml:space="preserve">.  </w:t>
            </w:r>
          </w:p>
          <w:p w14:paraId="1784D882" w14:textId="77777777" w:rsidR="00B3724F" w:rsidRPr="00A81030" w:rsidRDefault="00B3724F" w:rsidP="00A35E81">
            <w:pPr>
              <w:rPr>
                <w:color w:val="auto"/>
              </w:rPr>
            </w:pPr>
          </w:p>
          <w:p w14:paraId="34E5319D" w14:textId="18C15D05" w:rsidR="00842B64" w:rsidRPr="00A81030" w:rsidRDefault="00B3724F" w:rsidP="00EB2B74">
            <w:pPr>
              <w:rPr>
                <w:color w:val="auto"/>
              </w:rPr>
            </w:pPr>
            <w:r w:rsidRPr="00A81030">
              <w:rPr>
                <w:color w:val="auto"/>
              </w:rPr>
              <w:t>For a Veteran beneficiary, refer</w:t>
            </w:r>
            <w:r w:rsidR="00EB2B74" w:rsidRPr="00A81030">
              <w:rPr>
                <w:color w:val="auto"/>
              </w:rPr>
              <w:t>s</w:t>
            </w:r>
            <w:r w:rsidRPr="00A81030">
              <w:rPr>
                <w:color w:val="auto"/>
              </w:rPr>
              <w:t xml:space="preserve"> the case to the co-located </w:t>
            </w:r>
            <w:r w:rsidR="00907698" w:rsidRPr="00A81030">
              <w:rPr>
                <w:color w:val="auto"/>
              </w:rPr>
              <w:t>RO</w:t>
            </w:r>
            <w:r w:rsidRPr="00A81030">
              <w:rPr>
                <w:color w:val="auto"/>
              </w:rPr>
              <w:t xml:space="preserve"> for a formal incompetency rating.</w:t>
            </w:r>
            <w:r w:rsidR="00842B64" w:rsidRPr="00A81030">
              <w:rPr>
                <w:color w:val="auto"/>
              </w:rPr>
              <w:t xml:space="preserve"> </w:t>
            </w:r>
          </w:p>
        </w:tc>
      </w:tr>
      <w:tr w:rsidR="003E02F6" w:rsidRPr="00A81030" w14:paraId="407FE47F" w14:textId="77777777" w:rsidTr="002C06C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95A8" w14:textId="6E18C16C" w:rsidR="0081754A" w:rsidRPr="00A81030" w:rsidRDefault="00842B64" w:rsidP="002C06C3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0B65" w14:textId="784280CB" w:rsidR="0081754A" w:rsidRPr="00A81030" w:rsidRDefault="00B3724F" w:rsidP="000C6C6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 xml:space="preserve">RVSR at </w:t>
            </w:r>
            <w:r w:rsidR="00907698" w:rsidRPr="00A81030">
              <w:rPr>
                <w:color w:val="auto"/>
              </w:rPr>
              <w:t>RO</w:t>
            </w:r>
            <w:r w:rsidRPr="00A81030">
              <w:rPr>
                <w:color w:val="auto"/>
              </w:rPr>
              <w:t xml:space="preserve"> co-located with fiduciary hub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94EB" w14:textId="28501056" w:rsidR="0081754A" w:rsidRPr="00A81030" w:rsidRDefault="00B3724F" w:rsidP="00E07829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Completes a final formal incompetency rating for the Veteran beneficiary.  </w:t>
            </w:r>
          </w:p>
        </w:tc>
      </w:tr>
      <w:tr w:rsidR="003E02F6" w:rsidRPr="00A81030" w14:paraId="2ED66076" w14:textId="77777777" w:rsidTr="002C06C3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AFE9" w14:textId="484EBF85" w:rsidR="0081754A" w:rsidRPr="00A81030" w:rsidRDefault="00B3724F" w:rsidP="002C06C3">
            <w:pPr>
              <w:pStyle w:val="TableText"/>
              <w:jc w:val="center"/>
              <w:rPr>
                <w:color w:val="auto"/>
              </w:rPr>
            </w:pPr>
            <w:r w:rsidRPr="00A81030">
              <w:rPr>
                <w:color w:val="auto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3F7" w14:textId="2A53F58A" w:rsidR="0081754A" w:rsidRPr="00A81030" w:rsidRDefault="00B3724F" w:rsidP="000C6C6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 xml:space="preserve">VSR at </w:t>
            </w:r>
            <w:r w:rsidR="00907698" w:rsidRPr="00A81030">
              <w:rPr>
                <w:color w:val="auto"/>
              </w:rPr>
              <w:t>RO</w:t>
            </w:r>
            <w:r w:rsidRPr="00A81030">
              <w:rPr>
                <w:color w:val="auto"/>
              </w:rPr>
              <w:t xml:space="preserve"> co-located with fiduciary hub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2365" w14:textId="07FE99EB" w:rsidR="00B3724F" w:rsidRPr="00A81030" w:rsidRDefault="00B3724F" w:rsidP="00185F9E">
            <w:pPr>
              <w:pStyle w:val="ListParagraph"/>
              <w:numPr>
                <w:ilvl w:val="0"/>
                <w:numId w:val="11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If the Veteran </w:t>
            </w:r>
            <w:r w:rsidR="00BD2FD7" w:rsidRPr="00A81030">
              <w:rPr>
                <w:color w:val="auto"/>
              </w:rPr>
              <w:t>is rated competent</w:t>
            </w:r>
          </w:p>
          <w:p w14:paraId="06439E2E" w14:textId="71FF8A78" w:rsidR="00B3724F" w:rsidRPr="00A81030" w:rsidRDefault="00B3724F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processes any award actions</w:t>
            </w:r>
          </w:p>
          <w:p w14:paraId="6B17FEEF" w14:textId="7370078A" w:rsidR="00B3724F" w:rsidRPr="00A81030" w:rsidRDefault="00B3724F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sends notification to the beneficiary</w:t>
            </w:r>
          </w:p>
          <w:p w14:paraId="129C07D2" w14:textId="04C10151" w:rsidR="00B3724F" w:rsidRPr="00A81030" w:rsidRDefault="00B3724F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clears the pending EP 600, and</w:t>
            </w:r>
          </w:p>
          <w:p w14:paraId="06E4B379" w14:textId="707C5D4F" w:rsidR="00B3724F" w:rsidRPr="00A81030" w:rsidRDefault="00B3724F" w:rsidP="00185F9E">
            <w:pPr>
              <w:pStyle w:val="ListParagraph"/>
              <w:numPr>
                <w:ilvl w:val="0"/>
                <w:numId w:val="16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return the claims f</w:t>
            </w:r>
            <w:r w:rsidR="000C6C63" w:rsidRPr="00A81030">
              <w:rPr>
                <w:color w:val="auto"/>
              </w:rPr>
              <w:t>older</w:t>
            </w:r>
            <w:r w:rsidRPr="00A81030">
              <w:rPr>
                <w:color w:val="auto"/>
              </w:rPr>
              <w:t xml:space="preserve"> jurisdiction to the </w:t>
            </w:r>
            <w:r w:rsidR="004E0EB6" w:rsidRPr="00A81030">
              <w:rPr>
                <w:color w:val="auto"/>
              </w:rPr>
              <w:t>SOO</w:t>
            </w:r>
            <w:r w:rsidRPr="00A81030">
              <w:rPr>
                <w:color w:val="auto"/>
              </w:rPr>
              <w:t>.</w:t>
            </w:r>
          </w:p>
          <w:p w14:paraId="0EC5D492" w14:textId="77777777" w:rsidR="00B3724F" w:rsidRPr="00A81030" w:rsidRDefault="00B3724F" w:rsidP="00B3724F">
            <w:pPr>
              <w:pStyle w:val="ListParagraph"/>
              <w:ind w:left="346"/>
              <w:rPr>
                <w:color w:val="auto"/>
              </w:rPr>
            </w:pPr>
          </w:p>
          <w:p w14:paraId="56788D93" w14:textId="5F5C60DC" w:rsidR="00B3724F" w:rsidRPr="00A81030" w:rsidRDefault="00B3724F" w:rsidP="00185F9E">
            <w:pPr>
              <w:pStyle w:val="ListParagraph"/>
              <w:numPr>
                <w:ilvl w:val="0"/>
                <w:numId w:val="17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If the be</w:t>
            </w:r>
            <w:r w:rsidR="00BD2FD7" w:rsidRPr="00A81030">
              <w:rPr>
                <w:color w:val="auto"/>
              </w:rPr>
              <w:t>neficiary is rated incompetent</w:t>
            </w:r>
            <w:r w:rsidRPr="00A81030">
              <w:rPr>
                <w:color w:val="auto"/>
              </w:rPr>
              <w:t xml:space="preserve"> </w:t>
            </w:r>
          </w:p>
          <w:p w14:paraId="69DC2481" w14:textId="0C648CFE" w:rsidR="00B3724F" w:rsidRPr="00A81030" w:rsidRDefault="00B3724F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>processes any award actions,</w:t>
            </w:r>
          </w:p>
          <w:p w14:paraId="3D715C7A" w14:textId="75FCB2E2" w:rsidR="00B3724F" w:rsidRPr="00A81030" w:rsidRDefault="00B3724F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sends notification to the </w:t>
            </w:r>
            <w:r w:rsidR="00266A1C" w:rsidRPr="00A81030">
              <w:rPr>
                <w:color w:val="auto"/>
              </w:rPr>
              <w:t>beneficiary, and</w:t>
            </w:r>
            <w:r w:rsidRPr="00A81030">
              <w:rPr>
                <w:color w:val="auto"/>
              </w:rPr>
              <w:t xml:space="preserve"> </w:t>
            </w:r>
          </w:p>
          <w:p w14:paraId="40F59893" w14:textId="6DFE7088" w:rsidR="00B3724F" w:rsidRPr="00A81030" w:rsidRDefault="00D1361F" w:rsidP="00185F9E">
            <w:pPr>
              <w:pStyle w:val="ListParagraph"/>
              <w:numPr>
                <w:ilvl w:val="0"/>
                <w:numId w:val="18"/>
              </w:numPr>
              <w:ind w:left="346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sends notification </w:t>
            </w:r>
            <w:r w:rsidR="00B3724F" w:rsidRPr="00A81030">
              <w:rPr>
                <w:color w:val="auto"/>
              </w:rPr>
              <w:t>to the fiduciary hub.</w:t>
            </w:r>
            <w:r w:rsidR="00B3724F" w:rsidRPr="00A81030">
              <w:rPr>
                <w:i/>
                <w:color w:val="auto"/>
              </w:rPr>
              <w:t xml:space="preserve"> </w:t>
            </w:r>
          </w:p>
          <w:p w14:paraId="28EB1A98" w14:textId="77777777" w:rsidR="00B3724F" w:rsidRPr="00A81030" w:rsidRDefault="00B3724F" w:rsidP="00B3724F">
            <w:pPr>
              <w:pStyle w:val="ListParagraph"/>
              <w:ind w:left="346"/>
              <w:rPr>
                <w:color w:val="auto"/>
              </w:rPr>
            </w:pPr>
          </w:p>
          <w:p w14:paraId="38765637" w14:textId="5042005B" w:rsidR="0081754A" w:rsidRPr="00A81030" w:rsidRDefault="00B3724F" w:rsidP="00D635F3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Pr="00A81030">
              <w:rPr>
                <w:color w:val="auto"/>
              </w:rPr>
              <w:t xml:space="preserve">:  The fiduciary hub subsequently establishes EP 290 and releases retroactive benefits, if appropriate.  </w:t>
            </w:r>
          </w:p>
        </w:tc>
      </w:tr>
    </w:tbl>
    <w:p w14:paraId="3DDA67D4" w14:textId="18D40C05" w:rsidR="0081754A" w:rsidRPr="00A81030" w:rsidRDefault="005F36BB" w:rsidP="005F36BB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tab/>
      </w:r>
    </w:p>
    <w:p w14:paraId="0B388B27" w14:textId="77777777" w:rsidR="006773FD" w:rsidRPr="00A81030" w:rsidRDefault="006773FD" w:rsidP="006773FD">
      <w:pPr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82303" w:rsidRPr="00A81030" w14:paraId="220FCB39" w14:textId="77777777" w:rsidTr="00BD2FD7">
        <w:tc>
          <w:tcPr>
            <w:tcW w:w="1728" w:type="dxa"/>
          </w:tcPr>
          <w:p w14:paraId="2E392D6F" w14:textId="4C4B08AF" w:rsidR="00E82303" w:rsidRPr="00A81030" w:rsidRDefault="00B4166B" w:rsidP="009335CB">
            <w:pPr>
              <w:pStyle w:val="Heading5"/>
              <w:rPr>
                <w:color w:val="auto"/>
              </w:rPr>
            </w:pPr>
            <w:bookmarkStart w:id="18" w:name="_b.__Appropriate"/>
            <w:bookmarkEnd w:id="18"/>
            <w:r w:rsidRPr="00A81030">
              <w:rPr>
                <w:color w:val="auto"/>
              </w:rPr>
              <w:t>d</w:t>
            </w:r>
            <w:r w:rsidR="00E82303" w:rsidRPr="00A81030">
              <w:rPr>
                <w:color w:val="auto"/>
              </w:rPr>
              <w:t xml:space="preserve">.  </w:t>
            </w:r>
            <w:r w:rsidR="0012465D" w:rsidRPr="00A81030">
              <w:rPr>
                <w:color w:val="auto"/>
              </w:rPr>
              <w:t>Procedure</w:t>
            </w:r>
            <w:r w:rsidR="00E1462B" w:rsidRPr="00A81030">
              <w:rPr>
                <w:color w:val="auto"/>
              </w:rPr>
              <w:t>s</w:t>
            </w:r>
            <w:r w:rsidR="0012465D" w:rsidRPr="00A81030">
              <w:rPr>
                <w:color w:val="auto"/>
              </w:rPr>
              <w:t xml:space="preserve"> </w:t>
            </w:r>
            <w:r w:rsidR="00D22365" w:rsidRPr="00A81030">
              <w:rPr>
                <w:color w:val="auto"/>
              </w:rPr>
              <w:t xml:space="preserve"> </w:t>
            </w:r>
            <w:r w:rsidR="0012465D" w:rsidRPr="00A81030">
              <w:rPr>
                <w:color w:val="auto"/>
              </w:rPr>
              <w:t xml:space="preserve">Following Receipt of </w:t>
            </w:r>
            <w:r w:rsidR="00E82303" w:rsidRPr="00A81030">
              <w:rPr>
                <w:color w:val="auto"/>
              </w:rPr>
              <w:t>Court Decree</w:t>
            </w:r>
            <w:r w:rsidR="0012465D" w:rsidRPr="00A81030">
              <w:rPr>
                <w:color w:val="auto"/>
              </w:rPr>
              <w:t xml:space="preserve"> Restoring Competency</w:t>
            </w:r>
            <w:r w:rsidR="009335CB" w:rsidRPr="00A81030">
              <w:rPr>
                <w:color w:val="auto"/>
              </w:rPr>
              <w:t xml:space="preserve"> </w:t>
            </w:r>
          </w:p>
        </w:tc>
        <w:tc>
          <w:tcPr>
            <w:tcW w:w="7740" w:type="dxa"/>
          </w:tcPr>
          <w:p w14:paraId="6290C640" w14:textId="0ACC2DD8" w:rsidR="00E82303" w:rsidRPr="00A81030" w:rsidRDefault="00E82303">
            <w:pPr>
              <w:pStyle w:val="BlockText"/>
              <w:rPr>
                <w:color w:val="auto"/>
              </w:rPr>
            </w:pPr>
            <w:r w:rsidRPr="00A81030">
              <w:rPr>
                <w:color w:val="auto"/>
              </w:rPr>
              <w:t xml:space="preserve">Use the table below to determine the appropriate action after </w:t>
            </w:r>
            <w:r w:rsidR="006773FD" w:rsidRPr="00A81030">
              <w:rPr>
                <w:color w:val="auto"/>
              </w:rPr>
              <w:t xml:space="preserve">receipt of a </w:t>
            </w:r>
            <w:r w:rsidRPr="00A81030">
              <w:rPr>
                <w:color w:val="auto"/>
              </w:rPr>
              <w:t>court decree</w:t>
            </w:r>
            <w:r w:rsidR="009335CB" w:rsidRPr="00A81030">
              <w:rPr>
                <w:color w:val="auto"/>
              </w:rPr>
              <w:t xml:space="preserve"> </w:t>
            </w:r>
            <w:r w:rsidR="006773FD" w:rsidRPr="00A81030">
              <w:rPr>
                <w:color w:val="auto"/>
              </w:rPr>
              <w:t>restoring</w:t>
            </w:r>
            <w:r w:rsidR="0012465D" w:rsidRPr="00A81030">
              <w:rPr>
                <w:color w:val="auto"/>
              </w:rPr>
              <w:t xml:space="preserve"> </w:t>
            </w:r>
            <w:r w:rsidRPr="00A81030">
              <w:rPr>
                <w:color w:val="auto"/>
              </w:rPr>
              <w:t>competency</w:t>
            </w:r>
            <w:r w:rsidR="006773FD" w:rsidRPr="00A81030">
              <w:rPr>
                <w:color w:val="auto"/>
              </w:rPr>
              <w:t xml:space="preserve"> of a Veteran or other payee previously found to be incompetent</w:t>
            </w:r>
            <w:r w:rsidRPr="00A81030">
              <w:rPr>
                <w:color w:val="auto"/>
              </w:rPr>
              <w:t>.</w:t>
            </w:r>
          </w:p>
          <w:p w14:paraId="6712832A" w14:textId="77777777" w:rsidR="00E82303" w:rsidRPr="00A81030" w:rsidRDefault="00E82303">
            <w:pPr>
              <w:pStyle w:val="BlockText"/>
              <w:rPr>
                <w:color w:val="auto"/>
              </w:rPr>
            </w:pPr>
          </w:p>
          <w:p w14:paraId="4C3ED8CB" w14:textId="0DDFFDFB" w:rsidR="00E82303" w:rsidRPr="00A81030" w:rsidRDefault="00E82303">
            <w:pPr>
              <w:pStyle w:val="BlockText"/>
              <w:rPr>
                <w:color w:val="auto"/>
              </w:rPr>
            </w:pPr>
          </w:p>
        </w:tc>
      </w:tr>
    </w:tbl>
    <w:p w14:paraId="0747BD60" w14:textId="77777777" w:rsidR="00E80837" w:rsidRPr="00A81030" w:rsidRDefault="00E80837">
      <w:pPr>
        <w:rPr>
          <w:color w:val="auto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20"/>
        <w:gridCol w:w="4240"/>
      </w:tblGrid>
      <w:tr w:rsidR="003E02F6" w:rsidRPr="00A81030" w14:paraId="088E8D52" w14:textId="77777777">
        <w:trPr>
          <w:cantSplit/>
          <w:trHeight w:val="318"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6DBF" w14:textId="0902A1B4" w:rsidR="00E82303" w:rsidRPr="00A81030" w:rsidRDefault="00E82303">
            <w:pPr>
              <w:pStyle w:val="TableHeaderText"/>
              <w:jc w:val="left"/>
              <w:rPr>
                <w:color w:val="auto"/>
              </w:rPr>
            </w:pPr>
            <w:r w:rsidRPr="00A81030">
              <w:rPr>
                <w:color w:val="auto"/>
              </w:rPr>
              <w:t>If a court decree …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246E" w14:textId="77777777" w:rsidR="00E82303" w:rsidRPr="00A81030" w:rsidRDefault="00E82303">
            <w:pPr>
              <w:pStyle w:val="TableHeaderText"/>
              <w:jc w:val="left"/>
              <w:rPr>
                <w:color w:val="auto"/>
              </w:rPr>
            </w:pPr>
            <w:r w:rsidRPr="00A81030">
              <w:rPr>
                <w:color w:val="auto"/>
              </w:rPr>
              <w:t>Then …</w:t>
            </w:r>
          </w:p>
        </w:tc>
      </w:tr>
      <w:tr w:rsidR="003E02F6" w:rsidRPr="00A81030" w14:paraId="0A653F2C" w14:textId="77777777">
        <w:trPr>
          <w:cantSplit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31EB" w14:textId="6BC9583F" w:rsidR="00E82303" w:rsidRPr="00A81030" w:rsidRDefault="00E8230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 xml:space="preserve">declares a 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>, previously rated incompetent, competent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E7E0" w14:textId="77777777" w:rsidR="00E82303" w:rsidRPr="00A81030" w:rsidRDefault="00E82303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take the necessary development action, and</w:t>
            </w:r>
          </w:p>
          <w:p w14:paraId="1D275E9C" w14:textId="4CB4FA51" w:rsidR="00CB5F85" w:rsidRPr="00A81030" w:rsidRDefault="00E82303" w:rsidP="004A74F1">
            <w:pPr>
              <w:pStyle w:val="BulletText1"/>
              <w:rPr>
                <w:color w:val="auto"/>
              </w:rPr>
            </w:pPr>
            <w:r w:rsidRPr="00A81030">
              <w:rPr>
                <w:color w:val="auto"/>
              </w:rPr>
              <w:t>prepare a new rating, prominently entering a notation of the court’s declaration on the rating, if incompetency is confirmed and continued.</w:t>
            </w:r>
          </w:p>
        </w:tc>
      </w:tr>
      <w:tr w:rsidR="003E02F6" w:rsidRPr="00A81030" w14:paraId="31E00BEE" w14:textId="77777777">
        <w:trPr>
          <w:cantSplit/>
        </w:trPr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2CCF" w14:textId="77777777" w:rsidR="00E82303" w:rsidRPr="00A81030" w:rsidRDefault="00E8230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applies to a non-</w:t>
            </w:r>
            <w:r w:rsidR="00A65B2A" w:rsidRPr="00A81030">
              <w:rPr>
                <w:color w:val="auto"/>
              </w:rPr>
              <w:t>Veteran</w:t>
            </w:r>
            <w:r w:rsidRPr="00A81030">
              <w:rPr>
                <w:color w:val="auto"/>
              </w:rPr>
              <w:t xml:space="preserve"> beneficiary for whom a rating of incompetency is not required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F963" w14:textId="728A0A7E" w:rsidR="00E82303" w:rsidRPr="00A81030" w:rsidRDefault="00E82303">
            <w:pPr>
              <w:pStyle w:val="TableText"/>
              <w:rPr>
                <w:color w:val="auto"/>
              </w:rPr>
            </w:pPr>
            <w:r w:rsidRPr="00A81030">
              <w:rPr>
                <w:color w:val="auto"/>
              </w:rPr>
              <w:t>request the VSCM to promptly certify the validity of the decree so that direct payments may be made to the beneficiary.</w:t>
            </w:r>
          </w:p>
        </w:tc>
      </w:tr>
    </w:tbl>
    <w:p w14:paraId="7B60A46A" w14:textId="77777777" w:rsidR="00761334" w:rsidRPr="00A81030" w:rsidRDefault="00761334" w:rsidP="00761334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tab/>
      </w:r>
    </w:p>
    <w:p w14:paraId="7B366F71" w14:textId="2BAC8983" w:rsidR="00E82303" w:rsidRPr="00A81030" w:rsidRDefault="00E82303" w:rsidP="00761334">
      <w:pPr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D22365" w:rsidRPr="00A81030" w14:paraId="704DA9BF" w14:textId="77777777" w:rsidTr="00A35E81">
        <w:tc>
          <w:tcPr>
            <w:tcW w:w="1728" w:type="dxa"/>
            <w:shd w:val="clear" w:color="auto" w:fill="auto"/>
          </w:tcPr>
          <w:p w14:paraId="129DAEBE" w14:textId="470477C0" w:rsidR="00D22365" w:rsidRPr="00A81030" w:rsidRDefault="00B4166B" w:rsidP="00EB24FC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>e</w:t>
            </w:r>
            <w:r w:rsidR="00D22365" w:rsidRPr="00A81030">
              <w:rPr>
                <w:b/>
                <w:color w:val="auto"/>
                <w:sz w:val="22"/>
              </w:rPr>
              <w:t xml:space="preserve">.  </w:t>
            </w:r>
            <w:r w:rsidR="00EB24FC" w:rsidRPr="00A81030">
              <w:rPr>
                <w:b/>
                <w:color w:val="auto"/>
                <w:sz w:val="22"/>
              </w:rPr>
              <w:t xml:space="preserve">VSR Actions </w:t>
            </w:r>
            <w:r w:rsidR="00EB24FC" w:rsidRPr="00A81030">
              <w:rPr>
                <w:b/>
                <w:color w:val="auto"/>
                <w:sz w:val="22"/>
              </w:rPr>
              <w:lastRenderedPageBreak/>
              <w:t>When Reinstating Benefits for a Veteran Previously Rated Incompetent</w:t>
            </w:r>
          </w:p>
        </w:tc>
        <w:tc>
          <w:tcPr>
            <w:tcW w:w="7740" w:type="dxa"/>
            <w:shd w:val="clear" w:color="auto" w:fill="auto"/>
          </w:tcPr>
          <w:p w14:paraId="46650244" w14:textId="2FF54018" w:rsidR="00FC5E76" w:rsidRPr="00A81030" w:rsidRDefault="00FF01C1" w:rsidP="001F6C0E">
            <w:pPr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Use</w:t>
            </w:r>
            <w:r w:rsidR="00EB26B0" w:rsidRPr="00A81030">
              <w:rPr>
                <w:color w:val="auto"/>
              </w:rPr>
              <w:t xml:space="preserve"> the table below to determine the appropriate action</w:t>
            </w:r>
            <w:r w:rsidR="00761334" w:rsidRPr="00A81030">
              <w:rPr>
                <w:color w:val="auto"/>
              </w:rPr>
              <w:t>s</w:t>
            </w:r>
            <w:r w:rsidR="00EB26B0" w:rsidRPr="00A81030">
              <w:rPr>
                <w:color w:val="auto"/>
              </w:rPr>
              <w:t xml:space="preserve"> follow</w:t>
            </w:r>
            <w:r w:rsidR="00531DBF" w:rsidRPr="00A81030">
              <w:rPr>
                <w:color w:val="auto"/>
              </w:rPr>
              <w:t>ing receipt of</w:t>
            </w:r>
            <w:r w:rsidR="00EB26B0" w:rsidRPr="00A81030">
              <w:rPr>
                <w:color w:val="auto"/>
              </w:rPr>
              <w:t xml:space="preserve"> </w:t>
            </w:r>
            <w:r w:rsidR="00EB26B0" w:rsidRPr="00A81030">
              <w:rPr>
                <w:color w:val="auto"/>
              </w:rPr>
              <w:lastRenderedPageBreak/>
              <w:t xml:space="preserve">a request to reinstate benefits for a </w:t>
            </w:r>
            <w:r w:rsidR="00761334" w:rsidRPr="00A81030">
              <w:rPr>
                <w:color w:val="auto"/>
              </w:rPr>
              <w:t xml:space="preserve">Veteran </w:t>
            </w:r>
            <w:r w:rsidR="00EB26B0" w:rsidRPr="00A81030">
              <w:rPr>
                <w:color w:val="auto"/>
              </w:rPr>
              <w:t>previously-rated incompetent</w:t>
            </w:r>
            <w:r w:rsidR="00761334" w:rsidRPr="00A81030">
              <w:rPr>
                <w:color w:val="auto"/>
              </w:rPr>
              <w:t>,</w:t>
            </w:r>
            <w:r w:rsidR="00EB26B0" w:rsidRPr="00A81030">
              <w:rPr>
                <w:color w:val="auto"/>
              </w:rPr>
              <w:t xml:space="preserve"> whose benefits </w:t>
            </w:r>
            <w:r w:rsidR="003165C3" w:rsidRPr="00A81030">
              <w:rPr>
                <w:color w:val="auto"/>
              </w:rPr>
              <w:t>were</w:t>
            </w:r>
            <w:r w:rsidR="00EB26B0" w:rsidRPr="00A81030">
              <w:rPr>
                <w:color w:val="auto"/>
              </w:rPr>
              <w:t xml:space="preserve"> terminated due to  </w:t>
            </w:r>
          </w:p>
          <w:p w14:paraId="4BA2C822" w14:textId="77777777" w:rsidR="00EB26B0" w:rsidRPr="00A81030" w:rsidRDefault="00EB26B0" w:rsidP="001F6C0E">
            <w:pPr>
              <w:rPr>
                <w:color w:val="auto"/>
              </w:rPr>
            </w:pPr>
          </w:p>
          <w:p w14:paraId="37627B62" w14:textId="4002FF75" w:rsidR="00EB26B0" w:rsidRPr="00A81030" w:rsidRDefault="00EB26B0" w:rsidP="004A05EF">
            <w:pPr>
              <w:pStyle w:val="ListParagraph"/>
              <w:numPr>
                <w:ilvl w:val="0"/>
                <w:numId w:val="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failure to submit </w:t>
            </w:r>
            <w:r w:rsidRPr="00A81030">
              <w:rPr>
                <w:i/>
                <w:color w:val="auto"/>
              </w:rPr>
              <w:t>VA Form 21-0516-1, Improved Pension Eligibility</w:t>
            </w:r>
            <w:r w:rsidR="00907698" w:rsidRPr="00A81030">
              <w:rPr>
                <w:i/>
                <w:color w:val="auto"/>
              </w:rPr>
              <w:t xml:space="preserve"> </w:t>
            </w:r>
            <w:r w:rsidRPr="00A81030">
              <w:rPr>
                <w:i/>
                <w:color w:val="auto"/>
              </w:rPr>
              <w:t>Verification Report</w:t>
            </w:r>
            <w:r w:rsidRPr="00A81030">
              <w:rPr>
                <w:color w:val="auto"/>
              </w:rPr>
              <w:t xml:space="preserve"> </w:t>
            </w:r>
          </w:p>
          <w:p w14:paraId="792B1921" w14:textId="5922C6FA" w:rsidR="00420EAA" w:rsidRPr="00A81030" w:rsidRDefault="00EB26B0" w:rsidP="004A05EF">
            <w:pPr>
              <w:pStyle w:val="ListParagraph"/>
              <w:numPr>
                <w:ilvl w:val="0"/>
                <w:numId w:val="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failure to report for VA reexamination</w:t>
            </w:r>
            <w:r w:rsidR="00420EAA" w:rsidRPr="00A81030">
              <w:rPr>
                <w:color w:val="auto"/>
              </w:rPr>
              <w:t xml:space="preserve"> per </w:t>
            </w:r>
            <w:hyperlink r:id="rId21" w:history="1">
              <w:r w:rsidR="00420EAA" w:rsidRPr="00A81030">
                <w:rPr>
                  <w:rStyle w:val="Hyperlink"/>
                  <w:color w:val="0000CC"/>
                </w:rPr>
                <w:t>38 CFR 3.</w:t>
              </w:r>
              <w:r w:rsidRPr="00A81030">
                <w:rPr>
                  <w:rStyle w:val="Hyperlink"/>
                  <w:color w:val="0000CC"/>
                </w:rPr>
                <w:t>655</w:t>
              </w:r>
            </w:hyperlink>
            <w:r w:rsidRPr="00A81030">
              <w:rPr>
                <w:color w:val="auto"/>
              </w:rPr>
              <w:t xml:space="preserve"> </w:t>
            </w:r>
          </w:p>
          <w:p w14:paraId="24419DCD" w14:textId="33529142" w:rsidR="00EB26B0" w:rsidRPr="00A81030" w:rsidRDefault="00420EAA" w:rsidP="004A05EF">
            <w:pPr>
              <w:pStyle w:val="ListParagraph"/>
              <w:numPr>
                <w:ilvl w:val="0"/>
                <w:numId w:val="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failure to notify VA of whereabouts, </w:t>
            </w:r>
            <w:r w:rsidR="00EB26B0" w:rsidRPr="00A81030">
              <w:rPr>
                <w:color w:val="auto"/>
              </w:rPr>
              <w:t>or</w:t>
            </w:r>
          </w:p>
          <w:p w14:paraId="46456C04" w14:textId="263841BC" w:rsidR="00D22365" w:rsidRPr="00A81030" w:rsidRDefault="00EB26B0" w:rsidP="004A05EF">
            <w:pPr>
              <w:pStyle w:val="ListParagraph"/>
              <w:numPr>
                <w:ilvl w:val="0"/>
                <w:numId w:val="4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similar instance of failure to participate in the claims process</w:t>
            </w:r>
            <w:r w:rsidR="00531DBF" w:rsidRPr="00A81030">
              <w:rPr>
                <w:color w:val="auto"/>
              </w:rPr>
              <w:t>.</w:t>
            </w:r>
            <w:r w:rsidRPr="00A81030">
              <w:rPr>
                <w:color w:val="auto"/>
              </w:rPr>
              <w:t xml:space="preserve"> </w:t>
            </w:r>
          </w:p>
        </w:tc>
      </w:tr>
    </w:tbl>
    <w:p w14:paraId="177DF89E" w14:textId="56B77D85" w:rsidR="00531DBF" w:rsidRPr="00A81030" w:rsidRDefault="00531DBF" w:rsidP="00531DBF">
      <w:pPr>
        <w:rPr>
          <w:color w:val="auto"/>
        </w:rPr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E02F6" w:rsidRPr="00A81030" w14:paraId="515A5FB2" w14:textId="77777777" w:rsidTr="00A35E81">
        <w:tc>
          <w:tcPr>
            <w:tcW w:w="3870" w:type="dxa"/>
          </w:tcPr>
          <w:p w14:paraId="64B44673" w14:textId="44A7638F" w:rsidR="00531DBF" w:rsidRPr="00A81030" w:rsidRDefault="00531DBF" w:rsidP="00531DBF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 xml:space="preserve">If </w:t>
            </w:r>
            <w:r w:rsidR="00761334" w:rsidRPr="00A81030">
              <w:rPr>
                <w:b/>
                <w:color w:val="auto"/>
              </w:rPr>
              <w:t>new medical evidence</w:t>
            </w:r>
            <w:r w:rsidRPr="00A81030">
              <w:rPr>
                <w:b/>
                <w:color w:val="auto"/>
              </w:rPr>
              <w:t>...</w:t>
            </w:r>
          </w:p>
        </w:tc>
        <w:tc>
          <w:tcPr>
            <w:tcW w:w="3780" w:type="dxa"/>
          </w:tcPr>
          <w:p w14:paraId="72FF9094" w14:textId="6492E9BA" w:rsidR="00531DBF" w:rsidRPr="00A81030" w:rsidRDefault="00531DBF" w:rsidP="00531DBF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 xml:space="preserve">Then </w:t>
            </w:r>
            <w:r w:rsidR="00761334" w:rsidRPr="00A81030">
              <w:rPr>
                <w:b/>
                <w:color w:val="auto"/>
              </w:rPr>
              <w:t>the VSR will</w:t>
            </w:r>
            <w:r w:rsidRPr="00A81030">
              <w:rPr>
                <w:b/>
                <w:color w:val="auto"/>
              </w:rPr>
              <w:t>...</w:t>
            </w:r>
          </w:p>
        </w:tc>
      </w:tr>
      <w:tr w:rsidR="003E02F6" w:rsidRPr="00A81030" w14:paraId="4C9B496B" w14:textId="77777777" w:rsidTr="00A35E81">
        <w:tc>
          <w:tcPr>
            <w:tcW w:w="3870" w:type="dxa"/>
          </w:tcPr>
          <w:p w14:paraId="13161917" w14:textId="57447BBA" w:rsidR="00531DBF" w:rsidRPr="00A81030" w:rsidRDefault="00531DBF" w:rsidP="00531DBF">
            <w:pPr>
              <w:rPr>
                <w:color w:val="auto"/>
              </w:rPr>
            </w:pPr>
            <w:r w:rsidRPr="00A81030">
              <w:rPr>
                <w:color w:val="auto"/>
              </w:rPr>
              <w:t>is not received  with the request to reinstate benefits</w:t>
            </w:r>
          </w:p>
        </w:tc>
        <w:tc>
          <w:tcPr>
            <w:tcW w:w="3780" w:type="dxa"/>
          </w:tcPr>
          <w:p w14:paraId="51CD50A2" w14:textId="794B6975" w:rsidR="00531DBF" w:rsidRPr="00A81030" w:rsidRDefault="00531DBF" w:rsidP="00531DBF">
            <w:pPr>
              <w:rPr>
                <w:color w:val="auto"/>
              </w:rPr>
            </w:pPr>
            <w:r w:rsidRPr="00A81030">
              <w:rPr>
                <w:color w:val="auto"/>
              </w:rPr>
              <w:t>reinstate benefits, as warranted, with continuation of the prior incompetency determination without rating action.</w:t>
            </w:r>
          </w:p>
        </w:tc>
      </w:tr>
      <w:tr w:rsidR="003E02F6" w:rsidRPr="00A81030" w14:paraId="4181DA0C" w14:textId="77777777" w:rsidTr="00A35E81">
        <w:tc>
          <w:tcPr>
            <w:tcW w:w="3870" w:type="dxa"/>
          </w:tcPr>
          <w:p w14:paraId="7C5C5D4B" w14:textId="5D199401" w:rsidR="00531DBF" w:rsidRPr="00A81030" w:rsidRDefault="00531DBF" w:rsidP="00531DBF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is received with the request to reinstate benefits </w:t>
            </w:r>
          </w:p>
        </w:tc>
        <w:tc>
          <w:tcPr>
            <w:tcW w:w="3780" w:type="dxa"/>
          </w:tcPr>
          <w:p w14:paraId="7E73F4C3" w14:textId="394FD6C9" w:rsidR="00531DBF" w:rsidRPr="00A81030" w:rsidRDefault="00531DBF" w:rsidP="00531DBF">
            <w:pPr>
              <w:rPr>
                <w:color w:val="auto"/>
              </w:rPr>
            </w:pPr>
            <w:r w:rsidRPr="00A81030">
              <w:rPr>
                <w:color w:val="auto"/>
              </w:rPr>
              <w:t>refer the newly</w:t>
            </w:r>
            <w:r w:rsidR="00907698" w:rsidRPr="00A81030">
              <w:rPr>
                <w:color w:val="auto"/>
              </w:rPr>
              <w:t>-</w:t>
            </w:r>
            <w:r w:rsidRPr="00A81030">
              <w:rPr>
                <w:color w:val="auto"/>
              </w:rPr>
              <w:t>received medical evidence to RVSR for review for competency determination</w:t>
            </w:r>
            <w:r w:rsidR="00761334" w:rsidRPr="00A81030">
              <w:rPr>
                <w:color w:val="auto"/>
              </w:rPr>
              <w:t>.</w:t>
            </w:r>
          </w:p>
        </w:tc>
      </w:tr>
    </w:tbl>
    <w:p w14:paraId="3BC4487B" w14:textId="118504E2" w:rsidR="00D22365" w:rsidRPr="00A81030" w:rsidRDefault="00531DBF" w:rsidP="00531DBF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tab/>
      </w:r>
    </w:p>
    <w:p w14:paraId="37191490" w14:textId="5836B692" w:rsidR="00531DBF" w:rsidRPr="00A81030" w:rsidRDefault="00531DBF" w:rsidP="00531DBF">
      <w:pPr>
        <w:ind w:left="1714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531DBF" w:rsidRPr="00A81030" w14:paraId="3CC142BA" w14:textId="77777777" w:rsidTr="00A35E81">
        <w:tc>
          <w:tcPr>
            <w:tcW w:w="1728" w:type="dxa"/>
            <w:shd w:val="clear" w:color="auto" w:fill="auto"/>
          </w:tcPr>
          <w:p w14:paraId="272AE532" w14:textId="301A2C01" w:rsidR="00531DBF" w:rsidRPr="00A81030" w:rsidRDefault="00B4166B" w:rsidP="00FB4756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>f</w:t>
            </w:r>
            <w:r w:rsidR="00531DBF" w:rsidRPr="00A81030">
              <w:rPr>
                <w:b/>
                <w:color w:val="auto"/>
                <w:sz w:val="22"/>
              </w:rPr>
              <w:t>.  RVSR Action</w:t>
            </w:r>
            <w:r w:rsidR="00761334" w:rsidRPr="00A81030">
              <w:rPr>
                <w:b/>
                <w:color w:val="auto"/>
                <w:sz w:val="22"/>
              </w:rPr>
              <w:t>s</w:t>
            </w:r>
            <w:r w:rsidR="00531DBF" w:rsidRPr="00A81030">
              <w:rPr>
                <w:b/>
                <w:color w:val="auto"/>
                <w:sz w:val="22"/>
              </w:rPr>
              <w:t xml:space="preserve"> </w:t>
            </w:r>
            <w:r w:rsidR="00FB4756" w:rsidRPr="00A81030">
              <w:rPr>
                <w:b/>
                <w:color w:val="auto"/>
                <w:sz w:val="22"/>
              </w:rPr>
              <w:t>When Reinstating Benefits for a Veteran Previously Rated Incompetent</w:t>
            </w:r>
          </w:p>
        </w:tc>
        <w:tc>
          <w:tcPr>
            <w:tcW w:w="7740" w:type="dxa"/>
            <w:shd w:val="clear" w:color="auto" w:fill="auto"/>
          </w:tcPr>
          <w:p w14:paraId="33A785B5" w14:textId="5036D69A" w:rsidR="00531DBF" w:rsidRPr="00A81030" w:rsidRDefault="00531DBF" w:rsidP="00761334">
            <w:pPr>
              <w:rPr>
                <w:color w:val="auto"/>
              </w:rPr>
            </w:pPr>
            <w:r w:rsidRPr="00A81030">
              <w:rPr>
                <w:color w:val="auto"/>
              </w:rPr>
              <w:t>Use the table below to determine the appropriate action</w:t>
            </w:r>
            <w:r w:rsidR="00761334" w:rsidRPr="00A81030">
              <w:rPr>
                <w:color w:val="auto"/>
              </w:rPr>
              <w:t>s</w:t>
            </w:r>
            <w:r w:rsidRPr="00A81030">
              <w:rPr>
                <w:color w:val="auto"/>
              </w:rPr>
              <w:t xml:space="preserve"> after a VSR has referred a </w:t>
            </w:r>
            <w:r w:rsidR="000C6C63" w:rsidRPr="00A81030">
              <w:rPr>
                <w:color w:val="auto"/>
              </w:rPr>
              <w:t>claims folder</w:t>
            </w:r>
            <w:r w:rsidRPr="00A81030">
              <w:rPr>
                <w:color w:val="auto"/>
              </w:rPr>
              <w:t xml:space="preserve"> for RVSR review </w:t>
            </w:r>
            <w:r w:rsidR="00761334" w:rsidRPr="00A81030">
              <w:rPr>
                <w:color w:val="auto"/>
              </w:rPr>
              <w:t xml:space="preserve">due to the receipt </w:t>
            </w:r>
            <w:r w:rsidRPr="00A81030">
              <w:rPr>
                <w:color w:val="auto"/>
              </w:rPr>
              <w:t>of new medical evidence f</w:t>
            </w:r>
            <w:r w:rsidR="00761334" w:rsidRPr="00A81030">
              <w:rPr>
                <w:color w:val="auto"/>
              </w:rPr>
              <w:t>r</w:t>
            </w:r>
            <w:r w:rsidRPr="00A81030">
              <w:rPr>
                <w:color w:val="auto"/>
              </w:rPr>
              <w:t>o</w:t>
            </w:r>
            <w:r w:rsidR="00761334" w:rsidRPr="00A81030">
              <w:rPr>
                <w:color w:val="auto"/>
              </w:rPr>
              <w:t>m</w:t>
            </w:r>
            <w:r w:rsidRPr="00A81030">
              <w:rPr>
                <w:color w:val="auto"/>
              </w:rPr>
              <w:t xml:space="preserve"> a </w:t>
            </w:r>
            <w:r w:rsidR="00761334" w:rsidRPr="00A81030">
              <w:rPr>
                <w:color w:val="auto"/>
              </w:rPr>
              <w:t xml:space="preserve">Veteran </w:t>
            </w:r>
            <w:r w:rsidRPr="00A81030">
              <w:rPr>
                <w:color w:val="auto"/>
              </w:rPr>
              <w:t xml:space="preserve">previously-rated incompetent who is now requesting reinstatement of benefits.  </w:t>
            </w:r>
          </w:p>
        </w:tc>
      </w:tr>
    </w:tbl>
    <w:p w14:paraId="3728AA53" w14:textId="77777777" w:rsidR="00531DBF" w:rsidRPr="00A81030" w:rsidRDefault="00531DBF" w:rsidP="001F6C0E">
      <w:pPr>
        <w:rPr>
          <w:color w:val="auto"/>
        </w:rPr>
      </w:pPr>
    </w:p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3E02F6" w:rsidRPr="00A81030" w14:paraId="513A97DF" w14:textId="77777777" w:rsidTr="00A35E81">
        <w:tc>
          <w:tcPr>
            <w:tcW w:w="3870" w:type="dxa"/>
          </w:tcPr>
          <w:p w14:paraId="75C489A4" w14:textId="6CBA17F7" w:rsidR="001F6C0E" w:rsidRPr="00A81030" w:rsidRDefault="001F6C0E" w:rsidP="00761334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If the medical e</w:t>
            </w:r>
            <w:r w:rsidR="00C232B1" w:rsidRPr="00A81030">
              <w:rPr>
                <w:b/>
                <w:color w:val="auto"/>
              </w:rPr>
              <w:t>vidence received</w:t>
            </w:r>
            <w:r w:rsidRPr="00A81030">
              <w:rPr>
                <w:b/>
                <w:color w:val="auto"/>
              </w:rPr>
              <w:t>...</w:t>
            </w:r>
          </w:p>
        </w:tc>
        <w:tc>
          <w:tcPr>
            <w:tcW w:w="3780" w:type="dxa"/>
          </w:tcPr>
          <w:p w14:paraId="0FE14C58" w14:textId="37D8B943" w:rsidR="001F6C0E" w:rsidRPr="00A81030" w:rsidRDefault="001F6C0E" w:rsidP="001F6C0E">
            <w:pPr>
              <w:rPr>
                <w:b/>
                <w:color w:val="auto"/>
              </w:rPr>
            </w:pPr>
            <w:r w:rsidRPr="00A81030">
              <w:rPr>
                <w:b/>
                <w:color w:val="auto"/>
              </w:rPr>
              <w:t>Then ...</w:t>
            </w:r>
          </w:p>
        </w:tc>
      </w:tr>
      <w:tr w:rsidR="003E02F6" w:rsidRPr="00A81030" w14:paraId="3606EAEE" w14:textId="77777777" w:rsidTr="00A35E81">
        <w:tc>
          <w:tcPr>
            <w:tcW w:w="3870" w:type="dxa"/>
          </w:tcPr>
          <w:p w14:paraId="604055B2" w14:textId="77777777" w:rsidR="003165C3" w:rsidRPr="00A81030" w:rsidRDefault="00C232B1" w:rsidP="00185F9E">
            <w:pPr>
              <w:pStyle w:val="ListParagraph"/>
              <w:numPr>
                <w:ilvl w:val="0"/>
                <w:numId w:val="32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 xml:space="preserve">shows </w:t>
            </w:r>
            <w:r w:rsidR="001F6C0E" w:rsidRPr="00A81030">
              <w:rPr>
                <w:color w:val="auto"/>
              </w:rPr>
              <w:t>the Veteran continues to be incompetent</w:t>
            </w:r>
            <w:r w:rsidR="003165C3" w:rsidRPr="00A81030">
              <w:rPr>
                <w:color w:val="auto"/>
              </w:rPr>
              <w:t xml:space="preserve">, or </w:t>
            </w:r>
          </w:p>
          <w:p w14:paraId="4FE11FED" w14:textId="1F246B1A" w:rsidR="001F6C0E" w:rsidRPr="00A81030" w:rsidRDefault="003165C3" w:rsidP="00185F9E">
            <w:pPr>
              <w:pStyle w:val="ListParagraph"/>
              <w:numPr>
                <w:ilvl w:val="0"/>
                <w:numId w:val="32"/>
              </w:numPr>
              <w:ind w:left="158" w:hanging="187"/>
              <w:rPr>
                <w:color w:val="auto"/>
              </w:rPr>
            </w:pPr>
            <w:r w:rsidRPr="00A81030">
              <w:rPr>
                <w:color w:val="auto"/>
              </w:rPr>
              <w:t>does not address the Veteran’s competency</w:t>
            </w:r>
          </w:p>
        </w:tc>
        <w:tc>
          <w:tcPr>
            <w:tcW w:w="3780" w:type="dxa"/>
          </w:tcPr>
          <w:p w14:paraId="19DB1064" w14:textId="77777777" w:rsidR="00B72C7B" w:rsidRPr="00A81030" w:rsidRDefault="00C232B1" w:rsidP="00FC5E76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no rating action is necessary.  </w:t>
            </w:r>
          </w:p>
          <w:p w14:paraId="08B04BC0" w14:textId="77777777" w:rsidR="00B72C7B" w:rsidRPr="00A81030" w:rsidRDefault="00B72C7B" w:rsidP="00FC5E76">
            <w:pPr>
              <w:rPr>
                <w:color w:val="auto"/>
              </w:rPr>
            </w:pPr>
          </w:p>
          <w:p w14:paraId="0A929FBE" w14:textId="7011AB27" w:rsidR="001F6C0E" w:rsidRPr="00A81030" w:rsidRDefault="00FC5E76" w:rsidP="00FC5E76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RVSR should prepare </w:t>
            </w:r>
            <w:r w:rsidRPr="00A81030">
              <w:rPr>
                <w:i/>
                <w:color w:val="auto"/>
              </w:rPr>
              <w:t>VA Form 21-6789, Deferred Rating Decision</w:t>
            </w:r>
            <w:r w:rsidRPr="00A81030">
              <w:rPr>
                <w:color w:val="auto"/>
              </w:rPr>
              <w:t>, instructing resumption of benefits (as warranted) with the continuation of the prior finding of incompetency.</w:t>
            </w:r>
          </w:p>
        </w:tc>
      </w:tr>
      <w:tr w:rsidR="003E02F6" w:rsidRPr="00A81030" w14:paraId="2EA6A253" w14:textId="77777777" w:rsidTr="00A35E81">
        <w:tc>
          <w:tcPr>
            <w:tcW w:w="3870" w:type="dxa"/>
          </w:tcPr>
          <w:p w14:paraId="220704B1" w14:textId="693849C3" w:rsidR="001F6C0E" w:rsidRPr="00A81030" w:rsidRDefault="00C232B1" w:rsidP="001F6C0E">
            <w:pPr>
              <w:rPr>
                <w:color w:val="auto"/>
              </w:rPr>
            </w:pPr>
            <w:r w:rsidRPr="00A81030">
              <w:rPr>
                <w:color w:val="auto"/>
              </w:rPr>
              <w:t>indicates that the Veteran is now competent</w:t>
            </w:r>
          </w:p>
        </w:tc>
        <w:tc>
          <w:tcPr>
            <w:tcW w:w="3780" w:type="dxa"/>
          </w:tcPr>
          <w:p w14:paraId="62793D1A" w14:textId="521B919F" w:rsidR="00B72C7B" w:rsidRPr="00A81030" w:rsidRDefault="00C232B1" w:rsidP="00FD7E51">
            <w:pPr>
              <w:rPr>
                <w:color w:val="auto"/>
              </w:rPr>
            </w:pPr>
            <w:r w:rsidRPr="00A81030">
              <w:rPr>
                <w:color w:val="auto"/>
              </w:rPr>
              <w:t xml:space="preserve">RVSR should issue a </w:t>
            </w:r>
            <w:r w:rsidR="003165C3" w:rsidRPr="00A81030">
              <w:rPr>
                <w:color w:val="auto"/>
              </w:rPr>
              <w:t>r</w:t>
            </w:r>
            <w:r w:rsidRPr="00A81030">
              <w:rPr>
                <w:color w:val="auto"/>
              </w:rPr>
              <w:t xml:space="preserve">ating </w:t>
            </w:r>
            <w:r w:rsidR="003165C3" w:rsidRPr="00A81030">
              <w:rPr>
                <w:color w:val="auto"/>
              </w:rPr>
              <w:t>d</w:t>
            </w:r>
            <w:r w:rsidRPr="00A81030">
              <w:rPr>
                <w:color w:val="auto"/>
              </w:rPr>
              <w:t xml:space="preserve">ecision addressing the issue of competency.  </w:t>
            </w:r>
          </w:p>
          <w:p w14:paraId="4367C2B1" w14:textId="77777777" w:rsidR="00B72C7B" w:rsidRPr="00A81030" w:rsidRDefault="00B72C7B" w:rsidP="00FD7E51">
            <w:pPr>
              <w:rPr>
                <w:color w:val="auto"/>
              </w:rPr>
            </w:pPr>
          </w:p>
          <w:p w14:paraId="024BBD37" w14:textId="0E0D48B2" w:rsidR="001F6C0E" w:rsidRPr="00A81030" w:rsidRDefault="00B72C7B" w:rsidP="002009FF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Reference</w:t>
            </w:r>
            <w:r w:rsidRPr="00A81030">
              <w:rPr>
                <w:color w:val="auto"/>
              </w:rPr>
              <w:t xml:space="preserve">:  </w:t>
            </w:r>
            <w:r w:rsidR="00C232B1" w:rsidRPr="00A81030">
              <w:rPr>
                <w:color w:val="auto"/>
              </w:rPr>
              <w:t xml:space="preserve">For more information </w:t>
            </w:r>
            <w:r w:rsidR="003F3923" w:rsidRPr="00A81030">
              <w:rPr>
                <w:color w:val="auto"/>
              </w:rPr>
              <w:t>on</w:t>
            </w:r>
            <w:r w:rsidR="00C232B1" w:rsidRPr="00A81030">
              <w:rPr>
                <w:color w:val="auto"/>
              </w:rPr>
              <w:t xml:space="preserve"> </w:t>
            </w:r>
            <w:r w:rsidR="002009FF" w:rsidRPr="00A81030">
              <w:rPr>
                <w:color w:val="auto"/>
              </w:rPr>
              <w:t>determining restored</w:t>
            </w:r>
            <w:r w:rsidR="00C232B1" w:rsidRPr="00A81030">
              <w:rPr>
                <w:color w:val="auto"/>
              </w:rPr>
              <w:t xml:space="preserve"> competency, refer to M21-1</w:t>
            </w:r>
            <w:r w:rsidR="00FD7E51" w:rsidRPr="00A81030">
              <w:rPr>
                <w:color w:val="auto"/>
              </w:rPr>
              <w:t>, Part</w:t>
            </w:r>
            <w:r w:rsidR="00C232B1" w:rsidRPr="00A81030">
              <w:rPr>
                <w:color w:val="auto"/>
              </w:rPr>
              <w:t xml:space="preserve"> III</w:t>
            </w:r>
            <w:r w:rsidR="00FD7E51" w:rsidRPr="00A81030">
              <w:rPr>
                <w:color w:val="auto"/>
              </w:rPr>
              <w:t xml:space="preserve">, Subpart iv, </w:t>
            </w:r>
            <w:r w:rsidRPr="00A81030">
              <w:rPr>
                <w:color w:val="auto"/>
              </w:rPr>
              <w:t>8.A.4.b</w:t>
            </w:r>
            <w:r w:rsidR="001065DA" w:rsidRPr="00A81030">
              <w:rPr>
                <w:color w:val="auto"/>
              </w:rPr>
              <w:t>.</w:t>
            </w:r>
          </w:p>
        </w:tc>
      </w:tr>
    </w:tbl>
    <w:p w14:paraId="6CBD443D" w14:textId="69FA01F4" w:rsidR="00B72C7B" w:rsidRPr="00A81030" w:rsidRDefault="00B72C7B" w:rsidP="00B72C7B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tab/>
      </w:r>
    </w:p>
    <w:p w14:paraId="3729EFF1" w14:textId="5EE6C585" w:rsidR="00B72C7B" w:rsidRPr="00A81030" w:rsidRDefault="00B72C7B" w:rsidP="00B72C7B">
      <w:pPr>
        <w:ind w:left="1714"/>
        <w:rPr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3E02F6" w:rsidRPr="00A81030" w14:paraId="2C99F4A1" w14:textId="77777777" w:rsidTr="00A35E81">
        <w:tc>
          <w:tcPr>
            <w:tcW w:w="1728" w:type="dxa"/>
            <w:shd w:val="clear" w:color="auto" w:fill="auto"/>
          </w:tcPr>
          <w:p w14:paraId="65FF52E1" w14:textId="10B9E391" w:rsidR="00D70188" w:rsidRPr="00A81030" w:rsidRDefault="00B4166B" w:rsidP="00FB4756">
            <w:pPr>
              <w:rPr>
                <w:b/>
                <w:color w:val="auto"/>
                <w:sz w:val="22"/>
              </w:rPr>
            </w:pPr>
            <w:r w:rsidRPr="00A81030">
              <w:rPr>
                <w:b/>
                <w:color w:val="auto"/>
                <w:sz w:val="22"/>
              </w:rPr>
              <w:t>g</w:t>
            </w:r>
            <w:r w:rsidR="00D70188" w:rsidRPr="00A81030">
              <w:rPr>
                <w:b/>
                <w:color w:val="auto"/>
                <w:sz w:val="22"/>
              </w:rPr>
              <w:t>.  Referral to Fiduciary Hub After</w:t>
            </w:r>
            <w:r w:rsidR="00FB4756" w:rsidRPr="00A81030">
              <w:rPr>
                <w:b/>
                <w:color w:val="auto"/>
                <w:sz w:val="22"/>
              </w:rPr>
              <w:t xml:space="preserve"> Reinstating </w:t>
            </w:r>
            <w:r w:rsidR="00FB4756" w:rsidRPr="00A81030">
              <w:rPr>
                <w:b/>
                <w:color w:val="auto"/>
                <w:sz w:val="22"/>
              </w:rPr>
              <w:lastRenderedPageBreak/>
              <w:t xml:space="preserve">Benefits for a Veteran With a Continued Finding of Incompetency </w:t>
            </w:r>
          </w:p>
        </w:tc>
        <w:tc>
          <w:tcPr>
            <w:tcW w:w="7740" w:type="dxa"/>
            <w:shd w:val="clear" w:color="auto" w:fill="auto"/>
          </w:tcPr>
          <w:p w14:paraId="2AE65CA1" w14:textId="2C36A47E" w:rsidR="008C20FF" w:rsidRPr="00A81030" w:rsidRDefault="00D70188" w:rsidP="00B72C7B">
            <w:pPr>
              <w:rPr>
                <w:color w:val="auto"/>
              </w:rPr>
            </w:pPr>
            <w:r w:rsidRPr="00A81030">
              <w:rPr>
                <w:color w:val="auto"/>
              </w:rPr>
              <w:lastRenderedPageBreak/>
              <w:t>When an incompetent Veteran’s benefits are reinstated</w:t>
            </w:r>
            <w:r w:rsidR="00E80837" w:rsidRPr="00A81030">
              <w:rPr>
                <w:color w:val="auto"/>
              </w:rPr>
              <w:t xml:space="preserve"> with a continued finding of incompetency, as directed</w:t>
            </w:r>
            <w:r w:rsidRPr="00A81030">
              <w:rPr>
                <w:color w:val="auto"/>
              </w:rPr>
              <w:t xml:space="preserve"> in M21-1 </w:t>
            </w:r>
            <w:r w:rsidR="00FD7E51" w:rsidRPr="00A81030">
              <w:rPr>
                <w:color w:val="auto"/>
              </w:rPr>
              <w:t>Part III, Subpart iv, 8.A.5.d-</w:t>
            </w:r>
            <w:r w:rsidRPr="00A81030">
              <w:rPr>
                <w:color w:val="auto"/>
              </w:rPr>
              <w:t>e</w:t>
            </w:r>
            <w:r w:rsidR="00E80837" w:rsidRPr="00A81030">
              <w:rPr>
                <w:color w:val="auto"/>
              </w:rPr>
              <w:t>,</w:t>
            </w:r>
            <w:r w:rsidR="00FD7E51" w:rsidRPr="00A81030">
              <w:rPr>
                <w:color w:val="auto"/>
              </w:rPr>
              <w:t xml:space="preserve"> notify the fiduciary h</w:t>
            </w:r>
            <w:r w:rsidR="00E80837" w:rsidRPr="00A81030">
              <w:rPr>
                <w:color w:val="auto"/>
              </w:rPr>
              <w:t>ub of jurisdiction</w:t>
            </w:r>
            <w:r w:rsidR="00BA0E4B" w:rsidRPr="00A81030">
              <w:rPr>
                <w:color w:val="auto"/>
              </w:rPr>
              <w:t xml:space="preserve"> </w:t>
            </w:r>
            <w:r w:rsidR="00B72C7B" w:rsidRPr="00A81030">
              <w:rPr>
                <w:color w:val="auto"/>
              </w:rPr>
              <w:t>via the</w:t>
            </w:r>
            <w:r w:rsidR="00BA0E4B" w:rsidRPr="00A81030">
              <w:rPr>
                <w:color w:val="auto"/>
              </w:rPr>
              <w:t xml:space="preserve"> appropriate</w:t>
            </w:r>
            <w:r w:rsidR="00B72C7B" w:rsidRPr="00A81030">
              <w:rPr>
                <w:color w:val="auto"/>
              </w:rPr>
              <w:t xml:space="preserve"> fiduciary hub mailbox</w:t>
            </w:r>
            <w:r w:rsidR="00BA0E4B" w:rsidRPr="00A81030">
              <w:rPr>
                <w:color w:val="auto"/>
              </w:rPr>
              <w:t xml:space="preserve"> </w:t>
            </w:r>
            <w:r w:rsidR="008C20FF" w:rsidRPr="00A81030">
              <w:rPr>
                <w:color w:val="auto"/>
              </w:rPr>
              <w:t xml:space="preserve">as shown by selecting the appropriate fiduciary hub location from the </w:t>
            </w:r>
            <w:r w:rsidR="009242DA" w:rsidRPr="00A81030">
              <w:rPr>
                <w:color w:val="auto"/>
              </w:rPr>
              <w:lastRenderedPageBreak/>
              <w:t xml:space="preserve">list </w:t>
            </w:r>
            <w:r w:rsidR="008C20FF" w:rsidRPr="00A81030">
              <w:rPr>
                <w:color w:val="auto"/>
              </w:rPr>
              <w:t>below</w:t>
            </w:r>
            <w:r w:rsidR="00E80837" w:rsidRPr="00A81030">
              <w:rPr>
                <w:color w:val="auto"/>
              </w:rPr>
              <w:t>.</w:t>
            </w:r>
          </w:p>
          <w:p w14:paraId="65DD872F" w14:textId="77777777" w:rsidR="009242DA" w:rsidRPr="00A81030" w:rsidRDefault="009242DA" w:rsidP="00B72C7B">
            <w:pPr>
              <w:rPr>
                <w:color w:val="auto"/>
              </w:rPr>
            </w:pPr>
          </w:p>
          <w:p w14:paraId="70B4BCAC" w14:textId="669F496E" w:rsidR="00165615" w:rsidRPr="00A81030" w:rsidRDefault="00A81030" w:rsidP="00165615">
            <w:pPr>
              <w:pStyle w:val="ListParagraph"/>
              <w:numPr>
                <w:ilvl w:val="0"/>
                <w:numId w:val="44"/>
              </w:numPr>
              <w:ind w:left="158" w:hanging="187"/>
            </w:pPr>
            <w:hyperlink r:id="rId22" w:tooltip="Hub Mailbox" w:history="1">
              <w:r w:rsidR="00165615" w:rsidRPr="00A81030">
                <w:rPr>
                  <w:rFonts w:eastAsiaTheme="minorHAnsi"/>
                  <w:color w:val="0000CC"/>
                  <w:u w:val="single"/>
                </w:rPr>
                <w:t>Columbia Fid-Hub e-mail</w:t>
              </w:r>
            </w:hyperlink>
          </w:p>
          <w:p w14:paraId="07D0FFE5" w14:textId="7430D606" w:rsidR="00165615" w:rsidRPr="00A81030" w:rsidRDefault="00A81030" w:rsidP="00165615">
            <w:pPr>
              <w:pStyle w:val="ListParagraph"/>
              <w:numPr>
                <w:ilvl w:val="0"/>
                <w:numId w:val="4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23" w:tooltip="Hub Mailbox" w:history="1">
              <w:r w:rsidR="00165615" w:rsidRPr="00A81030">
                <w:rPr>
                  <w:rStyle w:val="Hyperlink"/>
                  <w:color w:val="0000CC"/>
                </w:rPr>
                <w:t>Louisville Fid-Hub e-mail</w:t>
              </w:r>
            </w:hyperlink>
          </w:p>
          <w:p w14:paraId="261F559A" w14:textId="57FB9019" w:rsidR="00165615" w:rsidRPr="00A81030" w:rsidRDefault="00A81030" w:rsidP="00165615">
            <w:pPr>
              <w:pStyle w:val="ListParagraph"/>
              <w:numPr>
                <w:ilvl w:val="0"/>
                <w:numId w:val="4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24" w:tooltip="Hub Mailbox" w:history="1">
              <w:r w:rsidR="00165615" w:rsidRPr="00A81030">
                <w:rPr>
                  <w:rStyle w:val="Hyperlink"/>
                  <w:color w:val="0000CC"/>
                </w:rPr>
                <w:t>Lincoln</w:t>
              </w:r>
              <w:r w:rsidR="00165615" w:rsidRPr="00A81030">
                <w:rPr>
                  <w:color w:val="0000CC"/>
                  <w:u w:val="single"/>
                </w:rPr>
                <w:t xml:space="preserve"> </w:t>
              </w:r>
              <w:r w:rsidR="00165615" w:rsidRPr="00A81030">
                <w:rPr>
                  <w:rStyle w:val="Hyperlink"/>
                  <w:color w:val="0000CC"/>
                </w:rPr>
                <w:t>Fid-Hub</w:t>
              </w:r>
              <w:r w:rsidR="00165615" w:rsidRPr="00A81030">
                <w:rPr>
                  <w:color w:val="0000CC"/>
                  <w:u w:val="single"/>
                </w:rPr>
                <w:t xml:space="preserve"> </w:t>
              </w:r>
              <w:r w:rsidR="00165615" w:rsidRPr="00A81030">
                <w:rPr>
                  <w:rStyle w:val="Hyperlink"/>
                  <w:color w:val="0000CC"/>
                </w:rPr>
                <w:t>e-mail</w:t>
              </w:r>
            </w:hyperlink>
          </w:p>
          <w:p w14:paraId="272AD9EC" w14:textId="12CC3B81" w:rsidR="00165615" w:rsidRPr="00A81030" w:rsidRDefault="00A81030" w:rsidP="00165615">
            <w:pPr>
              <w:pStyle w:val="ListParagraph"/>
              <w:numPr>
                <w:ilvl w:val="0"/>
                <w:numId w:val="4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25" w:tooltip="Hub Mailbox" w:history="1">
              <w:r w:rsidR="00165615" w:rsidRPr="00A81030">
                <w:rPr>
                  <w:rStyle w:val="Hyperlink"/>
                  <w:color w:val="0000CC"/>
                </w:rPr>
                <w:t>Indianapolis</w:t>
              </w:r>
              <w:r w:rsidR="00165615" w:rsidRPr="00A81030">
                <w:rPr>
                  <w:color w:val="0000CC"/>
                  <w:u w:val="single"/>
                </w:rPr>
                <w:t xml:space="preserve"> </w:t>
              </w:r>
              <w:r w:rsidR="00165615" w:rsidRPr="00A81030">
                <w:rPr>
                  <w:rStyle w:val="Hyperlink"/>
                  <w:color w:val="0000CC"/>
                </w:rPr>
                <w:t>Fid-Hub</w:t>
              </w:r>
              <w:r w:rsidR="00165615" w:rsidRPr="00A81030">
                <w:rPr>
                  <w:color w:val="0000CC"/>
                  <w:u w:val="single"/>
                </w:rPr>
                <w:t xml:space="preserve"> </w:t>
              </w:r>
              <w:r w:rsidR="00165615" w:rsidRPr="00A81030">
                <w:rPr>
                  <w:rStyle w:val="Hyperlink"/>
                  <w:color w:val="0000CC"/>
                </w:rPr>
                <w:t>e-mail</w:t>
              </w:r>
            </w:hyperlink>
          </w:p>
          <w:p w14:paraId="40137E3C" w14:textId="6BEC5AF4" w:rsidR="00165615" w:rsidRPr="00A81030" w:rsidRDefault="00A81030" w:rsidP="00165615">
            <w:pPr>
              <w:pStyle w:val="ListParagraph"/>
              <w:numPr>
                <w:ilvl w:val="0"/>
                <w:numId w:val="4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26" w:tooltip="Hub Mailbox" w:history="1">
              <w:r w:rsidR="00165615" w:rsidRPr="00A81030">
                <w:rPr>
                  <w:rStyle w:val="Hyperlink"/>
                  <w:color w:val="0000CC"/>
                </w:rPr>
                <w:t>Salt Lake City</w:t>
              </w:r>
              <w:r w:rsidR="00165615" w:rsidRPr="00A81030">
                <w:rPr>
                  <w:color w:val="0000CC"/>
                  <w:u w:val="single"/>
                </w:rPr>
                <w:t xml:space="preserve"> </w:t>
              </w:r>
              <w:r w:rsidR="00165615" w:rsidRPr="00A81030">
                <w:rPr>
                  <w:rStyle w:val="Hyperlink"/>
                  <w:color w:val="0000CC"/>
                </w:rPr>
                <w:t>Fid-Hub</w:t>
              </w:r>
              <w:r w:rsidR="00165615" w:rsidRPr="00A81030">
                <w:rPr>
                  <w:color w:val="0000CC"/>
                  <w:u w:val="single"/>
                </w:rPr>
                <w:t xml:space="preserve"> </w:t>
              </w:r>
              <w:r w:rsidR="00165615" w:rsidRPr="00A81030">
                <w:rPr>
                  <w:rStyle w:val="Hyperlink"/>
                  <w:color w:val="0000CC"/>
                </w:rPr>
                <w:t>e-mail</w:t>
              </w:r>
            </w:hyperlink>
          </w:p>
          <w:p w14:paraId="656A23AC" w14:textId="28BC9244" w:rsidR="00165615" w:rsidRPr="00A81030" w:rsidRDefault="00A81030" w:rsidP="00165615">
            <w:pPr>
              <w:pStyle w:val="ListParagraph"/>
              <w:numPr>
                <w:ilvl w:val="0"/>
                <w:numId w:val="4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27" w:history="1">
              <w:r w:rsidR="00165615" w:rsidRPr="00A81030">
                <w:rPr>
                  <w:rStyle w:val="Hyperlink"/>
                  <w:color w:val="0000CC"/>
                </w:rPr>
                <w:t>Milwaukee Fid-Hub e-mail</w:t>
              </w:r>
            </w:hyperlink>
          </w:p>
          <w:p w14:paraId="158244DC" w14:textId="1DCBC151" w:rsidR="008C20FF" w:rsidRPr="00A81030" w:rsidRDefault="008C20FF" w:rsidP="00B72C7B">
            <w:pPr>
              <w:rPr>
                <w:color w:val="auto"/>
              </w:rPr>
            </w:pPr>
          </w:p>
          <w:p w14:paraId="0F1B7D13" w14:textId="113C9371" w:rsidR="00D70188" w:rsidRPr="00A81030" w:rsidRDefault="008C20FF" w:rsidP="00B72C7B">
            <w:pPr>
              <w:rPr>
                <w:color w:val="auto"/>
              </w:rPr>
            </w:pPr>
            <w:r w:rsidRPr="00A81030">
              <w:rPr>
                <w:b/>
                <w:i/>
                <w:color w:val="auto"/>
              </w:rPr>
              <w:t>Note</w:t>
            </w:r>
            <w:r w:rsidRPr="00A81030">
              <w:rPr>
                <w:color w:val="auto"/>
              </w:rPr>
              <w:t xml:space="preserve">:  </w:t>
            </w:r>
            <w:r w:rsidR="00E80837" w:rsidRPr="00A81030">
              <w:rPr>
                <w:color w:val="auto"/>
              </w:rPr>
              <w:t xml:space="preserve">The </w:t>
            </w:r>
            <w:r w:rsidR="00FD7E51" w:rsidRPr="00A81030">
              <w:rPr>
                <w:color w:val="auto"/>
              </w:rPr>
              <w:t>f</w:t>
            </w:r>
            <w:r w:rsidR="00803055" w:rsidRPr="00A81030">
              <w:rPr>
                <w:color w:val="auto"/>
              </w:rPr>
              <w:t>iduciary h</w:t>
            </w:r>
            <w:r w:rsidR="00420EAA" w:rsidRPr="00A81030">
              <w:rPr>
                <w:color w:val="auto"/>
              </w:rPr>
              <w:t xml:space="preserve">ub will consider whether the </w:t>
            </w:r>
            <w:r w:rsidR="00E80837" w:rsidRPr="00A81030">
              <w:rPr>
                <w:color w:val="auto"/>
              </w:rPr>
              <w:t xml:space="preserve">prior failure to submit necessary information for continuance of benefits </w:t>
            </w:r>
            <w:r w:rsidR="00420EAA" w:rsidRPr="00A81030">
              <w:rPr>
                <w:color w:val="auto"/>
              </w:rPr>
              <w:t>indicates</w:t>
            </w:r>
            <w:r w:rsidR="00E80837" w:rsidRPr="00A81030">
              <w:rPr>
                <w:color w:val="auto"/>
              </w:rPr>
              <w:t xml:space="preserve"> the need for appointment of a different </w:t>
            </w:r>
            <w:r w:rsidR="00B72C7B" w:rsidRPr="00A81030">
              <w:rPr>
                <w:color w:val="auto"/>
              </w:rPr>
              <w:t>fiduciary</w:t>
            </w:r>
            <w:r w:rsidR="00E80837" w:rsidRPr="00A81030">
              <w:rPr>
                <w:color w:val="auto"/>
              </w:rPr>
              <w:t xml:space="preserve">.  </w:t>
            </w:r>
          </w:p>
        </w:tc>
      </w:tr>
    </w:tbl>
    <w:p w14:paraId="342212AD" w14:textId="51CEA3DF" w:rsidR="00D70188" w:rsidRPr="00A81030" w:rsidRDefault="00B72C7B" w:rsidP="00B72C7B">
      <w:pPr>
        <w:tabs>
          <w:tab w:val="left" w:pos="9360"/>
        </w:tabs>
        <w:ind w:left="1714"/>
        <w:rPr>
          <w:color w:val="auto"/>
        </w:rPr>
      </w:pPr>
      <w:r w:rsidRPr="00A81030">
        <w:rPr>
          <w:color w:val="auto"/>
          <w:u w:val="single"/>
        </w:rPr>
        <w:lastRenderedPageBreak/>
        <w:tab/>
      </w:r>
    </w:p>
    <w:p w14:paraId="273EF56A" w14:textId="0059D596" w:rsidR="00B72C7B" w:rsidRPr="003E02F6" w:rsidRDefault="00E8177B" w:rsidP="00A35E81">
      <w:pPr>
        <w:rPr>
          <w:color w:val="auto"/>
        </w:rPr>
      </w:pPr>
      <w:r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Pr="00A81030">
        <w:rPr>
          <w:color w:val="auto"/>
        </w:rPr>
        <w:instrText xml:space="preserve"> ADDIN  \* MERGEFORMAT </w:instrText>
      </w:r>
      <w:r w:rsidRPr="00A81030">
        <w:rPr>
          <w:color w:val="auto"/>
        </w:rPr>
      </w:r>
      <w:r w:rsidRPr="00A81030">
        <w:rPr>
          <w:color w:val="auto"/>
        </w:rPr>
        <w:fldChar w:fldCharType="end"/>
      </w:r>
      <w:r w:rsidRPr="00A81030">
        <w:rPr>
          <w:color w:val="auto"/>
        </w:rPr>
        <w:fldChar w:fldCharType="begin">
          <w:fldData xml:space="preserve">RgBvAG4AdABTAGUAdABGAG8AbgB0AFMAZQB0AGkAbQBpAHMAdAB5AGwAZQBzAC4AeABtAGwA
</w:fldData>
        </w:fldChar>
      </w:r>
      <w:r w:rsidRPr="00A81030">
        <w:rPr>
          <w:color w:val="auto"/>
        </w:rPr>
        <w:instrText xml:space="preserve"> ADDIN  \* MERGEFORMAT </w:instrText>
      </w:r>
      <w:r w:rsidRPr="00A81030">
        <w:rPr>
          <w:color w:val="auto"/>
        </w:rPr>
      </w:r>
      <w:r w:rsidRPr="00A81030">
        <w:rPr>
          <w:color w:val="auto"/>
        </w:rPr>
        <w:fldChar w:fldCharType="end"/>
      </w:r>
      <w:r w:rsidR="00776611"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776611" w:rsidRPr="00A81030">
        <w:rPr>
          <w:color w:val="auto"/>
        </w:rPr>
        <w:instrText xml:space="preserve"> ADDIN  \* MERGEFORMAT </w:instrText>
      </w:r>
      <w:r w:rsidR="00776611" w:rsidRPr="00A81030">
        <w:rPr>
          <w:color w:val="auto"/>
        </w:rPr>
      </w:r>
      <w:r w:rsidR="00776611" w:rsidRPr="00A81030">
        <w:rPr>
          <w:color w:val="auto"/>
        </w:rPr>
        <w:fldChar w:fldCharType="end"/>
      </w:r>
      <w:r w:rsidR="00776611" w:rsidRPr="00A81030">
        <w:rPr>
          <w:color w:val="auto"/>
        </w:rPr>
        <w:fldChar w:fldCharType="begin">
          <w:fldData xml:space="preserve">RgBvAG4AdABTAGUAdABGAG8AbgB0AFMAZQB0AEYAbwBuAHQAUwBlAHQAaQBtAGkAcwB0AHkAbABl
AHMALgB4AG0AbAA=
</w:fldData>
        </w:fldChar>
      </w:r>
      <w:r w:rsidR="00776611" w:rsidRPr="00A81030">
        <w:rPr>
          <w:color w:val="auto"/>
        </w:rPr>
        <w:instrText xml:space="preserve"> ADDIN  \* MERGEFORMAT </w:instrText>
      </w:r>
      <w:r w:rsidR="00776611" w:rsidRPr="00A81030">
        <w:rPr>
          <w:color w:val="auto"/>
        </w:rPr>
      </w:r>
      <w:r w:rsidR="00776611" w:rsidRPr="00A81030">
        <w:rPr>
          <w:color w:val="auto"/>
        </w:rPr>
        <w:fldChar w:fldCharType="end"/>
      </w:r>
      <w:r w:rsidR="00353D84"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353D84" w:rsidRPr="00A81030">
        <w:rPr>
          <w:color w:val="auto"/>
        </w:rPr>
        <w:instrText xml:space="preserve"> ADDIN  \* MERGEFORMAT </w:instrText>
      </w:r>
      <w:r w:rsidR="00353D84" w:rsidRPr="00A81030">
        <w:rPr>
          <w:color w:val="auto"/>
        </w:rPr>
      </w:r>
      <w:r w:rsidR="00353D84" w:rsidRPr="00A81030">
        <w:rPr>
          <w:color w:val="auto"/>
        </w:rPr>
        <w:fldChar w:fldCharType="end"/>
      </w:r>
      <w:r w:rsidR="00353D84" w:rsidRPr="00A81030">
        <w:rPr>
          <w:color w:val="auto"/>
        </w:rPr>
        <w:fldChar w:fldCharType="begin">
          <w:fldData xml:space="preserve">RgBvAG4AdABTAGUAdABGAG8AbgB0AFMAZQB0AEYAbwBuAHQAUwBlAHQAaQBtAGkAcwB0AHkAbABl
AHMALgB4AG0AbAA=
</w:fldData>
        </w:fldChar>
      </w:r>
      <w:r w:rsidR="00353D84" w:rsidRPr="00A81030">
        <w:rPr>
          <w:color w:val="auto"/>
        </w:rPr>
        <w:instrText xml:space="preserve"> ADDIN  \* MERGEFORMAT </w:instrText>
      </w:r>
      <w:r w:rsidR="00353D84" w:rsidRPr="00A81030">
        <w:rPr>
          <w:color w:val="auto"/>
        </w:rPr>
      </w:r>
      <w:r w:rsidR="00353D84" w:rsidRPr="00A81030">
        <w:rPr>
          <w:color w:val="auto"/>
        </w:rPr>
        <w:fldChar w:fldCharType="end"/>
      </w:r>
      <w:r w:rsidR="00260D79"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260D79" w:rsidRPr="00A81030">
        <w:rPr>
          <w:color w:val="auto"/>
        </w:rPr>
        <w:instrText xml:space="preserve"> ADDIN  \* MERGEFORMAT </w:instrText>
      </w:r>
      <w:r w:rsidR="00260D79" w:rsidRPr="00A81030">
        <w:rPr>
          <w:color w:val="auto"/>
        </w:rPr>
      </w:r>
      <w:r w:rsidR="00260D79" w:rsidRPr="00A81030">
        <w:rPr>
          <w:color w:val="auto"/>
        </w:rPr>
        <w:fldChar w:fldCharType="end"/>
      </w:r>
      <w:r w:rsidR="00260D79" w:rsidRPr="00A81030">
        <w:rPr>
          <w:color w:val="auto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="00260D79" w:rsidRPr="00A81030">
        <w:rPr>
          <w:color w:val="auto"/>
        </w:rPr>
        <w:instrText xml:space="preserve"> ADDIN  \* MERGEFORMAT </w:instrText>
      </w:r>
      <w:r w:rsidR="00260D79" w:rsidRPr="00A81030">
        <w:rPr>
          <w:color w:val="auto"/>
        </w:rPr>
      </w:r>
      <w:r w:rsidR="00260D79" w:rsidRPr="00A81030">
        <w:rPr>
          <w:color w:val="auto"/>
        </w:rPr>
        <w:fldChar w:fldCharType="end"/>
      </w:r>
      <w:r w:rsidR="00D27558"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D27558" w:rsidRPr="00A81030">
        <w:rPr>
          <w:color w:val="auto"/>
        </w:rPr>
        <w:instrText xml:space="preserve"> ADDIN  \* MERGEFORMAT </w:instrText>
      </w:r>
      <w:r w:rsidR="00D27558" w:rsidRPr="00A81030">
        <w:rPr>
          <w:color w:val="auto"/>
        </w:rPr>
      </w:r>
      <w:r w:rsidR="00D27558" w:rsidRPr="00A81030">
        <w:rPr>
          <w:color w:val="auto"/>
        </w:rPr>
        <w:fldChar w:fldCharType="end"/>
      </w:r>
      <w:r w:rsidR="00D27558" w:rsidRPr="00A81030">
        <w:rPr>
          <w:color w:val="auto"/>
        </w:rP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D27558" w:rsidRPr="00A81030">
        <w:rPr>
          <w:color w:val="auto"/>
        </w:rPr>
        <w:instrText xml:space="preserve"> ADDIN  \* MERGEFORMAT </w:instrText>
      </w:r>
      <w:r w:rsidR="00D27558" w:rsidRPr="00A81030">
        <w:rPr>
          <w:color w:val="auto"/>
        </w:rPr>
      </w:r>
      <w:r w:rsidR="00D27558" w:rsidRPr="00A81030">
        <w:rPr>
          <w:color w:val="auto"/>
        </w:rPr>
        <w:fldChar w:fldCharType="end"/>
      </w:r>
      <w:r w:rsidR="00345B74"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345B74" w:rsidRPr="00A81030">
        <w:rPr>
          <w:color w:val="auto"/>
        </w:rPr>
        <w:instrText xml:space="preserve"> ADDIN  \* MERGEFORMAT </w:instrText>
      </w:r>
      <w:r w:rsidR="00345B74" w:rsidRPr="00A81030">
        <w:rPr>
          <w:color w:val="auto"/>
        </w:rPr>
      </w:r>
      <w:r w:rsidR="00345B74" w:rsidRPr="00A81030">
        <w:rPr>
          <w:color w:val="auto"/>
        </w:rPr>
        <w:fldChar w:fldCharType="end"/>
      </w:r>
      <w:r w:rsidR="00345B74" w:rsidRPr="00A81030">
        <w:rPr>
          <w:color w:val="auto"/>
        </w:rP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345B74" w:rsidRPr="00A81030">
        <w:rPr>
          <w:color w:val="auto"/>
        </w:rPr>
        <w:instrText xml:space="preserve"> ADDIN  \* MERGEFORMAT </w:instrText>
      </w:r>
      <w:r w:rsidR="00345B74" w:rsidRPr="00A81030">
        <w:rPr>
          <w:color w:val="auto"/>
        </w:rPr>
      </w:r>
      <w:r w:rsidR="00345B74" w:rsidRPr="00A81030">
        <w:rPr>
          <w:color w:val="auto"/>
        </w:rPr>
        <w:fldChar w:fldCharType="end"/>
      </w:r>
      <w:r w:rsidR="00540BA5" w:rsidRPr="00A81030">
        <w:rPr>
          <w:color w:val="auto"/>
        </w:rPr>
        <w:fldChar w:fldCharType="begin">
          <w:fldData xml:space="preserve">RABvAGMAVABlAG0AcAAxAFYAYQByAFQAcgBhAGQAaQB0AGkAbwBuAGEAbAA=
</w:fldData>
        </w:fldChar>
      </w:r>
      <w:r w:rsidR="00540BA5" w:rsidRPr="00A81030">
        <w:rPr>
          <w:color w:val="auto"/>
        </w:rPr>
        <w:instrText xml:space="preserve"> ADDIN  \* MERGEFORMAT </w:instrText>
      </w:r>
      <w:r w:rsidR="00540BA5" w:rsidRPr="00A81030">
        <w:rPr>
          <w:color w:val="auto"/>
        </w:rPr>
      </w:r>
      <w:r w:rsidR="00540BA5" w:rsidRPr="00A81030">
        <w:rPr>
          <w:color w:val="auto"/>
        </w:rPr>
        <w:fldChar w:fldCharType="end"/>
      </w:r>
      <w:r w:rsidR="00540BA5" w:rsidRPr="00A81030">
        <w:rPr>
          <w:color w:val="auto"/>
        </w:rP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40BA5" w:rsidRPr="00A81030">
        <w:rPr>
          <w:color w:val="auto"/>
        </w:rPr>
        <w:instrText xml:space="preserve"> ADDIN  \* MERGEFORMAT </w:instrText>
      </w:r>
      <w:r w:rsidR="00540BA5" w:rsidRPr="00A81030">
        <w:rPr>
          <w:color w:val="auto"/>
        </w:rPr>
      </w:r>
      <w:r w:rsidR="00540BA5" w:rsidRPr="00A81030">
        <w:rPr>
          <w:color w:val="auto"/>
        </w:rPr>
        <w:fldChar w:fldCharType="end"/>
      </w:r>
      <w:bookmarkStart w:id="19" w:name="_GoBack"/>
      <w:bookmarkEnd w:id="19"/>
    </w:p>
    <w:sectPr w:rsidR="00B72C7B" w:rsidRPr="003E02F6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872D" w14:textId="77777777" w:rsidR="000735BB" w:rsidRDefault="000735BB">
      <w:r>
        <w:separator/>
      </w:r>
    </w:p>
  </w:endnote>
  <w:endnote w:type="continuationSeparator" w:id="0">
    <w:p w14:paraId="5F3ADAD6" w14:textId="77777777" w:rsidR="000735BB" w:rsidRDefault="0007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48AB" w14:textId="4FA9BD3E" w:rsidR="000735BB" w:rsidRDefault="000735BB">
    <w:pPr>
      <w:pStyle w:val="Footer"/>
      <w:tabs>
        <w:tab w:val="left" w:pos="0"/>
        <w:tab w:val="right" w:pos="9274"/>
      </w:tabs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8F87" w14:textId="40C7E505" w:rsidR="000735BB" w:rsidRDefault="000735BB">
    <w:pPr>
      <w:pStyle w:val="Footer"/>
      <w:tabs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34EA" w14:textId="77777777" w:rsidR="000735BB" w:rsidRDefault="000735BB">
      <w:r>
        <w:separator/>
      </w:r>
    </w:p>
  </w:footnote>
  <w:footnote w:type="continuationSeparator" w:id="0">
    <w:p w14:paraId="3F4CCE51" w14:textId="77777777" w:rsidR="000735BB" w:rsidRDefault="0007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35A4" w14:textId="35F6D79C" w:rsidR="000735BB" w:rsidRDefault="000735BB">
    <w:pPr>
      <w:pStyle w:val="Header"/>
    </w:pP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B121" w14:textId="585AFF09" w:rsidR="000735BB" w:rsidRDefault="000735BB">
    <w:pPr>
      <w:pStyle w:val="Header"/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268A2"/>
    <w:multiLevelType w:val="hybridMultilevel"/>
    <w:tmpl w:val="9B6C173E"/>
    <w:lvl w:ilvl="0" w:tplc="7EE8313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C7E83"/>
    <w:multiLevelType w:val="hybridMultilevel"/>
    <w:tmpl w:val="54DCE706"/>
    <w:lvl w:ilvl="0" w:tplc="A1F600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37D57"/>
    <w:multiLevelType w:val="hybridMultilevel"/>
    <w:tmpl w:val="4F26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E4EDC"/>
    <w:multiLevelType w:val="hybridMultilevel"/>
    <w:tmpl w:val="1A7C5C16"/>
    <w:lvl w:ilvl="0" w:tplc="362801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66B98"/>
    <w:multiLevelType w:val="hybridMultilevel"/>
    <w:tmpl w:val="CD001648"/>
    <w:lvl w:ilvl="0" w:tplc="A720228E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8604B"/>
    <w:multiLevelType w:val="hybridMultilevel"/>
    <w:tmpl w:val="BC5A448C"/>
    <w:lvl w:ilvl="0" w:tplc="969099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35B"/>
    <w:multiLevelType w:val="hybridMultilevel"/>
    <w:tmpl w:val="F0963A9A"/>
    <w:lvl w:ilvl="0" w:tplc="95B028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F5A1E"/>
    <w:multiLevelType w:val="hybridMultilevel"/>
    <w:tmpl w:val="0354E632"/>
    <w:lvl w:ilvl="0" w:tplc="196EEC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3C1B"/>
    <w:multiLevelType w:val="hybridMultilevel"/>
    <w:tmpl w:val="25FA75E6"/>
    <w:lvl w:ilvl="0" w:tplc="BD8884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44733"/>
    <w:multiLevelType w:val="hybridMultilevel"/>
    <w:tmpl w:val="40FEA50C"/>
    <w:lvl w:ilvl="0" w:tplc="F22287E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90838"/>
    <w:multiLevelType w:val="hybridMultilevel"/>
    <w:tmpl w:val="E99CAC48"/>
    <w:lvl w:ilvl="0" w:tplc="0124193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441F7"/>
    <w:multiLevelType w:val="hybridMultilevel"/>
    <w:tmpl w:val="DC98761E"/>
    <w:lvl w:ilvl="0" w:tplc="A802CCC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175FB"/>
    <w:multiLevelType w:val="hybridMultilevel"/>
    <w:tmpl w:val="D158BA06"/>
    <w:lvl w:ilvl="0" w:tplc="00866D4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50E53"/>
    <w:multiLevelType w:val="hybridMultilevel"/>
    <w:tmpl w:val="60EA5450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96CC4"/>
    <w:multiLevelType w:val="hybridMultilevel"/>
    <w:tmpl w:val="DBC263CA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8376C"/>
    <w:multiLevelType w:val="hybridMultilevel"/>
    <w:tmpl w:val="ECDE9E0C"/>
    <w:lvl w:ilvl="0" w:tplc="196EEC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4D8C"/>
    <w:multiLevelType w:val="hybridMultilevel"/>
    <w:tmpl w:val="88164696"/>
    <w:lvl w:ilvl="0" w:tplc="227095C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971A8"/>
    <w:multiLevelType w:val="hybridMultilevel"/>
    <w:tmpl w:val="10C6E776"/>
    <w:lvl w:ilvl="0" w:tplc="8ADED5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C5BCB"/>
    <w:multiLevelType w:val="hybridMultilevel"/>
    <w:tmpl w:val="63AA0788"/>
    <w:lvl w:ilvl="0" w:tplc="67848C6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10AE"/>
    <w:multiLevelType w:val="hybridMultilevel"/>
    <w:tmpl w:val="5052AAF4"/>
    <w:lvl w:ilvl="0" w:tplc="71EC0AB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2B0C"/>
    <w:multiLevelType w:val="hybridMultilevel"/>
    <w:tmpl w:val="5992B1B8"/>
    <w:lvl w:ilvl="0" w:tplc="64E877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A3919"/>
    <w:multiLevelType w:val="hybridMultilevel"/>
    <w:tmpl w:val="4232F610"/>
    <w:lvl w:ilvl="0" w:tplc="3278A4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F4DEF"/>
    <w:multiLevelType w:val="hybridMultilevel"/>
    <w:tmpl w:val="3208E406"/>
    <w:lvl w:ilvl="0" w:tplc="196EEC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E46E6"/>
    <w:multiLevelType w:val="hybridMultilevel"/>
    <w:tmpl w:val="64A23878"/>
    <w:lvl w:ilvl="0" w:tplc="6AEC4C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307C4"/>
    <w:multiLevelType w:val="hybridMultilevel"/>
    <w:tmpl w:val="582C1136"/>
    <w:lvl w:ilvl="0" w:tplc="C16CD4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E4FBF"/>
    <w:multiLevelType w:val="hybridMultilevel"/>
    <w:tmpl w:val="21BA20E2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A43FD"/>
    <w:multiLevelType w:val="hybridMultilevel"/>
    <w:tmpl w:val="09A2EFF2"/>
    <w:lvl w:ilvl="0" w:tplc="64E877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15500"/>
    <w:multiLevelType w:val="hybridMultilevel"/>
    <w:tmpl w:val="3E76A256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A7A82"/>
    <w:multiLevelType w:val="hybridMultilevel"/>
    <w:tmpl w:val="28083F02"/>
    <w:lvl w:ilvl="0" w:tplc="95B028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2CBE"/>
    <w:multiLevelType w:val="hybridMultilevel"/>
    <w:tmpl w:val="5AA24CDE"/>
    <w:lvl w:ilvl="0" w:tplc="196EEC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F092A"/>
    <w:multiLevelType w:val="hybridMultilevel"/>
    <w:tmpl w:val="7B8E6C2C"/>
    <w:lvl w:ilvl="0" w:tplc="402644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86C20"/>
    <w:multiLevelType w:val="hybridMultilevel"/>
    <w:tmpl w:val="CC545DFC"/>
    <w:lvl w:ilvl="0" w:tplc="39060E8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C75F5"/>
    <w:multiLevelType w:val="hybridMultilevel"/>
    <w:tmpl w:val="0F7A1660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D10D8"/>
    <w:multiLevelType w:val="hybridMultilevel"/>
    <w:tmpl w:val="AB125B0A"/>
    <w:lvl w:ilvl="0" w:tplc="3278A4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76F67"/>
    <w:multiLevelType w:val="hybridMultilevel"/>
    <w:tmpl w:val="22E2848A"/>
    <w:lvl w:ilvl="0" w:tplc="FB4AE13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F65F9"/>
    <w:multiLevelType w:val="hybridMultilevel"/>
    <w:tmpl w:val="9BC8BEA0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4774F"/>
    <w:multiLevelType w:val="hybridMultilevel"/>
    <w:tmpl w:val="CD3C23A0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E20ED"/>
    <w:multiLevelType w:val="hybridMultilevel"/>
    <w:tmpl w:val="A4BC6C50"/>
    <w:lvl w:ilvl="0" w:tplc="ED961820">
      <w:start w:val="1"/>
      <w:numFmt w:val="bullet"/>
      <w:lvlRestart w:val="0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F12823"/>
    <w:multiLevelType w:val="hybridMultilevel"/>
    <w:tmpl w:val="DC566E22"/>
    <w:lvl w:ilvl="0" w:tplc="39060E8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E3FD4"/>
    <w:multiLevelType w:val="hybridMultilevel"/>
    <w:tmpl w:val="B10EFF38"/>
    <w:lvl w:ilvl="0" w:tplc="10E216A2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7C34ACC"/>
    <w:multiLevelType w:val="hybridMultilevel"/>
    <w:tmpl w:val="3AD2E902"/>
    <w:lvl w:ilvl="0" w:tplc="B100B8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9134C"/>
    <w:multiLevelType w:val="hybridMultilevel"/>
    <w:tmpl w:val="E8326122"/>
    <w:lvl w:ilvl="0" w:tplc="3A08D0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A1FE6"/>
    <w:multiLevelType w:val="hybridMultilevel"/>
    <w:tmpl w:val="D0B09C20"/>
    <w:lvl w:ilvl="0" w:tplc="22C4FC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37944"/>
    <w:multiLevelType w:val="hybridMultilevel"/>
    <w:tmpl w:val="DD3C04E4"/>
    <w:lvl w:ilvl="0" w:tplc="6796703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B5D47"/>
    <w:multiLevelType w:val="hybridMultilevel"/>
    <w:tmpl w:val="9056B26E"/>
    <w:lvl w:ilvl="0" w:tplc="2D3E15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8612C"/>
    <w:multiLevelType w:val="hybridMultilevel"/>
    <w:tmpl w:val="53E268F2"/>
    <w:lvl w:ilvl="0" w:tplc="73F637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16B1C"/>
    <w:multiLevelType w:val="hybridMultilevel"/>
    <w:tmpl w:val="E4B8EBEC"/>
    <w:lvl w:ilvl="0" w:tplc="196EEC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0"/>
  </w:num>
  <w:num w:numId="4">
    <w:abstractNumId w:val="21"/>
  </w:num>
  <w:num w:numId="5">
    <w:abstractNumId w:val="27"/>
  </w:num>
  <w:num w:numId="6">
    <w:abstractNumId w:val="18"/>
  </w:num>
  <w:num w:numId="7">
    <w:abstractNumId w:val="24"/>
  </w:num>
  <w:num w:numId="8">
    <w:abstractNumId w:val="17"/>
  </w:num>
  <w:num w:numId="9">
    <w:abstractNumId w:val="23"/>
  </w:num>
  <w:num w:numId="10">
    <w:abstractNumId w:val="30"/>
  </w:num>
  <w:num w:numId="11">
    <w:abstractNumId w:val="8"/>
  </w:num>
  <w:num w:numId="12">
    <w:abstractNumId w:val="16"/>
  </w:num>
  <w:num w:numId="13">
    <w:abstractNumId w:val="49"/>
  </w:num>
  <w:num w:numId="14">
    <w:abstractNumId w:val="20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42"/>
  </w:num>
  <w:num w:numId="20">
    <w:abstractNumId w:val="7"/>
  </w:num>
  <w:num w:numId="21">
    <w:abstractNumId w:val="29"/>
  </w:num>
  <w:num w:numId="22">
    <w:abstractNumId w:val="46"/>
  </w:num>
  <w:num w:numId="23">
    <w:abstractNumId w:val="40"/>
  </w:num>
  <w:num w:numId="24">
    <w:abstractNumId w:val="43"/>
  </w:num>
  <w:num w:numId="25">
    <w:abstractNumId w:val="28"/>
  </w:num>
  <w:num w:numId="26">
    <w:abstractNumId w:val="44"/>
  </w:num>
  <w:num w:numId="27">
    <w:abstractNumId w:val="33"/>
  </w:num>
  <w:num w:numId="28">
    <w:abstractNumId w:val="37"/>
  </w:num>
  <w:num w:numId="29">
    <w:abstractNumId w:val="26"/>
  </w:num>
  <w:num w:numId="30">
    <w:abstractNumId w:val="15"/>
  </w:num>
  <w:num w:numId="31">
    <w:abstractNumId w:val="14"/>
  </w:num>
  <w:num w:numId="32">
    <w:abstractNumId w:val="38"/>
  </w:num>
  <w:num w:numId="33">
    <w:abstractNumId w:val="32"/>
  </w:num>
  <w:num w:numId="34">
    <w:abstractNumId w:val="41"/>
  </w:num>
  <w:num w:numId="35">
    <w:abstractNumId w:val="12"/>
  </w:num>
  <w:num w:numId="36">
    <w:abstractNumId w:val="47"/>
  </w:num>
  <w:num w:numId="37">
    <w:abstractNumId w:val="36"/>
  </w:num>
  <w:num w:numId="38">
    <w:abstractNumId w:val="22"/>
  </w:num>
  <w:num w:numId="39">
    <w:abstractNumId w:val="34"/>
  </w:num>
  <w:num w:numId="40">
    <w:abstractNumId w:val="48"/>
  </w:num>
  <w:num w:numId="41">
    <w:abstractNumId w:val="9"/>
  </w:num>
  <w:num w:numId="42">
    <w:abstractNumId w:val="3"/>
  </w:num>
  <w:num w:numId="43">
    <w:abstractNumId w:val="1"/>
  </w:num>
  <w:num w:numId="44">
    <w:abstractNumId w:val="25"/>
  </w:num>
  <w:num w:numId="45">
    <w:abstractNumId w:val="19"/>
  </w:num>
  <w:num w:numId="46">
    <w:abstractNumId w:val="5"/>
  </w:num>
  <w:num w:numId="47">
    <w:abstractNumId w:val="31"/>
  </w:num>
  <w:num w:numId="48">
    <w:abstractNumId w:val="11"/>
  </w:num>
  <w:num w:numId="49">
    <w:abstractNumId w:val="45"/>
  </w:num>
  <w:num w:numId="50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imistyles.xml"/>
    <w:docVar w:name="XSLPath" w:val="C:\Program Files\Information Mapping\FS Pro 4.1\StyleSheets\"/>
    <w:docVar w:name="XSLstylesheet" w:val="Basic.xsl"/>
  </w:docVars>
  <w:rsids>
    <w:rsidRoot w:val="002371FF"/>
    <w:rsid w:val="00001FE4"/>
    <w:rsid w:val="00006457"/>
    <w:rsid w:val="000075BE"/>
    <w:rsid w:val="00011C91"/>
    <w:rsid w:val="000138DB"/>
    <w:rsid w:val="00016736"/>
    <w:rsid w:val="0001717D"/>
    <w:rsid w:val="00026757"/>
    <w:rsid w:val="0003022E"/>
    <w:rsid w:val="00030B46"/>
    <w:rsid w:val="00054C82"/>
    <w:rsid w:val="00061D41"/>
    <w:rsid w:val="0006501F"/>
    <w:rsid w:val="00066525"/>
    <w:rsid w:val="000735BB"/>
    <w:rsid w:val="00076C8B"/>
    <w:rsid w:val="00077E50"/>
    <w:rsid w:val="0008043B"/>
    <w:rsid w:val="00091CA5"/>
    <w:rsid w:val="000A77EA"/>
    <w:rsid w:val="000B3B05"/>
    <w:rsid w:val="000B4525"/>
    <w:rsid w:val="000C0D2B"/>
    <w:rsid w:val="000C1DED"/>
    <w:rsid w:val="000C3138"/>
    <w:rsid w:val="000C4653"/>
    <w:rsid w:val="000C6C63"/>
    <w:rsid w:val="000F6871"/>
    <w:rsid w:val="00101C4D"/>
    <w:rsid w:val="00104838"/>
    <w:rsid w:val="001065DA"/>
    <w:rsid w:val="00110772"/>
    <w:rsid w:val="00113235"/>
    <w:rsid w:val="00117DCB"/>
    <w:rsid w:val="0012465D"/>
    <w:rsid w:val="00134756"/>
    <w:rsid w:val="00142D65"/>
    <w:rsid w:val="00143F7D"/>
    <w:rsid w:val="0014461D"/>
    <w:rsid w:val="00145076"/>
    <w:rsid w:val="001456CE"/>
    <w:rsid w:val="00154F54"/>
    <w:rsid w:val="001560E0"/>
    <w:rsid w:val="00160CF1"/>
    <w:rsid w:val="001652A7"/>
    <w:rsid w:val="00165615"/>
    <w:rsid w:val="00181958"/>
    <w:rsid w:val="00185F9E"/>
    <w:rsid w:val="001861F6"/>
    <w:rsid w:val="00186E74"/>
    <w:rsid w:val="001945B3"/>
    <w:rsid w:val="001B3183"/>
    <w:rsid w:val="001C0E30"/>
    <w:rsid w:val="001C0F81"/>
    <w:rsid w:val="001C1C6F"/>
    <w:rsid w:val="001C3F36"/>
    <w:rsid w:val="001D3796"/>
    <w:rsid w:val="001E72EA"/>
    <w:rsid w:val="001F5CAA"/>
    <w:rsid w:val="001F6C0E"/>
    <w:rsid w:val="002009FF"/>
    <w:rsid w:val="00202C0D"/>
    <w:rsid w:val="00204D8E"/>
    <w:rsid w:val="00215AD6"/>
    <w:rsid w:val="0022289C"/>
    <w:rsid w:val="00222FC8"/>
    <w:rsid w:val="00227302"/>
    <w:rsid w:val="002371FF"/>
    <w:rsid w:val="00237DD1"/>
    <w:rsid w:val="00240496"/>
    <w:rsid w:val="0025271A"/>
    <w:rsid w:val="00253101"/>
    <w:rsid w:val="002533DF"/>
    <w:rsid w:val="002603CB"/>
    <w:rsid w:val="00260D79"/>
    <w:rsid w:val="00266A1C"/>
    <w:rsid w:val="002721CD"/>
    <w:rsid w:val="00273A71"/>
    <w:rsid w:val="0028077A"/>
    <w:rsid w:val="00281743"/>
    <w:rsid w:val="00283BD0"/>
    <w:rsid w:val="00284E9B"/>
    <w:rsid w:val="0029156E"/>
    <w:rsid w:val="00295DC3"/>
    <w:rsid w:val="002A545A"/>
    <w:rsid w:val="002C06C3"/>
    <w:rsid w:val="002C49BF"/>
    <w:rsid w:val="002E2B8F"/>
    <w:rsid w:val="002E3129"/>
    <w:rsid w:val="002F0807"/>
    <w:rsid w:val="002F554B"/>
    <w:rsid w:val="00302572"/>
    <w:rsid w:val="003165C3"/>
    <w:rsid w:val="00332A45"/>
    <w:rsid w:val="0034400A"/>
    <w:rsid w:val="00345B74"/>
    <w:rsid w:val="00351176"/>
    <w:rsid w:val="00353D84"/>
    <w:rsid w:val="00365DED"/>
    <w:rsid w:val="003722E8"/>
    <w:rsid w:val="0037408B"/>
    <w:rsid w:val="003740C8"/>
    <w:rsid w:val="003A276E"/>
    <w:rsid w:val="003A3A53"/>
    <w:rsid w:val="003D3503"/>
    <w:rsid w:val="003D58EA"/>
    <w:rsid w:val="003D6964"/>
    <w:rsid w:val="003E02F6"/>
    <w:rsid w:val="003F3923"/>
    <w:rsid w:val="003F3E75"/>
    <w:rsid w:val="003F61E8"/>
    <w:rsid w:val="00400273"/>
    <w:rsid w:val="00403CB4"/>
    <w:rsid w:val="004116DD"/>
    <w:rsid w:val="00417316"/>
    <w:rsid w:val="00420C49"/>
    <w:rsid w:val="00420EAA"/>
    <w:rsid w:val="0042325E"/>
    <w:rsid w:val="00424EBA"/>
    <w:rsid w:val="0042526F"/>
    <w:rsid w:val="0043301E"/>
    <w:rsid w:val="004414C5"/>
    <w:rsid w:val="00443B2E"/>
    <w:rsid w:val="004509C7"/>
    <w:rsid w:val="00454654"/>
    <w:rsid w:val="00457108"/>
    <w:rsid w:val="00461C30"/>
    <w:rsid w:val="00464770"/>
    <w:rsid w:val="00465FF3"/>
    <w:rsid w:val="00466054"/>
    <w:rsid w:val="00466788"/>
    <w:rsid w:val="0047021A"/>
    <w:rsid w:val="00476A5E"/>
    <w:rsid w:val="004853E5"/>
    <w:rsid w:val="00487289"/>
    <w:rsid w:val="004A05EF"/>
    <w:rsid w:val="004A5FA0"/>
    <w:rsid w:val="004A74F1"/>
    <w:rsid w:val="004B05DE"/>
    <w:rsid w:val="004B5610"/>
    <w:rsid w:val="004B7B54"/>
    <w:rsid w:val="004C2CDE"/>
    <w:rsid w:val="004C3DD3"/>
    <w:rsid w:val="004E0EB6"/>
    <w:rsid w:val="004E1E6B"/>
    <w:rsid w:val="004E2DB2"/>
    <w:rsid w:val="004F4DD5"/>
    <w:rsid w:val="00502C6A"/>
    <w:rsid w:val="00505E2F"/>
    <w:rsid w:val="00507CA9"/>
    <w:rsid w:val="00511042"/>
    <w:rsid w:val="00513F03"/>
    <w:rsid w:val="00516E6F"/>
    <w:rsid w:val="00523F9F"/>
    <w:rsid w:val="005260ED"/>
    <w:rsid w:val="0052709F"/>
    <w:rsid w:val="00531DBF"/>
    <w:rsid w:val="00537415"/>
    <w:rsid w:val="00540BA5"/>
    <w:rsid w:val="00544AF4"/>
    <w:rsid w:val="00553F8E"/>
    <w:rsid w:val="00564F19"/>
    <w:rsid w:val="00571488"/>
    <w:rsid w:val="00573312"/>
    <w:rsid w:val="00577510"/>
    <w:rsid w:val="00591997"/>
    <w:rsid w:val="00591DAD"/>
    <w:rsid w:val="005A04E8"/>
    <w:rsid w:val="005A189C"/>
    <w:rsid w:val="005A1F3E"/>
    <w:rsid w:val="005A3268"/>
    <w:rsid w:val="005A34A2"/>
    <w:rsid w:val="005A6FC7"/>
    <w:rsid w:val="005A72E4"/>
    <w:rsid w:val="005B46D1"/>
    <w:rsid w:val="005C1FE1"/>
    <w:rsid w:val="005C70BD"/>
    <w:rsid w:val="005D4587"/>
    <w:rsid w:val="005D75A8"/>
    <w:rsid w:val="005E1B6E"/>
    <w:rsid w:val="005F0573"/>
    <w:rsid w:val="005F2D04"/>
    <w:rsid w:val="005F36BB"/>
    <w:rsid w:val="005F4845"/>
    <w:rsid w:val="005F7473"/>
    <w:rsid w:val="00602078"/>
    <w:rsid w:val="00607984"/>
    <w:rsid w:val="00610924"/>
    <w:rsid w:val="00610E58"/>
    <w:rsid w:val="0061128C"/>
    <w:rsid w:val="00611B36"/>
    <w:rsid w:val="00625187"/>
    <w:rsid w:val="00631A66"/>
    <w:rsid w:val="00645FF7"/>
    <w:rsid w:val="00664864"/>
    <w:rsid w:val="006658BB"/>
    <w:rsid w:val="00673524"/>
    <w:rsid w:val="00675C18"/>
    <w:rsid w:val="0067706D"/>
    <w:rsid w:val="006773FD"/>
    <w:rsid w:val="006820E1"/>
    <w:rsid w:val="00682B75"/>
    <w:rsid w:val="006835AD"/>
    <w:rsid w:val="00685E87"/>
    <w:rsid w:val="00692686"/>
    <w:rsid w:val="006A0F7E"/>
    <w:rsid w:val="006A2926"/>
    <w:rsid w:val="006A2EA3"/>
    <w:rsid w:val="006A4840"/>
    <w:rsid w:val="006B5632"/>
    <w:rsid w:val="006B5E7F"/>
    <w:rsid w:val="006C0D3A"/>
    <w:rsid w:val="006C184D"/>
    <w:rsid w:val="006D5214"/>
    <w:rsid w:val="006E68BD"/>
    <w:rsid w:val="006E7D79"/>
    <w:rsid w:val="006F706E"/>
    <w:rsid w:val="0070212C"/>
    <w:rsid w:val="007056F5"/>
    <w:rsid w:val="007072BA"/>
    <w:rsid w:val="00711BA6"/>
    <w:rsid w:val="00713B54"/>
    <w:rsid w:val="0071468A"/>
    <w:rsid w:val="00716DEA"/>
    <w:rsid w:val="007217D1"/>
    <w:rsid w:val="00722C5C"/>
    <w:rsid w:val="00734FA0"/>
    <w:rsid w:val="007368A8"/>
    <w:rsid w:val="0074607D"/>
    <w:rsid w:val="007475DC"/>
    <w:rsid w:val="00747D27"/>
    <w:rsid w:val="00751CAC"/>
    <w:rsid w:val="007578E8"/>
    <w:rsid w:val="00761334"/>
    <w:rsid w:val="0076432E"/>
    <w:rsid w:val="007646E4"/>
    <w:rsid w:val="007667B8"/>
    <w:rsid w:val="00766F1C"/>
    <w:rsid w:val="00776611"/>
    <w:rsid w:val="00777975"/>
    <w:rsid w:val="007779EC"/>
    <w:rsid w:val="007808E6"/>
    <w:rsid w:val="00782086"/>
    <w:rsid w:val="007A0288"/>
    <w:rsid w:val="007A6EB0"/>
    <w:rsid w:val="007B26D8"/>
    <w:rsid w:val="007C2651"/>
    <w:rsid w:val="007C3E2E"/>
    <w:rsid w:val="007C4D12"/>
    <w:rsid w:val="007D3E10"/>
    <w:rsid w:val="007F2612"/>
    <w:rsid w:val="0080228B"/>
    <w:rsid w:val="00803055"/>
    <w:rsid w:val="008038A0"/>
    <w:rsid w:val="00804509"/>
    <w:rsid w:val="0081754A"/>
    <w:rsid w:val="00820439"/>
    <w:rsid w:val="00823332"/>
    <w:rsid w:val="00823582"/>
    <w:rsid w:val="00826F44"/>
    <w:rsid w:val="00830E89"/>
    <w:rsid w:val="00834327"/>
    <w:rsid w:val="00842B64"/>
    <w:rsid w:val="008436F5"/>
    <w:rsid w:val="008437D1"/>
    <w:rsid w:val="00844670"/>
    <w:rsid w:val="0085483F"/>
    <w:rsid w:val="00854D9C"/>
    <w:rsid w:val="008648AA"/>
    <w:rsid w:val="008655A0"/>
    <w:rsid w:val="008731FC"/>
    <w:rsid w:val="0087338D"/>
    <w:rsid w:val="00891687"/>
    <w:rsid w:val="008A5377"/>
    <w:rsid w:val="008B28B9"/>
    <w:rsid w:val="008B6A08"/>
    <w:rsid w:val="008C20FF"/>
    <w:rsid w:val="008C4A3A"/>
    <w:rsid w:val="008D2293"/>
    <w:rsid w:val="008F0208"/>
    <w:rsid w:val="008F0391"/>
    <w:rsid w:val="008F0F32"/>
    <w:rsid w:val="008F2CB9"/>
    <w:rsid w:val="008F3C72"/>
    <w:rsid w:val="008F72A6"/>
    <w:rsid w:val="008F7AE2"/>
    <w:rsid w:val="0090041D"/>
    <w:rsid w:val="0090334D"/>
    <w:rsid w:val="009033E9"/>
    <w:rsid w:val="00906441"/>
    <w:rsid w:val="00907698"/>
    <w:rsid w:val="00910F81"/>
    <w:rsid w:val="009110CA"/>
    <w:rsid w:val="00911620"/>
    <w:rsid w:val="00914486"/>
    <w:rsid w:val="009170D9"/>
    <w:rsid w:val="009242DA"/>
    <w:rsid w:val="00925F9C"/>
    <w:rsid w:val="009335CB"/>
    <w:rsid w:val="009348DC"/>
    <w:rsid w:val="00936488"/>
    <w:rsid w:val="00937762"/>
    <w:rsid w:val="00937F69"/>
    <w:rsid w:val="00941F34"/>
    <w:rsid w:val="00961C42"/>
    <w:rsid w:val="00973DFA"/>
    <w:rsid w:val="009748AD"/>
    <w:rsid w:val="00974CE6"/>
    <w:rsid w:val="00984448"/>
    <w:rsid w:val="0098486A"/>
    <w:rsid w:val="009931A0"/>
    <w:rsid w:val="00994730"/>
    <w:rsid w:val="00995FB2"/>
    <w:rsid w:val="009A146F"/>
    <w:rsid w:val="009A2881"/>
    <w:rsid w:val="009B2810"/>
    <w:rsid w:val="009B6E31"/>
    <w:rsid w:val="009C0005"/>
    <w:rsid w:val="009D5B50"/>
    <w:rsid w:val="009E3657"/>
    <w:rsid w:val="009E6422"/>
    <w:rsid w:val="009F73BA"/>
    <w:rsid w:val="00A03E51"/>
    <w:rsid w:val="00A05097"/>
    <w:rsid w:val="00A10FC5"/>
    <w:rsid w:val="00A12E33"/>
    <w:rsid w:val="00A14872"/>
    <w:rsid w:val="00A15F35"/>
    <w:rsid w:val="00A2642A"/>
    <w:rsid w:val="00A332BC"/>
    <w:rsid w:val="00A332E2"/>
    <w:rsid w:val="00A33CA5"/>
    <w:rsid w:val="00A35E81"/>
    <w:rsid w:val="00A40BFD"/>
    <w:rsid w:val="00A435DA"/>
    <w:rsid w:val="00A436BF"/>
    <w:rsid w:val="00A52D27"/>
    <w:rsid w:val="00A53CE9"/>
    <w:rsid w:val="00A54809"/>
    <w:rsid w:val="00A54B4D"/>
    <w:rsid w:val="00A571B4"/>
    <w:rsid w:val="00A60E3F"/>
    <w:rsid w:val="00A65B2A"/>
    <w:rsid w:val="00A669A4"/>
    <w:rsid w:val="00A81030"/>
    <w:rsid w:val="00A83E98"/>
    <w:rsid w:val="00A92573"/>
    <w:rsid w:val="00A92E38"/>
    <w:rsid w:val="00AA3C96"/>
    <w:rsid w:val="00AA7820"/>
    <w:rsid w:val="00AC2666"/>
    <w:rsid w:val="00AC427F"/>
    <w:rsid w:val="00AD5BBE"/>
    <w:rsid w:val="00AF2F5C"/>
    <w:rsid w:val="00B144C7"/>
    <w:rsid w:val="00B15215"/>
    <w:rsid w:val="00B273C0"/>
    <w:rsid w:val="00B33433"/>
    <w:rsid w:val="00B34D53"/>
    <w:rsid w:val="00B3724F"/>
    <w:rsid w:val="00B4166B"/>
    <w:rsid w:val="00B4203A"/>
    <w:rsid w:val="00B43465"/>
    <w:rsid w:val="00B564CD"/>
    <w:rsid w:val="00B57FDD"/>
    <w:rsid w:val="00B67D7F"/>
    <w:rsid w:val="00B72C7B"/>
    <w:rsid w:val="00B801A9"/>
    <w:rsid w:val="00B938E4"/>
    <w:rsid w:val="00B96B4E"/>
    <w:rsid w:val="00B96FBA"/>
    <w:rsid w:val="00BA0E4B"/>
    <w:rsid w:val="00BA4384"/>
    <w:rsid w:val="00BB3D1C"/>
    <w:rsid w:val="00BB3E0A"/>
    <w:rsid w:val="00BD0B67"/>
    <w:rsid w:val="00BD2FD7"/>
    <w:rsid w:val="00BD3874"/>
    <w:rsid w:val="00BE0F0C"/>
    <w:rsid w:val="00BF5F40"/>
    <w:rsid w:val="00BF6509"/>
    <w:rsid w:val="00C05E4D"/>
    <w:rsid w:val="00C06136"/>
    <w:rsid w:val="00C1692B"/>
    <w:rsid w:val="00C20A5B"/>
    <w:rsid w:val="00C2272F"/>
    <w:rsid w:val="00C22AE0"/>
    <w:rsid w:val="00C232B1"/>
    <w:rsid w:val="00C271B5"/>
    <w:rsid w:val="00C420C3"/>
    <w:rsid w:val="00C42B5B"/>
    <w:rsid w:val="00C477DD"/>
    <w:rsid w:val="00C54AFE"/>
    <w:rsid w:val="00C626F0"/>
    <w:rsid w:val="00C6333B"/>
    <w:rsid w:val="00C67622"/>
    <w:rsid w:val="00C678FC"/>
    <w:rsid w:val="00C778B9"/>
    <w:rsid w:val="00C804DA"/>
    <w:rsid w:val="00C91175"/>
    <w:rsid w:val="00C966FB"/>
    <w:rsid w:val="00CA3EEC"/>
    <w:rsid w:val="00CA451E"/>
    <w:rsid w:val="00CA5676"/>
    <w:rsid w:val="00CA6844"/>
    <w:rsid w:val="00CB0CB6"/>
    <w:rsid w:val="00CB4302"/>
    <w:rsid w:val="00CB5F85"/>
    <w:rsid w:val="00CB6694"/>
    <w:rsid w:val="00CB76D0"/>
    <w:rsid w:val="00CD1794"/>
    <w:rsid w:val="00CF1BD1"/>
    <w:rsid w:val="00CF7DA4"/>
    <w:rsid w:val="00D121BA"/>
    <w:rsid w:val="00D1361F"/>
    <w:rsid w:val="00D17037"/>
    <w:rsid w:val="00D17919"/>
    <w:rsid w:val="00D21D64"/>
    <w:rsid w:val="00D22365"/>
    <w:rsid w:val="00D27558"/>
    <w:rsid w:val="00D46873"/>
    <w:rsid w:val="00D47A97"/>
    <w:rsid w:val="00D50B2A"/>
    <w:rsid w:val="00D522F4"/>
    <w:rsid w:val="00D52A28"/>
    <w:rsid w:val="00D62684"/>
    <w:rsid w:val="00D635F3"/>
    <w:rsid w:val="00D70188"/>
    <w:rsid w:val="00D80013"/>
    <w:rsid w:val="00D962C9"/>
    <w:rsid w:val="00DA19B6"/>
    <w:rsid w:val="00DA40C1"/>
    <w:rsid w:val="00DB0ED1"/>
    <w:rsid w:val="00DB2D76"/>
    <w:rsid w:val="00DB6FF3"/>
    <w:rsid w:val="00DD5789"/>
    <w:rsid w:val="00DD72FD"/>
    <w:rsid w:val="00DD7837"/>
    <w:rsid w:val="00DE4426"/>
    <w:rsid w:val="00DF1B76"/>
    <w:rsid w:val="00DF3007"/>
    <w:rsid w:val="00DF7334"/>
    <w:rsid w:val="00E07829"/>
    <w:rsid w:val="00E1462B"/>
    <w:rsid w:val="00E231F4"/>
    <w:rsid w:val="00E241ED"/>
    <w:rsid w:val="00E437F1"/>
    <w:rsid w:val="00E64634"/>
    <w:rsid w:val="00E77EFD"/>
    <w:rsid w:val="00E8004D"/>
    <w:rsid w:val="00E80837"/>
    <w:rsid w:val="00E8177B"/>
    <w:rsid w:val="00E82303"/>
    <w:rsid w:val="00E824DF"/>
    <w:rsid w:val="00E82697"/>
    <w:rsid w:val="00E834E9"/>
    <w:rsid w:val="00EB1A1A"/>
    <w:rsid w:val="00EB24FC"/>
    <w:rsid w:val="00EB26B0"/>
    <w:rsid w:val="00EB2B74"/>
    <w:rsid w:val="00EB3EA9"/>
    <w:rsid w:val="00EB4961"/>
    <w:rsid w:val="00EC7F07"/>
    <w:rsid w:val="00ED25F1"/>
    <w:rsid w:val="00EF0285"/>
    <w:rsid w:val="00EF0B27"/>
    <w:rsid w:val="00EF4F84"/>
    <w:rsid w:val="00F1102C"/>
    <w:rsid w:val="00F11B04"/>
    <w:rsid w:val="00F14F50"/>
    <w:rsid w:val="00F26394"/>
    <w:rsid w:val="00F2708F"/>
    <w:rsid w:val="00F36B92"/>
    <w:rsid w:val="00F47854"/>
    <w:rsid w:val="00F531C8"/>
    <w:rsid w:val="00F548B6"/>
    <w:rsid w:val="00F64000"/>
    <w:rsid w:val="00F6471F"/>
    <w:rsid w:val="00F64C61"/>
    <w:rsid w:val="00F830CE"/>
    <w:rsid w:val="00F83313"/>
    <w:rsid w:val="00F86D2A"/>
    <w:rsid w:val="00F973C0"/>
    <w:rsid w:val="00F97AC2"/>
    <w:rsid w:val="00FB4756"/>
    <w:rsid w:val="00FC0243"/>
    <w:rsid w:val="00FC1983"/>
    <w:rsid w:val="00FC556A"/>
    <w:rsid w:val="00FC5E76"/>
    <w:rsid w:val="00FC6275"/>
    <w:rsid w:val="00FD00A3"/>
    <w:rsid w:val="00FD0247"/>
    <w:rsid w:val="00FD47DA"/>
    <w:rsid w:val="00FD7E51"/>
    <w:rsid w:val="00FE2CCD"/>
    <w:rsid w:val="00FE5DAB"/>
    <w:rsid w:val="00FF01C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D78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0E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6820E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6820E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6820E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6820E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6820E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6820E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6820E1"/>
  </w:style>
  <w:style w:type="paragraph" w:customStyle="1" w:styleId="BulletText1">
    <w:name w:val="Bullet Text 1"/>
    <w:basedOn w:val="Normal"/>
    <w:rsid w:val="006820E1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6820E1"/>
    <w:pPr>
      <w:numPr>
        <w:numId w:val="3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820E1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6820E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820E1"/>
  </w:style>
  <w:style w:type="paragraph" w:styleId="Footer">
    <w:name w:val="footer"/>
    <w:basedOn w:val="Normal"/>
    <w:link w:val="Foot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rsid w:val="006820E1"/>
    <w:rPr>
      <w:szCs w:val="20"/>
    </w:rPr>
  </w:style>
  <w:style w:type="paragraph" w:customStyle="1" w:styleId="NoteText">
    <w:name w:val="Note Text"/>
    <w:basedOn w:val="Normal"/>
    <w:rsid w:val="006820E1"/>
    <w:rPr>
      <w:szCs w:val="20"/>
    </w:rPr>
  </w:style>
  <w:style w:type="paragraph" w:customStyle="1" w:styleId="TableHeaderText">
    <w:name w:val="Table Header Text"/>
    <w:basedOn w:val="Normal"/>
    <w:rsid w:val="006820E1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6820E1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6820E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20E1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6820E1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rsid w:val="006820E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6820E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820E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820E1"/>
    <w:rPr>
      <w:szCs w:val="20"/>
    </w:rPr>
  </w:style>
  <w:style w:type="character" w:styleId="Hyperlink">
    <w:name w:val="Hyperlink"/>
    <w:uiPriority w:val="99"/>
    <w:rsid w:val="006820E1"/>
    <w:rPr>
      <w:color w:val="0000FF"/>
      <w:u w:val="single"/>
    </w:rPr>
  </w:style>
  <w:style w:type="character" w:styleId="FollowedHyperlink">
    <w:name w:val="FollowedHyperlink"/>
    <w:rsid w:val="006820E1"/>
    <w:rPr>
      <w:color w:val="800080"/>
      <w:u w:val="single"/>
    </w:rPr>
  </w:style>
  <w:style w:type="paragraph" w:customStyle="1" w:styleId="BulletText3">
    <w:name w:val="Bullet Text 3"/>
    <w:basedOn w:val="Normal"/>
    <w:rsid w:val="006820E1"/>
    <w:pPr>
      <w:numPr>
        <w:numId w:val="2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6820E1"/>
  </w:style>
  <w:style w:type="paragraph" w:customStyle="1" w:styleId="IMTOC">
    <w:name w:val="IMTOC"/>
    <w:rsid w:val="006820E1"/>
    <w:rPr>
      <w:sz w:val="24"/>
    </w:rPr>
  </w:style>
  <w:style w:type="paragraph" w:styleId="BalloonText">
    <w:name w:val="Balloon Text"/>
    <w:basedOn w:val="Normal"/>
    <w:link w:val="BalloonTextChar"/>
    <w:rsid w:val="0068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6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682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820E1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6820E1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semiHidden/>
    <w:rsid w:val="00C67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78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78FC"/>
    <w:rPr>
      <w:b/>
      <w:bCs/>
    </w:rPr>
  </w:style>
  <w:style w:type="paragraph" w:styleId="ListParagraph">
    <w:name w:val="List Paragraph"/>
    <w:basedOn w:val="Normal"/>
    <w:uiPriority w:val="34"/>
    <w:qFormat/>
    <w:rsid w:val="006C184D"/>
    <w:pPr>
      <w:ind w:left="720"/>
      <w:contextualSpacing/>
    </w:pPr>
  </w:style>
  <w:style w:type="paragraph" w:styleId="Revision">
    <w:name w:val="Revision"/>
    <w:hidden/>
    <w:uiPriority w:val="99"/>
    <w:semiHidden/>
    <w:rsid w:val="00631A66"/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D0247"/>
    <w:rPr>
      <w:color w:val="000000"/>
    </w:rPr>
  </w:style>
  <w:style w:type="paragraph" w:styleId="NormalWeb">
    <w:name w:val="Normal (Web)"/>
    <w:basedOn w:val="Normal"/>
    <w:uiPriority w:val="99"/>
    <w:unhideWhenUsed/>
    <w:rsid w:val="007578E8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0E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6820E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6820E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6820E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6820E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6820E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6820E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6820E1"/>
  </w:style>
  <w:style w:type="paragraph" w:customStyle="1" w:styleId="BulletText1">
    <w:name w:val="Bullet Text 1"/>
    <w:basedOn w:val="Normal"/>
    <w:rsid w:val="006820E1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6820E1"/>
    <w:pPr>
      <w:numPr>
        <w:numId w:val="3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6820E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820E1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6820E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820E1"/>
  </w:style>
  <w:style w:type="paragraph" w:styleId="Footer">
    <w:name w:val="footer"/>
    <w:basedOn w:val="Normal"/>
    <w:link w:val="FooterChar"/>
    <w:rsid w:val="006820E1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rsid w:val="006820E1"/>
    <w:rPr>
      <w:szCs w:val="20"/>
    </w:rPr>
  </w:style>
  <w:style w:type="paragraph" w:customStyle="1" w:styleId="NoteText">
    <w:name w:val="Note Text"/>
    <w:basedOn w:val="Normal"/>
    <w:rsid w:val="006820E1"/>
    <w:rPr>
      <w:szCs w:val="20"/>
    </w:rPr>
  </w:style>
  <w:style w:type="paragraph" w:customStyle="1" w:styleId="TableHeaderText">
    <w:name w:val="Table Header Text"/>
    <w:basedOn w:val="Normal"/>
    <w:rsid w:val="006820E1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6820E1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6820E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820E1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6820E1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rsid w:val="006820E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6820E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820E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820E1"/>
    <w:rPr>
      <w:szCs w:val="20"/>
    </w:rPr>
  </w:style>
  <w:style w:type="character" w:styleId="Hyperlink">
    <w:name w:val="Hyperlink"/>
    <w:uiPriority w:val="99"/>
    <w:rsid w:val="006820E1"/>
    <w:rPr>
      <w:color w:val="0000FF"/>
      <w:u w:val="single"/>
    </w:rPr>
  </w:style>
  <w:style w:type="character" w:styleId="FollowedHyperlink">
    <w:name w:val="FollowedHyperlink"/>
    <w:rsid w:val="006820E1"/>
    <w:rPr>
      <w:color w:val="800080"/>
      <w:u w:val="single"/>
    </w:rPr>
  </w:style>
  <w:style w:type="paragraph" w:customStyle="1" w:styleId="BulletText3">
    <w:name w:val="Bullet Text 3"/>
    <w:basedOn w:val="Normal"/>
    <w:rsid w:val="006820E1"/>
    <w:pPr>
      <w:numPr>
        <w:numId w:val="2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6820E1"/>
  </w:style>
  <w:style w:type="paragraph" w:customStyle="1" w:styleId="IMTOC">
    <w:name w:val="IMTOC"/>
    <w:rsid w:val="006820E1"/>
    <w:rPr>
      <w:sz w:val="24"/>
    </w:rPr>
  </w:style>
  <w:style w:type="paragraph" w:styleId="BalloonText">
    <w:name w:val="Balloon Text"/>
    <w:basedOn w:val="Normal"/>
    <w:link w:val="BalloonTextChar"/>
    <w:rsid w:val="0068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86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682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820E1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6820E1"/>
    <w:rPr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semiHidden/>
    <w:rsid w:val="00C67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78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78FC"/>
    <w:rPr>
      <w:b/>
      <w:bCs/>
    </w:rPr>
  </w:style>
  <w:style w:type="paragraph" w:styleId="ListParagraph">
    <w:name w:val="List Paragraph"/>
    <w:basedOn w:val="Normal"/>
    <w:uiPriority w:val="34"/>
    <w:qFormat/>
    <w:rsid w:val="006C184D"/>
    <w:pPr>
      <w:ind w:left="720"/>
      <w:contextualSpacing/>
    </w:pPr>
  </w:style>
  <w:style w:type="paragraph" w:styleId="Revision">
    <w:name w:val="Revision"/>
    <w:hidden/>
    <w:uiPriority w:val="99"/>
    <w:semiHidden/>
    <w:rsid w:val="00631A66"/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D0247"/>
    <w:rPr>
      <w:color w:val="000000"/>
    </w:rPr>
  </w:style>
  <w:style w:type="paragraph" w:styleId="NormalWeb">
    <w:name w:val="Normal (Web)"/>
    <w:basedOn w:val="Normal"/>
    <w:uiPriority w:val="99"/>
    <w:unhideWhenUsed/>
    <w:rsid w:val="007578E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cfr.gov/cgi-bin/text-idx?SID=c8a9d8c42f99e567ddd918e370817379&amp;mc=true&amp;node=se38.1.3_1353&amp;rgn=div8" TargetMode="External"/><Relationship Id="rId18" Type="http://schemas.openxmlformats.org/officeDocument/2006/relationships/hyperlink" Target="http://www.ecfr.gov/cgi-bin/text-idx?SID=fd8d3f4d7e6a5698b75c2553ed05cab4&amp;mc=true&amp;node=se38.1.3_1356&amp;rgn=div8" TargetMode="External"/><Relationship Id="rId26" Type="http://schemas.openxmlformats.org/officeDocument/2006/relationships/hyperlink" Target="mailto:vbawa.hub@va.gov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ecfr.gov/cgi-bin/text-idx?SID=fd8d3f4d7e6a5698b75c2553ed05cab4&amp;mc=true&amp;node=se38.1.3_1655&amp;rgn=div8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cfr.gov/cgi-bin/text-idx?SID=fb2fa87e2740e7b548397ebe1093bf66&amp;node=se38.1.4_129&amp;rgn=div8" TargetMode="External"/><Relationship Id="rId25" Type="http://schemas.openxmlformats.org/officeDocument/2006/relationships/hyperlink" Target="mailto:ind.fidhub@va.gov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ecfr.gov/cgi-bin/text-idx?SID=fd8d3f4d7e6a5698b75c2553ed05cab4&amp;mc=true&amp;node=se38.1.3_1353&amp;rgn=div8" TargetMode="External"/><Relationship Id="rId20" Type="http://schemas.openxmlformats.org/officeDocument/2006/relationships/hyperlink" Target="http://www.ecfr.gov/cgi-bin/text-idx?SID=fd8d3f4d7e6a5698b75c2553ed05cab4&amp;mc=true&amp;node=se38.1.3_1353&amp;rgn=div8" TargetMode="External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vavbalin/ro/fidhub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ecfr.gov/cgi-bin/text-idx?SID=fd8d3f4d7e6a5698b75c2553ed05cab4&amp;mc=true&amp;node=se38.1.3_1353&amp;rgn=div8" TargetMode="External"/><Relationship Id="rId23" Type="http://schemas.openxmlformats.org/officeDocument/2006/relationships/hyperlink" Target="mailto:vavbalou/ro/fidhub" TargetMode="Externa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://www.ecfr.gov/cgi-bin/text-idx?SID=fd8d3f4d7e6a5698b75c2553ed05cab4&amp;mc=true&amp;node=se38.1.3_1353&amp;rgn=div8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ecfr.gov/cgi-bin/text-idx?SID=fd8d3f4d7e6a5698b75c2553ed05cab4&amp;mc=true&amp;node=se38.1.3_1353&amp;rgn=div8" TargetMode="External"/><Relationship Id="rId22" Type="http://schemas.openxmlformats.org/officeDocument/2006/relationships/hyperlink" Target="mailto:vavbacms/ro/fid@va.gov" TargetMode="External"/><Relationship Id="rId27" Type="http://schemas.openxmlformats.org/officeDocument/2006/relationships/hyperlink" Target="mailto:VAVBAMIW/RO/FidHub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0FC4-44E1-4CFA-B84B-05AABE7BE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2F924-B729-4C3A-A8D1-5E23A1A1B03A}">
  <ds:schemaRefs>
    <ds:schemaRef ds:uri="http://schemas.microsoft.com/office/infopath/2007/PartnerControls"/>
    <ds:schemaRef ds:uri="b438dcf7-3998-4283-b7fc-0ec6fa8e430f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02E8A3-F4E2-4F83-8FAA-79C2F750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58A61-8A31-4BDD-9D20-16C60661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556</TotalTime>
  <Pages>18</Pages>
  <Words>3716</Words>
  <Characters>23616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A. Evaluating Competency (U.S. Department of Veterans Affairs)</vt:lpstr>
    </vt:vector>
  </TitlesOfParts>
  <Company>Department of Veterans Affairs (VA)</Company>
  <LinksUpToDate>false</LinksUpToDate>
  <CharactersWithSpaces>27278</CharactersWithSpaces>
  <SharedDoc>false</SharedDoc>
  <HLinks>
    <vt:vector size="144" baseType="variant">
      <vt:variant>
        <vt:i4>6684756</vt:i4>
      </vt:variant>
      <vt:variant>
        <vt:i4>99</vt:i4>
      </vt:variant>
      <vt:variant>
        <vt:i4>0</vt:i4>
      </vt:variant>
      <vt:variant>
        <vt:i4>5</vt:i4>
      </vt:variant>
      <vt:variant>
        <vt:lpwstr>http://www.warms.vba.va.gov/admin21/m21_1/part5/ch13.doc</vt:lpwstr>
      </vt:variant>
      <vt:variant>
        <vt:lpwstr/>
      </vt:variant>
      <vt:variant>
        <vt:i4>7143550</vt:i4>
      </vt:variant>
      <vt:variant>
        <vt:i4>87</vt:i4>
      </vt:variant>
      <vt:variant>
        <vt:i4>0</vt:i4>
      </vt:variant>
      <vt:variant>
        <vt:i4>5</vt:i4>
      </vt:variant>
      <vt:variant>
        <vt:lpwstr>http://vbaw.vba.va.gov/bl/21/M21-1MR/index.asp?id=pt03_sp03_ch07.xml</vt:lpwstr>
      </vt:variant>
      <vt:variant>
        <vt:lpwstr/>
      </vt:variant>
      <vt:variant>
        <vt:i4>6291523</vt:i4>
      </vt:variant>
      <vt:variant>
        <vt:i4>84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6488148</vt:i4>
      </vt:variant>
      <vt:variant>
        <vt:i4>78</vt:i4>
      </vt:variant>
      <vt:variant>
        <vt:i4>0</vt:i4>
      </vt:variant>
      <vt:variant>
        <vt:i4>5</vt:i4>
      </vt:variant>
      <vt:variant>
        <vt:lpwstr>http://vbaw.vba.va.gov/bl/21/M21-1MR/index.asp?id=pt03_sp05_ch09_secB.xml</vt:lpwstr>
      </vt:variant>
      <vt:variant>
        <vt:lpwstr>III.v.9.B</vt:lpwstr>
      </vt:variant>
      <vt:variant>
        <vt:i4>131172</vt:i4>
      </vt:variant>
      <vt:variant>
        <vt:i4>75</vt:i4>
      </vt:variant>
      <vt:variant>
        <vt:i4>0</vt:i4>
      </vt:variant>
      <vt:variant>
        <vt:i4>5</vt:i4>
      </vt:variant>
      <vt:variant>
        <vt:lpwstr>http://www.benefits.va.gov/warms/docs/regs/38CFR/BOOKB/PART3/S3_400.DOC</vt:lpwstr>
      </vt:variant>
      <vt:variant>
        <vt:lpwstr/>
      </vt:variant>
      <vt:variant>
        <vt:i4>4784207</vt:i4>
      </vt:variant>
      <vt:variant>
        <vt:i4>66</vt:i4>
      </vt:variant>
      <vt:variant>
        <vt:i4>0</vt:i4>
      </vt:variant>
      <vt:variant>
        <vt:i4>5</vt:i4>
      </vt:variant>
      <vt:variant>
        <vt:lpwstr>imi-internal:M21-1MRI.2.C.11</vt:lpwstr>
      </vt:variant>
      <vt:variant>
        <vt:lpwstr/>
      </vt:variant>
      <vt:variant>
        <vt:i4>5636167</vt:i4>
      </vt:variant>
      <vt:variant>
        <vt:i4>63</vt:i4>
      </vt:variant>
      <vt:variant>
        <vt:i4>0</vt:i4>
      </vt:variant>
      <vt:variant>
        <vt:i4>5</vt:i4>
      </vt:variant>
      <vt:variant>
        <vt:lpwstr>imi-internal:M21-1MRI.2.C.9.d</vt:lpwstr>
      </vt:variant>
      <vt:variant>
        <vt:lpwstr/>
      </vt:variant>
      <vt:variant>
        <vt:i4>8060988</vt:i4>
      </vt:variant>
      <vt:variant>
        <vt:i4>54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8060988</vt:i4>
      </vt:variant>
      <vt:variant>
        <vt:i4>51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5570569</vt:i4>
      </vt:variant>
      <vt:variant>
        <vt:i4>48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III.v.9.B.5.f</vt:lpwstr>
      </vt:variant>
      <vt:variant>
        <vt:i4>5570569</vt:i4>
      </vt:variant>
      <vt:variant>
        <vt:i4>45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III.v.9.B.5.g</vt:lpwstr>
      </vt:variant>
      <vt:variant>
        <vt:i4>6291523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8060988</vt:i4>
      </vt:variant>
      <vt:variant>
        <vt:i4>39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6291526</vt:i4>
      </vt:variant>
      <vt:variant>
        <vt:i4>36</vt:i4>
      </vt:variant>
      <vt:variant>
        <vt:i4>0</vt:i4>
      </vt:variant>
      <vt:variant>
        <vt:i4>5</vt:i4>
      </vt:variant>
      <vt:variant>
        <vt:lpwstr>http://www.warms.vba.va.gov/regs/38CFR/BOOKB/PART3/S3_356.DOC</vt:lpwstr>
      </vt:variant>
      <vt:variant>
        <vt:lpwstr/>
      </vt:variant>
      <vt:variant>
        <vt:i4>8060988</vt:i4>
      </vt:variant>
      <vt:variant>
        <vt:i4>33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III.v.9.B.6</vt:lpwstr>
      </vt:variant>
      <vt:variant>
        <vt:i4>5701638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imi-internal:M21-1MRIV.ii.2.J.60</vt:lpwstr>
      </vt:variant>
      <vt:variant>
        <vt:lpwstr/>
      </vt:variant>
      <vt:variant>
        <vt:i4>4915312</vt:i4>
      </vt:variant>
      <vt:variant>
        <vt:i4>24</vt:i4>
      </vt:variant>
      <vt:variant>
        <vt:i4>0</vt:i4>
      </vt:variant>
      <vt:variant>
        <vt:i4>5</vt:i4>
      </vt:variant>
      <vt:variant>
        <vt:lpwstr>http://www.benefits.va.gov/warms/docs/regs/38CFR/BOOKC/PART4/S4_29.DOC</vt:lpwstr>
      </vt:variant>
      <vt:variant>
        <vt:lpwstr/>
      </vt:variant>
      <vt:variant>
        <vt:i4>1</vt:i4>
      </vt:variant>
      <vt:variant>
        <vt:i4>21</vt:i4>
      </vt:variant>
      <vt:variant>
        <vt:i4>0</vt:i4>
      </vt:variant>
      <vt:variant>
        <vt:i4>5</vt:i4>
      </vt:variant>
      <vt:variant>
        <vt:lpwstr>imi-internal:M21-1MRIII.iv.6.B.3</vt:lpwstr>
      </vt:variant>
      <vt:variant>
        <vt:lpwstr/>
      </vt:variant>
      <vt:variant>
        <vt:i4>4915312</vt:i4>
      </vt:variant>
      <vt:variant>
        <vt:i4>18</vt:i4>
      </vt:variant>
      <vt:variant>
        <vt:i4>0</vt:i4>
      </vt:variant>
      <vt:variant>
        <vt:i4>5</vt:i4>
      </vt:variant>
      <vt:variant>
        <vt:lpwstr>http://www.benefits.va.gov/warms/docs/regs/38CFR/BOOKC/PART4/S4_29.DOC</vt:lpwstr>
      </vt:variant>
      <vt:variant>
        <vt:lpwstr/>
      </vt:variant>
      <vt:variant>
        <vt:i4>5570654</vt:i4>
      </vt:variant>
      <vt:variant>
        <vt:i4>15</vt:i4>
      </vt:variant>
      <vt:variant>
        <vt:i4>0</vt:i4>
      </vt:variant>
      <vt:variant>
        <vt:i4>5</vt:i4>
      </vt:variant>
      <vt:variant>
        <vt:lpwstr>http://www.benefits.va.gov/WARMS/docs/admin21/m21_1/mr/part3/subptiv/ch08/pt03_sp05_ch09_secB.xml</vt:lpwstr>
      </vt:variant>
      <vt:variant>
        <vt:lpwstr>III.v.9.B</vt:lpwstr>
      </vt:variant>
      <vt:variant>
        <vt:i4>6291523</vt:i4>
      </vt:variant>
      <vt:variant>
        <vt:i4>12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6291523</vt:i4>
      </vt:variant>
      <vt:variant>
        <vt:i4>6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http://www.warms.vba.va.gov/regs/38CFR/BOOKB/PART3/S3_353.DOC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pt3_spv_ch9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A. Evaluating Competency (U.S. Department of Veterans Affairs)</dc:title>
  <dc:subject>Evaluating Competency</dc:subject>
  <dc:creator>Department of Veterans Affairs</dc:creator>
  <cp:keywords>competency, guidelines, evidence, process, determinations, status, changing, changes, special, circumstances, subordinate, inferred, inferring, mental, timeliness</cp:keywords>
  <dc:description>Topics on competency including guidelines, competency as a subordinate issues, the process of making competency determinations, changing competency status, special circumstances, timeliness</dc:description>
  <cp:lastModifiedBy>Department of Veterans Affairs</cp:lastModifiedBy>
  <cp:revision>13</cp:revision>
  <cp:lastPrinted>2012-06-05T14:23:00Z</cp:lastPrinted>
  <dcterms:created xsi:type="dcterms:W3CDTF">2015-12-10T18:22:00Z</dcterms:created>
  <dcterms:modified xsi:type="dcterms:W3CDTF">2016-01-21T14:00:00Z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2003</vt:lpwstr>
  </property>
  <property fmtid="{D5CDD505-2E9C-101B-9397-08002B2CF9AE}" pid="3" name="DateReviewed">
    <vt:lpwstr>20140709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Affairs, Veterans Benefits Administration, Compensation Service, Procedures</vt:lpwstr>
  </property>
  <property fmtid="{D5CDD505-2E9C-101B-9397-08002B2CF9AE}" pid="7" name="ContentTypeId">
    <vt:lpwstr>0x010100A3776AF772BF364D8E899CBB1EA8E540</vt:lpwstr>
  </property>
  <property fmtid="{D5CDD505-2E9C-101B-9397-08002B2CF9AE}" pid="8" name="Order0">
    <vt:r8>1</vt:r8>
  </property>
</Properties>
</file>