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B0" w:rsidRPr="00A25418" w:rsidRDefault="00127EB0" w:rsidP="00162DDD">
      <w:pPr>
        <w:pStyle w:val="Heading3"/>
      </w:pPr>
      <w:bookmarkStart w:id="0" w:name="_GoBack"/>
      <w:bookmarkEnd w:id="0"/>
      <w:r w:rsidRPr="00A25418">
        <w:t>Section E.  Other Due Process Concerns</w:t>
      </w:r>
    </w:p>
    <w:p w:rsidR="00A643FD" w:rsidRPr="00A25418" w:rsidRDefault="00A643FD" w:rsidP="00162DDD">
      <w:pPr>
        <w:pStyle w:val="Heading4"/>
      </w:pPr>
      <w:r w:rsidRPr="00A25418">
        <w:t>Overview</w:t>
      </w:r>
    </w:p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FB1DA1">
            <w:pPr>
              <w:pStyle w:val="Heading5"/>
            </w:pPr>
            <w:r w:rsidRPr="00A25418">
              <w:t xml:space="preserve">In </w:t>
            </w:r>
            <w:r w:rsidR="00FB1DA1" w:rsidRPr="00A25418">
              <w:t>T</w:t>
            </w:r>
            <w:r w:rsidRPr="00A25418">
              <w:t>his Section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>This section contains the following topics:</w:t>
            </w:r>
          </w:p>
        </w:tc>
      </w:tr>
    </w:tbl>
    <w:p w:rsidR="00A643FD" w:rsidRPr="00A25418" w:rsidRDefault="00A643FD" w:rsidP="00A643FD"/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96"/>
        <w:gridCol w:w="6344"/>
      </w:tblGrid>
      <w:tr w:rsidR="005E7207" w:rsidRPr="00A25418" w:rsidTr="00162DDD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07" w:rsidRPr="00A25418" w:rsidRDefault="005E7207" w:rsidP="00522D5E">
            <w:pPr>
              <w:pStyle w:val="TableHeaderText"/>
              <w:rPr>
                <w:szCs w:val="24"/>
              </w:rPr>
            </w:pPr>
            <w:r w:rsidRPr="00A25418">
              <w:rPr>
                <w:szCs w:val="24"/>
              </w:rPr>
              <w:t>Topic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07" w:rsidRPr="00A25418" w:rsidRDefault="005E7207" w:rsidP="00522D5E">
            <w:pPr>
              <w:pStyle w:val="TableHeaderText"/>
              <w:rPr>
                <w:szCs w:val="24"/>
              </w:rPr>
            </w:pPr>
            <w:r w:rsidRPr="00A25418">
              <w:rPr>
                <w:szCs w:val="24"/>
              </w:rPr>
              <w:t>Topic Name</w:t>
            </w:r>
          </w:p>
        </w:tc>
      </w:tr>
      <w:tr w:rsidR="005E7207" w:rsidRPr="00A25418" w:rsidTr="00162DDD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07" w:rsidRPr="00A25418" w:rsidRDefault="005E7207" w:rsidP="00162DDD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>1 (old 16)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07" w:rsidRPr="00A25418" w:rsidRDefault="005E7207" w:rsidP="00522D5E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>Failure to Report for Examination Under 38 CFR 3.655</w:t>
            </w:r>
            <w:r w:rsidR="00284913" w:rsidRPr="00A25418">
              <w:rPr>
                <w:szCs w:val="24"/>
              </w:rPr>
              <w:t>(c)</w:t>
            </w:r>
          </w:p>
        </w:tc>
      </w:tr>
      <w:tr w:rsidR="005E7207" w:rsidRPr="00A25418" w:rsidTr="00162DDD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07" w:rsidRPr="00A25418" w:rsidRDefault="005E7207" w:rsidP="00162DDD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 xml:space="preserve">2 (old </w:t>
            </w:r>
            <w:r w:rsidR="00701453" w:rsidRPr="00A25418">
              <w:rPr>
                <w:szCs w:val="24"/>
              </w:rPr>
              <w:t>17</w:t>
            </w:r>
            <w:r w:rsidRPr="00A25418">
              <w:rPr>
                <w:szCs w:val="24"/>
              </w:rPr>
              <w:t>)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07" w:rsidRPr="00A25418" w:rsidRDefault="005E7207" w:rsidP="00522D5E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>Severance of Service Connection</w:t>
            </w:r>
          </w:p>
        </w:tc>
      </w:tr>
      <w:tr w:rsidR="005E7207" w:rsidRPr="00A25418" w:rsidTr="00162DDD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07" w:rsidRPr="00A25418" w:rsidRDefault="005E7207" w:rsidP="00065B80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 xml:space="preserve">3 (old </w:t>
            </w:r>
            <w:r w:rsidR="00701453" w:rsidRPr="00A25418">
              <w:rPr>
                <w:szCs w:val="24"/>
              </w:rPr>
              <w:t>18</w:t>
            </w:r>
            <w:r w:rsidR="00065B80" w:rsidRPr="00A25418">
              <w:rPr>
                <w:rStyle w:val="Hyperlink"/>
                <w:color w:val="auto"/>
                <w:szCs w:val="24"/>
                <w:u w:val="none"/>
              </w:rPr>
              <w:t>)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07" w:rsidRPr="00A25418" w:rsidRDefault="005E7207" w:rsidP="00522D5E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>Reversal of Prior Determinations Related to Character of Discharge, Line of Duty, or Willful Misconduct.</w:t>
            </w:r>
          </w:p>
        </w:tc>
      </w:tr>
    </w:tbl>
    <w:p w:rsidR="00A643FD" w:rsidRPr="00A25418" w:rsidRDefault="00A643FD" w:rsidP="00A643FD">
      <w:pPr>
        <w:pStyle w:val="BlockLine"/>
      </w:pPr>
    </w:p>
    <w:p w:rsidR="00EE7F89" w:rsidRPr="00A25418" w:rsidRDefault="00EE7F89">
      <w:pPr>
        <w:rPr>
          <w:rFonts w:ascii="Arial" w:hAnsi="Arial" w:cs="Arial"/>
          <w:b/>
          <w:sz w:val="32"/>
          <w:szCs w:val="20"/>
        </w:rPr>
      </w:pPr>
      <w:r w:rsidRPr="00A25418">
        <w:br w:type="page"/>
      </w:r>
    </w:p>
    <w:p w:rsidR="00A643FD" w:rsidRPr="00A25418" w:rsidRDefault="004E435C" w:rsidP="00A643FD">
      <w:pPr>
        <w:pStyle w:val="Heading4"/>
      </w:pPr>
      <w:r w:rsidRPr="00A25418">
        <w:lastRenderedPageBreak/>
        <w:t>1</w:t>
      </w:r>
      <w:r w:rsidR="00A643FD" w:rsidRPr="00A25418">
        <w:t xml:space="preserve">.  </w:t>
      </w:r>
      <w:bookmarkStart w:id="1" w:name="Topic16"/>
      <w:bookmarkEnd w:id="1"/>
      <w:r w:rsidR="00A643FD" w:rsidRPr="00A25418">
        <w:t>Failure to Report f</w:t>
      </w:r>
      <w:r w:rsidR="00531CEB" w:rsidRPr="00A25418">
        <w:t>or Examination Under 38 CFR</w:t>
      </w:r>
      <w:r w:rsidR="00A643FD" w:rsidRPr="00A25418">
        <w:t xml:space="preserve"> 3.655</w:t>
      </w:r>
      <w:r w:rsidR="00284913" w:rsidRPr="00A25418">
        <w:t>(c)</w:t>
      </w:r>
    </w:p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065B80"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r w:rsidRPr="00A25418">
              <w:t>Introduction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 xml:space="preserve">This topic contains information about </w:t>
            </w:r>
          </w:p>
          <w:p w:rsidR="00065B80" w:rsidRPr="00A25418" w:rsidRDefault="00065B80" w:rsidP="00065B80">
            <w:pPr>
              <w:pStyle w:val="BulletText1"/>
              <w:numPr>
                <w:ilvl w:val="0"/>
                <w:numId w:val="0"/>
              </w:numPr>
              <w:rPr>
                <w:szCs w:val="24"/>
              </w:rPr>
            </w:pPr>
          </w:p>
          <w:p w:rsidR="00A643FD" w:rsidRPr="00A25418" w:rsidRDefault="0076040D" w:rsidP="00065B80">
            <w:pPr>
              <w:pStyle w:val="BulletText1"/>
            </w:pPr>
            <w:r w:rsidRPr="00A25418">
              <w:t>handling failure to report for an examination</w:t>
            </w:r>
            <w:r w:rsidR="00284913" w:rsidRPr="00A25418">
              <w:t xml:space="preserve"> on continuing entitlement</w:t>
            </w:r>
          </w:p>
          <w:p w:rsidR="00A643FD" w:rsidRPr="00A25418" w:rsidRDefault="0076040D" w:rsidP="00522D5E">
            <w:pPr>
              <w:pStyle w:val="BulletText1"/>
            </w:pPr>
            <w:r w:rsidRPr="00A25418">
              <w:t>addressing</w:t>
            </w:r>
            <w:r w:rsidR="00065B80" w:rsidRPr="00A25418">
              <w:t xml:space="preserve"> </w:t>
            </w:r>
            <w:r w:rsidRPr="00A25418">
              <w:t xml:space="preserve">absence of good cause </w:t>
            </w:r>
            <w:r w:rsidR="00BA3B57" w:rsidRPr="00A25418">
              <w:t>in the rating decision</w:t>
            </w:r>
          </w:p>
          <w:p w:rsidR="00BA3B57" w:rsidRPr="00A25418" w:rsidRDefault="00BA3B57" w:rsidP="00BA3B57">
            <w:pPr>
              <w:pStyle w:val="BulletText1"/>
            </w:pPr>
            <w:r w:rsidRPr="00A25418">
              <w:t>addressing the issue of</w:t>
            </w:r>
            <w:r w:rsidR="00065B80" w:rsidRPr="00A25418">
              <w:t xml:space="preserve"> </w:t>
            </w:r>
            <w:r w:rsidRPr="00A25418">
              <w:t>static disabilities in the rating decision</w:t>
            </w:r>
            <w:r w:rsidR="00065B80" w:rsidRPr="00A25418">
              <w:t xml:space="preserve"> </w:t>
            </w:r>
          </w:p>
          <w:p w:rsidR="00BA3B57" w:rsidRPr="00A25418" w:rsidRDefault="00BA3B57" w:rsidP="00BA3B57">
            <w:pPr>
              <w:pStyle w:val="BulletText1"/>
            </w:pPr>
            <w:r w:rsidRPr="00A25418">
              <w:t>rating considerations for the proposed decision</w:t>
            </w:r>
          </w:p>
          <w:p w:rsidR="00BA3B57" w:rsidRPr="00A25418" w:rsidRDefault="00BA3B57" w:rsidP="00BA3B57">
            <w:pPr>
              <w:pStyle w:val="BulletText1"/>
            </w:pPr>
            <w:r w:rsidRPr="00A25418">
              <w:t>possible scenarios after the proposed decision is sent out</w:t>
            </w:r>
          </w:p>
          <w:p w:rsidR="00BA3B57" w:rsidRPr="00A25418" w:rsidRDefault="00BA3B57" w:rsidP="00BA3B57">
            <w:pPr>
              <w:pStyle w:val="BulletText1"/>
            </w:pPr>
            <w:r w:rsidRPr="00A25418">
              <w:t>finalizing the proposed rating action, and</w:t>
            </w:r>
          </w:p>
          <w:p w:rsidR="00A643FD" w:rsidRPr="00A25418" w:rsidRDefault="0076040D" w:rsidP="008313D8">
            <w:pPr>
              <w:pStyle w:val="BulletText1"/>
            </w:pPr>
            <w:proofErr w:type="gramStart"/>
            <w:r w:rsidRPr="00A25418">
              <w:t>handling</w:t>
            </w:r>
            <w:proofErr w:type="gramEnd"/>
            <w:r w:rsidRPr="00A25418">
              <w:t xml:space="preserve"> failure to report for examination by a Veteran receiving pension</w:t>
            </w:r>
            <w:r w:rsidR="00A643FD" w:rsidRPr="00A25418">
              <w:t>.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B15C8" w:rsidRPr="00A25418" w:rsidTr="000D684A">
        <w:trPr>
          <w:cantSplit/>
        </w:trPr>
        <w:tc>
          <w:tcPr>
            <w:tcW w:w="1728" w:type="dxa"/>
          </w:tcPr>
          <w:p w:rsidR="000B15C8" w:rsidRPr="00A25418" w:rsidRDefault="000B15C8" w:rsidP="000D684A">
            <w:pPr>
              <w:pStyle w:val="Heading5"/>
            </w:pPr>
            <w:r w:rsidRPr="00A25418">
              <w:t>Change Date</w:t>
            </w:r>
          </w:p>
        </w:tc>
        <w:tc>
          <w:tcPr>
            <w:tcW w:w="7740" w:type="dxa"/>
          </w:tcPr>
          <w:p w:rsidR="000B15C8" w:rsidRPr="00A25418" w:rsidRDefault="00A574AA" w:rsidP="000D684A">
            <w:pPr>
              <w:pStyle w:val="BlockText"/>
            </w:pPr>
            <w:r w:rsidRPr="00A25418">
              <w:t>May 20, 2015</w:t>
            </w:r>
          </w:p>
        </w:tc>
      </w:tr>
    </w:tbl>
    <w:p w:rsidR="000B15C8" w:rsidRPr="00A25418" w:rsidRDefault="000B15C8" w:rsidP="0031647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0B7648">
        <w:tc>
          <w:tcPr>
            <w:tcW w:w="1728" w:type="dxa"/>
          </w:tcPr>
          <w:p w:rsidR="00A643FD" w:rsidRPr="00A25418" w:rsidRDefault="00A643FD" w:rsidP="00284913">
            <w:pPr>
              <w:pStyle w:val="Heading5"/>
            </w:pPr>
            <w:proofErr w:type="gramStart"/>
            <w:r w:rsidRPr="00A25418">
              <w:t xml:space="preserve">a.  </w:t>
            </w:r>
            <w:bookmarkStart w:id="2" w:name="a16"/>
            <w:bookmarkEnd w:id="2"/>
            <w:r w:rsidRPr="00A25418">
              <w:t>Handling</w:t>
            </w:r>
            <w:proofErr w:type="gramEnd"/>
            <w:r w:rsidRPr="00A25418">
              <w:t xml:space="preserve"> Failure to Report for</w:t>
            </w:r>
            <w:r w:rsidR="00701453" w:rsidRPr="00A25418">
              <w:t xml:space="preserve"> an</w:t>
            </w:r>
            <w:r w:rsidRPr="00A25418">
              <w:t xml:space="preserve"> Examination </w:t>
            </w:r>
            <w:r w:rsidR="00284913" w:rsidRPr="00A25418">
              <w:t>on Continuing Entitlement</w:t>
            </w:r>
          </w:p>
        </w:tc>
        <w:tc>
          <w:tcPr>
            <w:tcW w:w="7740" w:type="dxa"/>
          </w:tcPr>
          <w:p w:rsidR="000D684A" w:rsidRPr="00A25418" w:rsidRDefault="00734683" w:rsidP="00522D5E">
            <w:pPr>
              <w:pStyle w:val="BlockText"/>
            </w:pPr>
            <w:r w:rsidRPr="00A25418">
              <w:t>Under</w:t>
            </w:r>
            <w:r w:rsidR="008313D8" w:rsidRPr="00A25418">
              <w:t xml:space="preserve"> </w:t>
            </w:r>
            <w:hyperlink r:id="rId13" w:history="1">
              <w:r w:rsidR="008313D8" w:rsidRPr="00A25418">
                <w:rPr>
                  <w:rStyle w:val="Hyperlink"/>
                </w:rPr>
                <w:t>38 CFR 3.655(c</w:t>
              </w:r>
              <w:proofErr w:type="gramStart"/>
              <w:r w:rsidR="008313D8" w:rsidRPr="00A25418">
                <w:rPr>
                  <w:rStyle w:val="Hyperlink"/>
                </w:rPr>
                <w:t>)(</w:t>
              </w:r>
              <w:proofErr w:type="gramEnd"/>
              <w:r w:rsidR="008313D8" w:rsidRPr="00A25418">
                <w:rPr>
                  <w:rStyle w:val="Hyperlink"/>
                </w:rPr>
                <w:t>2)</w:t>
              </w:r>
            </w:hyperlink>
            <w:r w:rsidRPr="00A25418">
              <w:t xml:space="preserve">, </w:t>
            </w:r>
            <w:r w:rsidR="00CC541E" w:rsidRPr="00A25418">
              <w:t xml:space="preserve">reduction or termination of VA benefits is for consideration when a Veteran fails to report </w:t>
            </w:r>
            <w:r w:rsidR="00B07077" w:rsidRPr="00A25418">
              <w:t xml:space="preserve">without good cause </w:t>
            </w:r>
            <w:r w:rsidR="00CC541E" w:rsidRPr="00A25418">
              <w:t>for a reexamination on an issue of continued entitlement</w:t>
            </w:r>
            <w:r w:rsidR="0076040D" w:rsidRPr="00A25418">
              <w:t xml:space="preserve"> to a benefit</w:t>
            </w:r>
            <w:r w:rsidR="00CC541E" w:rsidRPr="00A25418">
              <w:t xml:space="preserve">.  </w:t>
            </w:r>
          </w:p>
          <w:p w:rsidR="000D684A" w:rsidRPr="00A25418" w:rsidRDefault="000D684A" w:rsidP="00522D5E">
            <w:pPr>
              <w:pStyle w:val="BlockText"/>
            </w:pPr>
          </w:p>
          <w:p w:rsidR="0076040D" w:rsidRPr="00A25418" w:rsidRDefault="0076040D" w:rsidP="00522D5E">
            <w:pPr>
              <w:pStyle w:val="BlockText"/>
            </w:pPr>
            <w:r w:rsidRPr="00A25418">
              <w:rPr>
                <w:b/>
                <w:i/>
              </w:rPr>
              <w:t>Example</w:t>
            </w:r>
            <w:r w:rsidRPr="00A25418">
              <w:t xml:space="preserve">:  </w:t>
            </w:r>
            <w:r w:rsidR="000B7648" w:rsidRPr="00A25418">
              <w:t xml:space="preserve">The Veterans fails to report without good cause for a routine future examination scheduled to assess improvement in a service connected </w:t>
            </w:r>
            <w:r w:rsidR="000F4A02" w:rsidRPr="00A25418">
              <w:t xml:space="preserve">(SC) </w:t>
            </w:r>
            <w:r w:rsidR="000B7648" w:rsidRPr="00A25418">
              <w:t xml:space="preserve">back strain. </w:t>
            </w:r>
          </w:p>
          <w:p w:rsidR="000B7648" w:rsidRPr="00A25418" w:rsidRDefault="000B7648" w:rsidP="00522D5E">
            <w:pPr>
              <w:pStyle w:val="BlockText"/>
            </w:pPr>
          </w:p>
          <w:p w:rsidR="000B7648" w:rsidRPr="00A25418" w:rsidRDefault="00502ACA" w:rsidP="00522D5E">
            <w:pPr>
              <w:pStyle w:val="BlockText"/>
            </w:pPr>
            <w:r w:rsidRPr="00A25418">
              <w:t>However</w:t>
            </w:r>
            <w:r w:rsidR="000E286D" w:rsidRPr="00A25418">
              <w:t>,</w:t>
            </w:r>
            <w:r w:rsidRPr="00A25418">
              <w:t xml:space="preserve"> the regulation </w:t>
            </w:r>
            <w:r w:rsidR="00980452" w:rsidRPr="00A25418">
              <w:t xml:space="preserve">requires </w:t>
            </w:r>
            <w:r w:rsidRPr="00A25418">
              <w:t xml:space="preserve">due process </w:t>
            </w:r>
            <w:r w:rsidR="00980452" w:rsidRPr="00A25418">
              <w:t xml:space="preserve">before </w:t>
            </w:r>
            <w:r w:rsidRPr="00A25418">
              <w:t xml:space="preserve">finalizing adverse action.  </w:t>
            </w:r>
            <w:r w:rsidR="000B7648" w:rsidRPr="00A25418">
              <w:t>This includes:</w:t>
            </w:r>
          </w:p>
          <w:p w:rsidR="000B7648" w:rsidRPr="00A25418" w:rsidRDefault="000E286D" w:rsidP="000B7648">
            <w:pPr>
              <w:pStyle w:val="BulletText1"/>
            </w:pPr>
            <w:r w:rsidRPr="00A25418">
              <w:t xml:space="preserve">a </w:t>
            </w:r>
            <w:r w:rsidR="000B7648" w:rsidRPr="00A25418">
              <w:t>notice</w:t>
            </w:r>
            <w:r w:rsidRPr="00A25418">
              <w:t xml:space="preserve"> of proposed action</w:t>
            </w:r>
          </w:p>
          <w:p w:rsidR="000B7648" w:rsidRPr="00A25418" w:rsidRDefault="000B7648" w:rsidP="000B7648">
            <w:pPr>
              <w:pStyle w:val="BulletText1"/>
            </w:pPr>
            <w:r w:rsidRPr="00A25418">
              <w:t xml:space="preserve">a 60 day period to indicate willingness to report for a reexamination or to present evidence that payment for the disability </w:t>
            </w:r>
            <w:r w:rsidR="00FB1DA1" w:rsidRPr="00A25418">
              <w:t>(</w:t>
            </w:r>
            <w:r w:rsidRPr="00A25418">
              <w:t>or disabilities</w:t>
            </w:r>
            <w:r w:rsidR="00FB1DA1" w:rsidRPr="00A25418">
              <w:t>)</w:t>
            </w:r>
            <w:r w:rsidRPr="00A25418">
              <w:t xml:space="preserve"> for which the reexamination was scheduled should not be discontinued or reduced, and</w:t>
            </w:r>
          </w:p>
          <w:p w:rsidR="00734683" w:rsidRPr="00A25418" w:rsidRDefault="000B7648" w:rsidP="000B7648">
            <w:pPr>
              <w:pStyle w:val="BulletText1"/>
            </w:pPr>
            <w:proofErr w:type="gramStart"/>
            <w:r w:rsidRPr="00A25418">
              <w:t>the</w:t>
            </w:r>
            <w:proofErr w:type="gramEnd"/>
            <w:r w:rsidRPr="00A25418">
              <w:t xml:space="preserve"> opportunity to request a hearing.</w:t>
            </w:r>
          </w:p>
          <w:p w:rsidR="00CC541E" w:rsidRPr="00A25418" w:rsidRDefault="00CC541E" w:rsidP="00522D5E">
            <w:pPr>
              <w:pStyle w:val="BlockText"/>
            </w:pPr>
          </w:p>
          <w:p w:rsidR="00980452" w:rsidRPr="00A25418" w:rsidRDefault="000B7648" w:rsidP="00980452">
            <w:pPr>
              <w:pStyle w:val="BlockText"/>
            </w:pPr>
            <w:r w:rsidRPr="00A25418">
              <w:rPr>
                <w:b/>
                <w:i/>
              </w:rPr>
              <w:t>Important</w:t>
            </w:r>
            <w:r w:rsidRPr="00A25418">
              <w:t xml:space="preserve">: </w:t>
            </w:r>
            <w:r w:rsidR="00CC541E" w:rsidRPr="00A25418">
              <w:t xml:space="preserve">Prior to </w:t>
            </w:r>
            <w:r w:rsidR="00AF1563" w:rsidRPr="00A25418">
              <w:t>initiating action</w:t>
            </w:r>
            <w:r w:rsidR="00462248" w:rsidRPr="00A25418">
              <w:t>, ensure that</w:t>
            </w:r>
          </w:p>
          <w:p w:rsidR="00980452" w:rsidRPr="00A25418" w:rsidRDefault="00462248" w:rsidP="00316471">
            <w:pPr>
              <w:pStyle w:val="BulletText1"/>
            </w:pPr>
            <w:r w:rsidRPr="00A25418">
              <w:t>good cause was not furnished as a reason for failing to report</w:t>
            </w:r>
            <w:r w:rsidR="000B7648" w:rsidRPr="00A25418">
              <w:t>, and</w:t>
            </w:r>
            <w:r w:rsidR="00980452" w:rsidRPr="00A25418">
              <w:t xml:space="preserve"> </w:t>
            </w:r>
          </w:p>
          <w:p w:rsidR="000B7648" w:rsidRPr="00A25418" w:rsidRDefault="00462248" w:rsidP="00316471">
            <w:pPr>
              <w:pStyle w:val="BulletText1"/>
            </w:pPr>
            <w:r w:rsidRPr="00A25418">
              <w:t xml:space="preserve">the disability scheduled for reexamination </w:t>
            </w:r>
          </w:p>
          <w:p w:rsidR="00462248" w:rsidRPr="00A25418" w:rsidRDefault="00462248" w:rsidP="00980452">
            <w:pPr>
              <w:pStyle w:val="BulletText2"/>
            </w:pPr>
            <w:r w:rsidRPr="00A25418">
              <w:t>is not static, or</w:t>
            </w:r>
          </w:p>
          <w:p w:rsidR="00462248" w:rsidRPr="00A25418" w:rsidRDefault="00462248" w:rsidP="00980452">
            <w:pPr>
              <w:pStyle w:val="BulletText2"/>
            </w:pPr>
            <w:proofErr w:type="gramStart"/>
            <w:r w:rsidRPr="00A25418">
              <w:t>the</w:t>
            </w:r>
            <w:proofErr w:type="gramEnd"/>
            <w:r w:rsidRPr="00A25418">
              <w:t xml:space="preserve"> disability</w:t>
            </w:r>
            <w:r w:rsidR="000B7648" w:rsidRPr="00A25418">
              <w:t xml:space="preserve"> for which the</w:t>
            </w:r>
            <w:r w:rsidRPr="00A25418">
              <w:t xml:space="preserve"> </w:t>
            </w:r>
            <w:r w:rsidR="002C17C2" w:rsidRPr="00A25418">
              <w:t xml:space="preserve">examination was scheduled </w:t>
            </w:r>
            <w:r w:rsidRPr="00A25418">
              <w:t xml:space="preserve">is not protected under  </w:t>
            </w:r>
            <w:hyperlink r:id="rId14" w:history="1">
              <w:r w:rsidRPr="00A25418">
                <w:rPr>
                  <w:rStyle w:val="Hyperlink"/>
                  <w:szCs w:val="24"/>
                </w:rPr>
                <w:t>38 CFR 3.951 (b)</w:t>
              </w:r>
            </w:hyperlink>
            <w:r w:rsidRPr="00A25418">
              <w:t xml:space="preserve"> or </w:t>
            </w:r>
            <w:hyperlink r:id="rId15" w:history="1">
              <w:r w:rsidRPr="00A25418">
                <w:rPr>
                  <w:rStyle w:val="Hyperlink"/>
                  <w:szCs w:val="24"/>
                </w:rPr>
                <w:t>38 CFR 3.957</w:t>
              </w:r>
            </w:hyperlink>
            <w:r w:rsidR="00980452" w:rsidRPr="00A25418">
              <w:t>.</w:t>
            </w:r>
          </w:p>
          <w:p w:rsidR="00FB1DA1" w:rsidRPr="00A25418" w:rsidRDefault="00FB1DA1" w:rsidP="00FB1DA1">
            <w:pPr>
              <w:pStyle w:val="BulletText2"/>
              <w:numPr>
                <w:ilvl w:val="0"/>
                <w:numId w:val="0"/>
              </w:numPr>
              <w:ind w:left="360"/>
            </w:pPr>
          </w:p>
          <w:p w:rsidR="00462248" w:rsidRPr="00A25418" w:rsidRDefault="00734683" w:rsidP="00522D5E">
            <w:pPr>
              <w:pStyle w:val="BlockText"/>
            </w:pPr>
            <w:r w:rsidRPr="00A25418">
              <w:rPr>
                <w:b/>
                <w:i/>
              </w:rPr>
              <w:t>Reference</w:t>
            </w:r>
            <w:r w:rsidR="00462248" w:rsidRPr="00A25418">
              <w:rPr>
                <w:b/>
                <w:i/>
              </w:rPr>
              <w:t>s</w:t>
            </w:r>
            <w:r w:rsidRPr="00A25418">
              <w:t xml:space="preserve">:  For more information on </w:t>
            </w:r>
          </w:p>
          <w:p w:rsidR="00B07077" w:rsidRPr="00A25418" w:rsidRDefault="00B07077" w:rsidP="00402F8B">
            <w:pPr>
              <w:pStyle w:val="ListParagraph"/>
              <w:numPr>
                <w:ilvl w:val="0"/>
                <w:numId w:val="40"/>
              </w:numPr>
              <w:ind w:left="158" w:hanging="187"/>
              <w:rPr>
                <w:szCs w:val="24"/>
              </w:rPr>
            </w:pPr>
            <w:r w:rsidRPr="00A25418">
              <w:rPr>
                <w:rFonts w:ascii="Times New Roman" w:hAnsi="Times New Roman"/>
                <w:sz w:val="24"/>
                <w:szCs w:val="24"/>
              </w:rPr>
              <w:t xml:space="preserve">failure to report for an examination, see </w:t>
            </w:r>
            <w:proofErr w:type="spellStart"/>
            <w:r w:rsidRPr="00A25418">
              <w:rPr>
                <w:rFonts w:ascii="Times New Roman" w:hAnsi="Times New Roman"/>
                <w:sz w:val="24"/>
                <w:szCs w:val="24"/>
              </w:rPr>
              <w:t>M21</w:t>
            </w:r>
            <w:proofErr w:type="spellEnd"/>
            <w:r w:rsidRPr="00A25418">
              <w:rPr>
                <w:rFonts w:ascii="Times New Roman" w:hAnsi="Times New Roman"/>
                <w:sz w:val="24"/>
                <w:szCs w:val="24"/>
              </w:rPr>
              <w:t xml:space="preserve">-1, Part IV, Subpart ii, </w:t>
            </w:r>
            <w:proofErr w:type="spellStart"/>
            <w:r w:rsidRPr="00A25418">
              <w:rPr>
                <w:rFonts w:ascii="Times New Roman" w:hAnsi="Times New Roman"/>
                <w:sz w:val="24"/>
                <w:szCs w:val="24"/>
              </w:rPr>
              <w:t>3.B</w:t>
            </w:r>
            <w:proofErr w:type="spellEnd"/>
            <w:r w:rsidR="00B01BAE" w:rsidRPr="00A25418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0D684A" w:rsidRPr="00A25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0D684A" w:rsidRPr="00A25418">
              <w:rPr>
                <w:rFonts w:ascii="Times New Roman" w:hAnsi="Times New Roman"/>
                <w:sz w:val="24"/>
                <w:szCs w:val="24"/>
              </w:rPr>
              <w:t>M21</w:t>
            </w:r>
            <w:proofErr w:type="spellEnd"/>
            <w:r w:rsidR="000D684A" w:rsidRPr="00A25418">
              <w:rPr>
                <w:rFonts w:ascii="Times New Roman" w:hAnsi="Times New Roman"/>
                <w:sz w:val="24"/>
                <w:szCs w:val="24"/>
              </w:rPr>
              <w:t>-1, Part</w:t>
            </w:r>
            <w:r w:rsidRPr="00A25418">
              <w:rPr>
                <w:rFonts w:ascii="Times New Roman" w:hAnsi="Times New Roman"/>
                <w:sz w:val="24"/>
                <w:szCs w:val="24"/>
              </w:rPr>
              <w:t xml:space="preserve"> III, Subpart iv, </w:t>
            </w:r>
            <w:proofErr w:type="spellStart"/>
            <w:r w:rsidRPr="00A25418">
              <w:rPr>
                <w:rFonts w:ascii="Times New Roman" w:hAnsi="Times New Roman"/>
                <w:sz w:val="24"/>
                <w:szCs w:val="24"/>
              </w:rPr>
              <w:t>3.B.2.</w:t>
            </w:r>
            <w:r w:rsidR="00AF3986"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</w:p>
          <w:p w:rsidR="002C17C2" w:rsidRPr="00A25418" w:rsidRDefault="002C17C2" w:rsidP="002C17C2">
            <w:pPr>
              <w:pStyle w:val="ListParagraph"/>
              <w:numPr>
                <w:ilvl w:val="0"/>
                <w:numId w:val="40"/>
              </w:numPr>
              <w:ind w:left="158" w:hanging="187"/>
              <w:rPr>
                <w:szCs w:val="24"/>
              </w:rPr>
            </w:pPr>
            <w:r w:rsidRPr="00A25418">
              <w:rPr>
                <w:rFonts w:ascii="Times New Roman" w:hAnsi="Times New Roman"/>
                <w:sz w:val="24"/>
                <w:szCs w:val="24"/>
              </w:rPr>
              <w:t xml:space="preserve">VA’s  duty to assist with providing exams, see </w:t>
            </w:r>
            <w:proofErr w:type="spellStart"/>
            <w:r w:rsidRPr="00A25418">
              <w:rPr>
                <w:rFonts w:ascii="Times New Roman" w:hAnsi="Times New Roman"/>
                <w:sz w:val="24"/>
                <w:szCs w:val="24"/>
              </w:rPr>
              <w:t>M21</w:t>
            </w:r>
            <w:proofErr w:type="spellEnd"/>
            <w:r w:rsidRPr="00A25418">
              <w:rPr>
                <w:rFonts w:ascii="Times New Roman" w:hAnsi="Times New Roman"/>
                <w:sz w:val="24"/>
                <w:szCs w:val="24"/>
              </w:rPr>
              <w:t>-1, Part I, 1</w:t>
            </w:r>
            <w:proofErr w:type="gramStart"/>
            <w:r w:rsidRPr="00A254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Pr="00A25418">
              <w:rPr>
                <w:rFonts w:ascii="Times New Roman" w:hAnsi="Times New Roman"/>
                <w:sz w:val="24"/>
                <w:szCs w:val="24"/>
              </w:rPr>
              <w:t>C.3</w:t>
            </w:r>
            <w:proofErr w:type="spellEnd"/>
          </w:p>
          <w:p w:rsidR="00462248" w:rsidRPr="00A25418" w:rsidRDefault="00734683" w:rsidP="00402F8B">
            <w:pPr>
              <w:pStyle w:val="ListParagraph"/>
              <w:numPr>
                <w:ilvl w:val="0"/>
                <w:numId w:val="40"/>
              </w:numPr>
              <w:ind w:left="158" w:hanging="187"/>
              <w:rPr>
                <w:szCs w:val="24"/>
              </w:rPr>
            </w:pPr>
            <w:r w:rsidRPr="00A25418">
              <w:rPr>
                <w:rFonts w:ascii="Times New Roman" w:hAnsi="Times New Roman"/>
                <w:sz w:val="24"/>
                <w:szCs w:val="24"/>
              </w:rPr>
              <w:t xml:space="preserve">good cause </w:t>
            </w:r>
            <w:r w:rsidR="00A643FD" w:rsidRPr="00A25418">
              <w:rPr>
                <w:rFonts w:ascii="Times New Roman" w:hAnsi="Times New Roman"/>
                <w:sz w:val="24"/>
                <w:szCs w:val="24"/>
              </w:rPr>
              <w:t>for not reporting to an examination</w:t>
            </w:r>
            <w:r w:rsidRPr="00A25418">
              <w:rPr>
                <w:rFonts w:ascii="Times New Roman" w:hAnsi="Times New Roman"/>
                <w:sz w:val="24"/>
                <w:szCs w:val="24"/>
              </w:rPr>
              <w:t>,</w:t>
            </w:r>
            <w:r w:rsidR="00462248" w:rsidRPr="00A25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418">
              <w:rPr>
                <w:rFonts w:ascii="Times New Roman" w:hAnsi="Times New Roman"/>
                <w:sz w:val="24"/>
                <w:szCs w:val="24"/>
              </w:rPr>
              <w:t>see</w:t>
            </w:r>
            <w:r w:rsidR="00057797" w:rsidRPr="00A25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7797" w:rsidRPr="00A25418">
              <w:rPr>
                <w:rFonts w:ascii="Times New Roman" w:hAnsi="Times New Roman"/>
                <w:sz w:val="24"/>
                <w:szCs w:val="24"/>
              </w:rPr>
              <w:t>M21</w:t>
            </w:r>
            <w:proofErr w:type="spellEnd"/>
            <w:r w:rsidR="00057797" w:rsidRPr="00A25418">
              <w:rPr>
                <w:rFonts w:ascii="Times New Roman" w:hAnsi="Times New Roman"/>
                <w:sz w:val="24"/>
                <w:szCs w:val="24"/>
              </w:rPr>
              <w:t>-1</w:t>
            </w:r>
            <w:r w:rsidR="007B362A" w:rsidRPr="00A25418">
              <w:rPr>
                <w:rFonts w:ascii="Times New Roman" w:hAnsi="Times New Roman"/>
                <w:sz w:val="24"/>
                <w:szCs w:val="24"/>
              </w:rPr>
              <w:t xml:space="preserve">, Part </w:t>
            </w:r>
            <w:proofErr w:type="spellStart"/>
            <w:r w:rsidR="00057797" w:rsidRPr="00A25418">
              <w:rPr>
                <w:rFonts w:ascii="Times New Roman" w:hAnsi="Times New Roman"/>
                <w:sz w:val="24"/>
                <w:szCs w:val="24"/>
              </w:rPr>
              <w:t>I</w:t>
            </w:r>
            <w:r w:rsidR="007B362A" w:rsidRPr="00A25418">
              <w:rPr>
                <w:rFonts w:ascii="Times New Roman" w:hAnsi="Times New Roman"/>
                <w:sz w:val="24"/>
                <w:szCs w:val="24"/>
              </w:rPr>
              <w:t>,</w:t>
            </w:r>
            <w:r w:rsidR="00057797" w:rsidRPr="00A25418">
              <w:rPr>
                <w:rFonts w:ascii="Times New Roman" w:hAnsi="Times New Roman"/>
                <w:sz w:val="24"/>
                <w:szCs w:val="24"/>
              </w:rPr>
              <w:t>1.C.3</w:t>
            </w:r>
            <w:proofErr w:type="spellEnd"/>
            <w:r w:rsidR="00FB1DA1" w:rsidRPr="00A25418">
              <w:rPr>
                <w:rFonts w:ascii="Times New Roman" w:hAnsi="Times New Roman"/>
                <w:sz w:val="24"/>
                <w:szCs w:val="24"/>
              </w:rPr>
              <w:t>, and</w:t>
            </w:r>
          </w:p>
          <w:p w:rsidR="00367395" w:rsidRPr="00A25418" w:rsidRDefault="00367395" w:rsidP="00316471">
            <w:pPr>
              <w:pStyle w:val="ListParagraph"/>
              <w:numPr>
                <w:ilvl w:val="0"/>
                <w:numId w:val="22"/>
              </w:numPr>
              <w:ind w:left="158" w:hanging="187"/>
            </w:pPr>
            <w:r w:rsidRPr="00A25418">
              <w:rPr>
                <w:rFonts w:ascii="Times New Roman" w:hAnsi="Times New Roman"/>
                <w:sz w:val="24"/>
                <w:szCs w:val="24"/>
              </w:rPr>
              <w:t xml:space="preserve">submission of other evidence as good cause for failure to report for an </w:t>
            </w:r>
            <w:r w:rsidRPr="00A25418">
              <w:rPr>
                <w:rFonts w:ascii="Times New Roman" w:hAnsi="Times New Roman"/>
                <w:sz w:val="24"/>
                <w:szCs w:val="24"/>
              </w:rPr>
              <w:lastRenderedPageBreak/>
              <w:t>examination</w:t>
            </w:r>
            <w:r w:rsidR="00392228" w:rsidRPr="00A25418">
              <w:rPr>
                <w:rFonts w:ascii="Times New Roman" w:hAnsi="Times New Roman"/>
                <w:sz w:val="24"/>
                <w:szCs w:val="24"/>
              </w:rPr>
              <w:t>,</w:t>
            </w:r>
            <w:r w:rsidRPr="00A25418">
              <w:rPr>
                <w:rFonts w:ascii="Times New Roman" w:hAnsi="Times New Roman"/>
                <w:sz w:val="24"/>
                <w:szCs w:val="24"/>
              </w:rPr>
              <w:t xml:space="preserve"> see </w:t>
            </w:r>
            <w:hyperlink r:id="rId16" w:anchor="bmk" w:history="1">
              <w:r w:rsidR="00A643FD" w:rsidRPr="00A25418">
                <w:rPr>
                  <w:rStyle w:val="Hyperlink"/>
                  <w:rFonts w:ascii="Times New Roman" w:hAnsi="Times New Roman"/>
                  <w:i/>
                  <w:iCs/>
                  <w:sz w:val="24"/>
                  <w:szCs w:val="24"/>
                </w:rPr>
                <w:t>Kowalski v. Nicholson</w:t>
              </w:r>
            </w:hyperlink>
            <w:r w:rsidR="00A643FD" w:rsidRPr="00A25418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A643FD" w:rsidRPr="00A25418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  <w:proofErr w:type="spellStart"/>
            <w:r w:rsidR="00A643FD" w:rsidRPr="00A25418">
              <w:rPr>
                <w:rFonts w:ascii="Times New Roman" w:hAnsi="Times New Roman"/>
                <w:sz w:val="24"/>
                <w:szCs w:val="24"/>
              </w:rPr>
              <w:t>Vet.App</w:t>
            </w:r>
            <w:proofErr w:type="spellEnd"/>
            <w:proofErr w:type="gramStart"/>
            <w:r w:rsidR="00A643FD" w:rsidRPr="00A25418">
              <w:rPr>
                <w:rFonts w:ascii="Times New Roman" w:hAnsi="Times New Roman"/>
                <w:sz w:val="24"/>
                <w:szCs w:val="24"/>
              </w:rPr>
              <w:t>. 171, 179 (2005).</w:t>
            </w:r>
            <w:proofErr w:type="gramEnd"/>
          </w:p>
        </w:tc>
      </w:tr>
    </w:tbl>
    <w:p w:rsidR="00402F8B" w:rsidRPr="00A25418" w:rsidRDefault="00402F8B" w:rsidP="0031647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1947BA">
        <w:tc>
          <w:tcPr>
            <w:tcW w:w="1728" w:type="dxa"/>
          </w:tcPr>
          <w:p w:rsidR="00A643FD" w:rsidRPr="00A25418" w:rsidRDefault="00D43344" w:rsidP="004B03CC">
            <w:pPr>
              <w:pStyle w:val="Heading5"/>
            </w:pPr>
            <w:proofErr w:type="gramStart"/>
            <w:r w:rsidRPr="00A25418">
              <w:t>b</w:t>
            </w:r>
            <w:r w:rsidR="00D67C57" w:rsidRPr="00A25418">
              <w:t>.</w:t>
            </w:r>
            <w:r w:rsidR="00A643FD" w:rsidRPr="00A25418">
              <w:rPr>
                <w:szCs w:val="22"/>
              </w:rPr>
              <w:t xml:space="preserve">  </w:t>
            </w:r>
            <w:bookmarkStart w:id="3" w:name="c16"/>
            <w:bookmarkEnd w:id="3"/>
            <w:r w:rsidR="00A643FD" w:rsidRPr="00A25418">
              <w:rPr>
                <w:szCs w:val="22"/>
              </w:rPr>
              <w:t>Addressing</w:t>
            </w:r>
            <w:proofErr w:type="gramEnd"/>
            <w:r w:rsidR="00A643FD" w:rsidRPr="00A25418">
              <w:rPr>
                <w:szCs w:val="22"/>
              </w:rPr>
              <w:t xml:space="preserve"> </w:t>
            </w:r>
            <w:r w:rsidR="00402F8B" w:rsidRPr="00A25418">
              <w:rPr>
                <w:szCs w:val="22"/>
              </w:rPr>
              <w:t xml:space="preserve">Absence of </w:t>
            </w:r>
            <w:r w:rsidR="00A643FD" w:rsidRPr="00A25418">
              <w:rPr>
                <w:szCs w:val="22"/>
              </w:rPr>
              <w:t xml:space="preserve">Good Cause </w:t>
            </w:r>
            <w:r w:rsidR="005B5DFF" w:rsidRPr="00A25418">
              <w:rPr>
                <w:szCs w:val="22"/>
              </w:rPr>
              <w:t>in the Rating Decision</w:t>
            </w:r>
            <w:r w:rsidR="00A643FD" w:rsidRPr="00A25418">
              <w:t xml:space="preserve"> 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 xml:space="preserve">In every case where a Veteran fails to report for an examination, the rating decision must document VA’s attempts to examine the Veteran and address the issue of good cause.  </w:t>
            </w:r>
          </w:p>
          <w:p w:rsidR="00D43344" w:rsidRPr="00A25418" w:rsidRDefault="00D43344" w:rsidP="00522D5E">
            <w:pPr>
              <w:pStyle w:val="BlockText"/>
            </w:pPr>
          </w:p>
          <w:p w:rsidR="00A643FD" w:rsidRPr="00A25418" w:rsidRDefault="00A643FD" w:rsidP="001947BA">
            <w:pPr>
              <w:pStyle w:val="BlockText"/>
            </w:pPr>
            <w:r w:rsidRPr="00A25418">
              <w:t>Use the table below to determine how to address the issue of a Veteran’s failure to report for an examination</w:t>
            </w:r>
            <w:r w:rsidR="001947BA" w:rsidRPr="00A25418">
              <w:t xml:space="preserve"> </w:t>
            </w:r>
            <w:r w:rsidRPr="00A25418">
              <w:rPr>
                <w:i/>
              </w:rPr>
              <w:t>without</w:t>
            </w:r>
            <w:r w:rsidRPr="00A25418">
              <w:t xml:space="preserve"> good cause.  </w:t>
            </w:r>
          </w:p>
        </w:tc>
      </w:tr>
    </w:tbl>
    <w:p w:rsidR="00A643FD" w:rsidRPr="00A25418" w:rsidRDefault="00A643FD" w:rsidP="00A643FD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3774"/>
        <w:gridCol w:w="3774"/>
      </w:tblGrid>
      <w:tr w:rsidR="00A643FD" w:rsidRPr="00A25418" w:rsidTr="00522D5E">
        <w:trPr>
          <w:cantSplit/>
          <w:trHeight w:val="271"/>
        </w:trPr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685920">
            <w:pPr>
              <w:pStyle w:val="TableHeaderText"/>
              <w:jc w:val="left"/>
            </w:pPr>
            <w:r w:rsidRPr="00A25418">
              <w:t>If the Veteran offered …</w:t>
            </w:r>
          </w:p>
        </w:tc>
        <w:tc>
          <w:tcPr>
            <w:tcW w:w="37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1947BA">
            <w:pPr>
              <w:pStyle w:val="TableHeaderText"/>
              <w:jc w:val="left"/>
            </w:pPr>
            <w:r w:rsidRPr="00A25418">
              <w:t xml:space="preserve">Then state in the </w:t>
            </w:r>
            <w:r w:rsidR="00685920" w:rsidRPr="00A25418">
              <w:t>decision narrative</w:t>
            </w:r>
            <w:r w:rsidRPr="00A25418">
              <w:t xml:space="preserve"> …</w:t>
            </w:r>
          </w:p>
        </w:tc>
      </w:tr>
      <w:tr w:rsidR="00A643FD" w:rsidRPr="00A25418" w:rsidTr="001947BA">
        <w:trPr>
          <w:trHeight w:val="272"/>
        </w:trPr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9752E1" w:rsidP="00B01BAE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>a reason</w:t>
            </w:r>
            <w:r w:rsidR="00B01BAE" w:rsidRPr="00A25418">
              <w:rPr>
                <w:szCs w:val="24"/>
              </w:rPr>
              <w:t xml:space="preserve"> </w:t>
            </w:r>
            <w:r w:rsidR="00677B28" w:rsidRPr="00A25418">
              <w:rPr>
                <w:szCs w:val="24"/>
              </w:rPr>
              <w:t>that does</w:t>
            </w:r>
            <w:r w:rsidR="00D43344" w:rsidRPr="00A25418">
              <w:rPr>
                <w:szCs w:val="24"/>
              </w:rPr>
              <w:t xml:space="preserve"> not </w:t>
            </w:r>
            <w:r w:rsidR="005B5DFF" w:rsidRPr="00A25418">
              <w:rPr>
                <w:szCs w:val="24"/>
              </w:rPr>
              <w:t>constitute</w:t>
            </w:r>
            <w:r w:rsidR="00D43344" w:rsidRPr="00A25418">
              <w:rPr>
                <w:szCs w:val="24"/>
              </w:rPr>
              <w:t xml:space="preserve"> as </w:t>
            </w:r>
            <w:r w:rsidR="00D43344" w:rsidRPr="00A25418">
              <w:rPr>
                <w:i/>
                <w:szCs w:val="24"/>
              </w:rPr>
              <w:t>good cause</w:t>
            </w:r>
          </w:p>
        </w:tc>
        <w:tc>
          <w:tcPr>
            <w:tcW w:w="37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B66556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 xml:space="preserve">specifically why this does not constitute good cause under </w:t>
            </w:r>
            <w:hyperlink r:id="rId17" w:history="1">
              <w:r w:rsidR="00531CEB" w:rsidRPr="00A25418">
                <w:rPr>
                  <w:rStyle w:val="Hyperlink"/>
                  <w:szCs w:val="24"/>
                </w:rPr>
                <w:t>38 CFR</w:t>
              </w:r>
              <w:r w:rsidRPr="00A25418">
                <w:rPr>
                  <w:rStyle w:val="Hyperlink"/>
                  <w:szCs w:val="24"/>
                </w:rPr>
                <w:t xml:space="preserve"> 3.655(a)</w:t>
              </w:r>
            </w:hyperlink>
          </w:p>
        </w:tc>
      </w:tr>
      <w:tr w:rsidR="00A643FD" w:rsidRPr="00A25418" w:rsidTr="00522D5E">
        <w:trPr>
          <w:cantSplit/>
          <w:trHeight w:val="272"/>
        </w:trPr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4A0246" w:rsidP="004B03CC">
            <w:pPr>
              <w:pStyle w:val="TableText"/>
              <w:rPr>
                <w:szCs w:val="24"/>
              </w:rPr>
            </w:pPr>
            <w:r w:rsidRPr="00A25418">
              <w:rPr>
                <w:szCs w:val="24"/>
              </w:rPr>
              <w:t>no</w:t>
            </w:r>
            <w:r w:rsidR="009752E1" w:rsidRPr="00A25418">
              <w:rPr>
                <w:szCs w:val="24"/>
              </w:rPr>
              <w:t xml:space="preserve"> reason</w:t>
            </w:r>
            <w:r w:rsidR="00A643FD" w:rsidRPr="00A25418">
              <w:rPr>
                <w:szCs w:val="24"/>
              </w:rPr>
              <w:t xml:space="preserve"> for failure to report</w:t>
            </w:r>
          </w:p>
        </w:tc>
        <w:tc>
          <w:tcPr>
            <w:tcW w:w="37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Text"/>
              <w:rPr>
                <w:szCs w:val="24"/>
              </w:rPr>
            </w:pPr>
            <w:proofErr w:type="gramStart"/>
            <w:r w:rsidRPr="00A25418">
              <w:rPr>
                <w:szCs w:val="24"/>
              </w:rPr>
              <w:t>that</w:t>
            </w:r>
            <w:proofErr w:type="gramEnd"/>
            <w:r w:rsidRPr="00A25418">
              <w:rPr>
                <w:szCs w:val="24"/>
              </w:rPr>
              <w:t xml:space="preserve"> the evidence of record showed no good cause for the failure to report.</w:t>
            </w:r>
          </w:p>
        </w:tc>
      </w:tr>
    </w:tbl>
    <w:p w:rsidR="005B5DFF" w:rsidRPr="00A25418" w:rsidRDefault="005B5DFF" w:rsidP="005B5DF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B5DFF" w:rsidRPr="00A25418" w:rsidTr="00163378">
        <w:trPr>
          <w:cantSplit/>
          <w:trHeight w:val="1710"/>
        </w:trPr>
        <w:tc>
          <w:tcPr>
            <w:tcW w:w="1728" w:type="dxa"/>
          </w:tcPr>
          <w:p w:rsidR="005B5DFF" w:rsidRPr="00A25418" w:rsidRDefault="000B15C8" w:rsidP="00D67C57">
            <w:pPr>
              <w:pStyle w:val="Heading5"/>
            </w:pPr>
            <w:proofErr w:type="gramStart"/>
            <w:r w:rsidRPr="00A25418">
              <w:t>c</w:t>
            </w:r>
            <w:r w:rsidR="005B5DFF" w:rsidRPr="00A25418">
              <w:t>.</w:t>
            </w:r>
            <w:r w:rsidR="00D67C57" w:rsidRPr="00A25418">
              <w:t xml:space="preserve">  </w:t>
            </w:r>
            <w:r w:rsidRPr="00A25418">
              <w:t>Addressing</w:t>
            </w:r>
            <w:proofErr w:type="gramEnd"/>
            <w:r w:rsidRPr="00A25418">
              <w:t xml:space="preserve"> the Issue of Static Disabilities in the Rating Decision </w:t>
            </w:r>
          </w:p>
        </w:tc>
        <w:tc>
          <w:tcPr>
            <w:tcW w:w="7740" w:type="dxa"/>
          </w:tcPr>
          <w:p w:rsidR="005B5DFF" w:rsidRPr="00A25418" w:rsidRDefault="005B5DFF" w:rsidP="000D684A">
            <w:pPr>
              <w:pStyle w:val="BlockText"/>
            </w:pPr>
            <w:r w:rsidRPr="00A25418">
              <w:t xml:space="preserve">When a Veteran fails to </w:t>
            </w:r>
            <w:proofErr w:type="gramStart"/>
            <w:r w:rsidRPr="00A25418">
              <w:t>report for an examination without good cause, the rating activit</w:t>
            </w:r>
            <w:r w:rsidR="0061005F" w:rsidRPr="00A25418">
              <w:t>y must review the claims folder</w:t>
            </w:r>
            <w:r w:rsidR="004B03CC" w:rsidRPr="00A25418">
              <w:t xml:space="preserve"> for information about</w:t>
            </w:r>
            <w:r w:rsidR="009B5D30" w:rsidRPr="00A25418">
              <w:t xml:space="preserve"> the other service</w:t>
            </w:r>
            <w:proofErr w:type="gramEnd"/>
            <w:r w:rsidR="009B5D30" w:rsidRPr="00A25418">
              <w:t xml:space="preserve"> connected disabilities</w:t>
            </w:r>
            <w:r w:rsidRPr="00A25418">
              <w:t xml:space="preserve">. </w:t>
            </w:r>
          </w:p>
          <w:p w:rsidR="009B5D30" w:rsidRPr="00A25418" w:rsidRDefault="009B5D30" w:rsidP="009B5D30">
            <w:pPr>
              <w:pStyle w:val="BlockText"/>
            </w:pPr>
          </w:p>
        </w:tc>
      </w:tr>
    </w:tbl>
    <w:p w:rsidR="00B07077" w:rsidRPr="00A25418" w:rsidRDefault="00B07077" w:rsidP="00966131"/>
    <w:tbl>
      <w:tblPr>
        <w:tblStyle w:val="TableGrid"/>
        <w:tblW w:w="7650" w:type="dxa"/>
        <w:tblInd w:w="1818" w:type="dxa"/>
        <w:tblLook w:val="04A0" w:firstRow="1" w:lastRow="0" w:firstColumn="1" w:lastColumn="0" w:noHBand="0" w:noVBand="1"/>
      </w:tblPr>
      <w:tblGrid>
        <w:gridCol w:w="2340"/>
        <w:gridCol w:w="5310"/>
      </w:tblGrid>
      <w:tr w:rsidR="00966131" w:rsidRPr="00A25418" w:rsidTr="00163378">
        <w:tc>
          <w:tcPr>
            <w:tcW w:w="2340" w:type="dxa"/>
          </w:tcPr>
          <w:p w:rsidR="00966131" w:rsidRPr="00A25418" w:rsidRDefault="00966131" w:rsidP="00966131">
            <w:pPr>
              <w:rPr>
                <w:b/>
              </w:rPr>
            </w:pPr>
            <w:r w:rsidRPr="00A25418">
              <w:rPr>
                <w:b/>
              </w:rPr>
              <w:t>If there is/are ...</w:t>
            </w:r>
          </w:p>
        </w:tc>
        <w:tc>
          <w:tcPr>
            <w:tcW w:w="5310" w:type="dxa"/>
          </w:tcPr>
          <w:p w:rsidR="00966131" w:rsidRPr="00A25418" w:rsidRDefault="00966131" w:rsidP="00966131">
            <w:pPr>
              <w:rPr>
                <w:b/>
              </w:rPr>
            </w:pPr>
            <w:r w:rsidRPr="00A25418">
              <w:rPr>
                <w:b/>
              </w:rPr>
              <w:t>Then ...</w:t>
            </w:r>
          </w:p>
        </w:tc>
      </w:tr>
      <w:tr w:rsidR="00966131" w:rsidRPr="00A25418" w:rsidTr="00163378">
        <w:tc>
          <w:tcPr>
            <w:tcW w:w="2340" w:type="dxa"/>
          </w:tcPr>
          <w:p w:rsidR="00966131" w:rsidRPr="00A25418" w:rsidRDefault="00966131" w:rsidP="00966131">
            <w:r w:rsidRPr="00A25418">
              <w:t>no static or protected disability/</w:t>
            </w:r>
            <w:proofErr w:type="spellStart"/>
            <w:r w:rsidRPr="00A25418">
              <w:t>ies</w:t>
            </w:r>
            <w:proofErr w:type="spellEnd"/>
          </w:p>
        </w:tc>
        <w:tc>
          <w:tcPr>
            <w:tcW w:w="5310" w:type="dxa"/>
          </w:tcPr>
          <w:p w:rsidR="00966131" w:rsidRPr="00A25418" w:rsidRDefault="00966131" w:rsidP="00DA7589">
            <w:proofErr w:type="gramStart"/>
            <w:r w:rsidRPr="00A25418">
              <w:t>propose</w:t>
            </w:r>
            <w:proofErr w:type="gramEnd"/>
            <w:r w:rsidRPr="00A25418">
              <w:t xml:space="preserve"> reduction of the evaluation assigned </w:t>
            </w:r>
            <w:r w:rsidR="00DA7589" w:rsidRPr="00A25418">
              <w:t>for</w:t>
            </w:r>
            <w:r w:rsidRPr="00A25418">
              <w:t xml:space="preserve"> the disability(</w:t>
            </w:r>
            <w:proofErr w:type="spellStart"/>
            <w:r w:rsidRPr="00A25418">
              <w:t>ies</w:t>
            </w:r>
            <w:proofErr w:type="spellEnd"/>
            <w:r w:rsidRPr="00A25418">
              <w:t>) under review.  State in the decision narrative that “</w:t>
            </w:r>
            <w:r w:rsidRPr="00A25418">
              <w:rPr>
                <w:i/>
              </w:rPr>
              <w:t>the Veteran failed to report for a review examination, and there is/are no static disabilit</w:t>
            </w:r>
            <w:r w:rsidR="00677B28" w:rsidRPr="00A25418">
              <w:rPr>
                <w:i/>
              </w:rPr>
              <w:t>y(</w:t>
            </w:r>
            <w:proofErr w:type="spellStart"/>
            <w:r w:rsidRPr="00A25418">
              <w:rPr>
                <w:i/>
              </w:rPr>
              <w:t>ie</w:t>
            </w:r>
            <w:r w:rsidRPr="00A25418">
              <w:t>s</w:t>
            </w:r>
            <w:proofErr w:type="spellEnd"/>
            <w:r w:rsidR="00677B28" w:rsidRPr="00A25418">
              <w:t>)</w:t>
            </w:r>
            <w:r w:rsidRPr="00A25418">
              <w:t>”</w:t>
            </w:r>
            <w:proofErr w:type="gramStart"/>
            <w:r w:rsidRPr="00A25418">
              <w:t xml:space="preserve">. </w:t>
            </w:r>
            <w:proofErr w:type="gramEnd"/>
          </w:p>
        </w:tc>
      </w:tr>
      <w:tr w:rsidR="00966131" w:rsidRPr="00A25418" w:rsidTr="00163378">
        <w:tc>
          <w:tcPr>
            <w:tcW w:w="2340" w:type="dxa"/>
          </w:tcPr>
          <w:p w:rsidR="00966131" w:rsidRPr="00A25418" w:rsidRDefault="00966131" w:rsidP="00966131">
            <w:r w:rsidRPr="00A25418">
              <w:t>static or protected disability/</w:t>
            </w:r>
            <w:proofErr w:type="spellStart"/>
            <w:r w:rsidRPr="00A25418">
              <w:t>ies</w:t>
            </w:r>
            <w:proofErr w:type="spellEnd"/>
          </w:p>
        </w:tc>
        <w:tc>
          <w:tcPr>
            <w:tcW w:w="5310" w:type="dxa"/>
          </w:tcPr>
          <w:p w:rsidR="00966131" w:rsidRPr="00A25418" w:rsidRDefault="00966131" w:rsidP="00966131">
            <w:proofErr w:type="gramStart"/>
            <w:r w:rsidRPr="00A25418">
              <w:t>provide</w:t>
            </w:r>
            <w:proofErr w:type="gramEnd"/>
            <w:r w:rsidRPr="00A25418">
              <w:t xml:space="preserve"> the proposed new or continuing evaluations for all disabilities considered</w:t>
            </w:r>
            <w:r w:rsidR="00DA7589" w:rsidRPr="00A25418">
              <w:t>,</w:t>
            </w:r>
            <w:r w:rsidRPr="00A25418">
              <w:t xml:space="preserve"> and the proposed combined evaluation.</w:t>
            </w:r>
          </w:p>
        </w:tc>
      </w:tr>
    </w:tbl>
    <w:p w:rsidR="00966131" w:rsidRPr="00A25418" w:rsidRDefault="00966131" w:rsidP="00966131">
      <w:r w:rsidRPr="00A25418">
        <w:t xml:space="preserve">  </w:t>
      </w:r>
    </w:p>
    <w:tbl>
      <w:tblPr>
        <w:tblStyle w:val="TableGrid"/>
        <w:tblW w:w="77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966131" w:rsidRPr="00A25418" w:rsidTr="00163378">
        <w:tc>
          <w:tcPr>
            <w:tcW w:w="7740" w:type="dxa"/>
            <w:shd w:val="clear" w:color="auto" w:fill="auto"/>
          </w:tcPr>
          <w:p w:rsidR="009271D9" w:rsidRPr="00A25418" w:rsidRDefault="009271D9" w:rsidP="00F0738F">
            <w:r w:rsidRPr="00A25418">
              <w:rPr>
                <w:b/>
                <w:i/>
              </w:rPr>
              <w:t>Reference</w:t>
            </w:r>
            <w:r w:rsidRPr="00A25418">
              <w:t xml:space="preserve">:  For a definition of static disability, see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IV, Subpart ii, </w:t>
            </w:r>
            <w:proofErr w:type="spellStart"/>
            <w:r w:rsidRPr="00A25418">
              <w:t>3.B</w:t>
            </w:r>
            <w:proofErr w:type="spellEnd"/>
            <w:r w:rsidRPr="00A25418">
              <w:t>.</w:t>
            </w:r>
          </w:p>
        </w:tc>
      </w:tr>
    </w:tbl>
    <w:p w:rsidR="00966131" w:rsidRPr="00A25418" w:rsidRDefault="00966131" w:rsidP="00966131">
      <w:pPr>
        <w:tabs>
          <w:tab w:val="left" w:pos="9360"/>
        </w:tabs>
        <w:ind w:left="1714"/>
      </w:pPr>
      <w:r w:rsidRPr="00A25418">
        <w:rPr>
          <w:u w:val="single"/>
        </w:rPr>
        <w:tab/>
      </w:r>
    </w:p>
    <w:p w:rsidR="00966131" w:rsidRPr="00A25418" w:rsidRDefault="00966131" w:rsidP="00966131">
      <w:pPr>
        <w:ind w:left="1714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740"/>
      </w:tblGrid>
      <w:tr w:rsidR="00B07077" w:rsidRPr="00A25418" w:rsidTr="00163378">
        <w:tc>
          <w:tcPr>
            <w:tcW w:w="1728" w:type="dxa"/>
            <w:shd w:val="clear" w:color="auto" w:fill="auto"/>
          </w:tcPr>
          <w:p w:rsidR="00B07077" w:rsidRPr="00A25418" w:rsidRDefault="00B07077" w:rsidP="00816B9D">
            <w:pPr>
              <w:rPr>
                <w:b/>
                <w:sz w:val="22"/>
              </w:rPr>
            </w:pPr>
            <w:r w:rsidRPr="00A25418">
              <w:rPr>
                <w:b/>
                <w:sz w:val="22"/>
              </w:rPr>
              <w:t xml:space="preserve">d.  </w:t>
            </w:r>
            <w:r w:rsidR="00816B9D" w:rsidRPr="00A25418">
              <w:rPr>
                <w:b/>
                <w:sz w:val="22"/>
              </w:rPr>
              <w:t>Rating Considerations for the Proposed Decision</w:t>
            </w:r>
            <w:r w:rsidRPr="00A25418">
              <w:rPr>
                <w:b/>
                <w:sz w:val="22"/>
              </w:rPr>
              <w:t xml:space="preserve">  </w:t>
            </w:r>
          </w:p>
        </w:tc>
        <w:tc>
          <w:tcPr>
            <w:tcW w:w="7740" w:type="dxa"/>
            <w:shd w:val="clear" w:color="auto" w:fill="auto"/>
          </w:tcPr>
          <w:p w:rsidR="00816B9D" w:rsidRPr="00A25418" w:rsidRDefault="004D4178" w:rsidP="00EF071C">
            <w:r w:rsidRPr="00A25418">
              <w:t xml:space="preserve">As required by </w:t>
            </w:r>
            <w:hyperlink r:id="rId18" w:history="1">
              <w:r w:rsidR="00966131" w:rsidRPr="00A25418">
                <w:rPr>
                  <w:rStyle w:val="Hyperlink"/>
                </w:rPr>
                <w:t>38 CFR 3.655(c)</w:t>
              </w:r>
            </w:hyperlink>
            <w:r w:rsidRPr="00A25418">
              <w:t>, a pre-determination notice should be furnished to the Veteran after it is determined that a reduction or termination of a service connected disability is in order.</w:t>
            </w:r>
            <w:r w:rsidR="003636BB" w:rsidRPr="00A25418">
              <w:t xml:space="preserve">  </w:t>
            </w:r>
          </w:p>
          <w:p w:rsidR="00816B9D" w:rsidRPr="00A25418" w:rsidRDefault="00816B9D" w:rsidP="00EF071C"/>
          <w:p w:rsidR="00B07077" w:rsidRPr="00A25418" w:rsidRDefault="00816B9D" w:rsidP="00EF071C">
            <w:r w:rsidRPr="00A25418">
              <w:t>The rating decision should</w:t>
            </w:r>
            <w:r w:rsidR="003636BB" w:rsidRPr="00A25418">
              <w:t xml:space="preserve"> </w:t>
            </w:r>
          </w:p>
          <w:p w:rsidR="004D4178" w:rsidRPr="00A25418" w:rsidRDefault="004D4178" w:rsidP="00EF071C"/>
          <w:p w:rsidR="003A3414" w:rsidRPr="00A25418" w:rsidRDefault="003A3414" w:rsidP="00946751">
            <w:pPr>
              <w:pStyle w:val="BulletText1"/>
            </w:pPr>
            <w:r w:rsidRPr="00A25418">
              <w:t>review any current medical evidence of record in the claims folder</w:t>
            </w:r>
          </w:p>
          <w:p w:rsidR="00816B9D" w:rsidRPr="00A25418" w:rsidRDefault="00816B9D" w:rsidP="00946751">
            <w:pPr>
              <w:pStyle w:val="BulletText1"/>
            </w:pPr>
            <w:r w:rsidRPr="00A25418">
              <w:lastRenderedPageBreak/>
              <w:t>discuss all evidence on file that pertains to the disability under review</w:t>
            </w:r>
          </w:p>
          <w:p w:rsidR="003A3414" w:rsidRPr="00A25418" w:rsidRDefault="00816B9D" w:rsidP="00946751">
            <w:pPr>
              <w:pStyle w:val="BulletText1"/>
            </w:pPr>
            <w:r w:rsidRPr="00A25418">
              <w:t xml:space="preserve">include the proposed </w:t>
            </w:r>
            <w:r w:rsidR="003A3414" w:rsidRPr="00A25418">
              <w:t>new or continuing</w:t>
            </w:r>
            <w:r w:rsidRPr="00A25418">
              <w:t xml:space="preserve"> disability evaluation</w:t>
            </w:r>
            <w:r w:rsidR="003A3414" w:rsidRPr="00A25418">
              <w:t>(s) for all disabilities under review, and</w:t>
            </w:r>
          </w:p>
          <w:p w:rsidR="000F4A02" w:rsidRPr="00A25418" w:rsidRDefault="003A3414" w:rsidP="0049348F">
            <w:pPr>
              <w:pStyle w:val="BulletText1"/>
            </w:pPr>
            <w:proofErr w:type="gramStart"/>
            <w:r w:rsidRPr="00A25418">
              <w:t>provide</w:t>
            </w:r>
            <w:proofErr w:type="gramEnd"/>
            <w:r w:rsidRPr="00A25418">
              <w:t xml:space="preserve"> a proposed combined evaluation for all SC disabilities.</w:t>
            </w:r>
          </w:p>
          <w:p w:rsidR="00946751" w:rsidRPr="00A25418" w:rsidRDefault="00946751" w:rsidP="00884FA3">
            <w:pPr>
              <w:pStyle w:val="BulletText1"/>
              <w:numPr>
                <w:ilvl w:val="0"/>
                <w:numId w:val="0"/>
              </w:numPr>
              <w:ind w:left="173"/>
              <w:rPr>
                <w:b/>
                <w:i/>
              </w:rPr>
            </w:pPr>
          </w:p>
          <w:p w:rsidR="0049348F" w:rsidRPr="00A25418" w:rsidRDefault="000F4A02" w:rsidP="0049348F">
            <w:r w:rsidRPr="00A25418">
              <w:rPr>
                <w:b/>
                <w:i/>
              </w:rPr>
              <w:t>Note</w:t>
            </w:r>
            <w:r w:rsidRPr="00A25418">
              <w:t>:  Do not include an effective date of the proposed reduction or termination.</w:t>
            </w:r>
          </w:p>
        </w:tc>
      </w:tr>
    </w:tbl>
    <w:p w:rsidR="004D4178" w:rsidRPr="00A25418" w:rsidRDefault="00966131" w:rsidP="00966131">
      <w:pPr>
        <w:tabs>
          <w:tab w:val="left" w:pos="9360"/>
        </w:tabs>
        <w:ind w:left="1714"/>
      </w:pPr>
      <w:r w:rsidRPr="00A25418">
        <w:rPr>
          <w:u w:val="single"/>
        </w:rPr>
        <w:lastRenderedPageBreak/>
        <w:tab/>
      </w:r>
    </w:p>
    <w:p w:rsidR="00966131" w:rsidRPr="00A25418" w:rsidRDefault="00966131" w:rsidP="00966131">
      <w:pPr>
        <w:ind w:left="1714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740"/>
      </w:tblGrid>
      <w:tr w:rsidR="00816B9D" w:rsidRPr="00A25418" w:rsidTr="00163378">
        <w:tc>
          <w:tcPr>
            <w:tcW w:w="1728" w:type="dxa"/>
            <w:shd w:val="clear" w:color="auto" w:fill="auto"/>
          </w:tcPr>
          <w:p w:rsidR="00816B9D" w:rsidRPr="00A25418" w:rsidRDefault="00816B9D" w:rsidP="004D4178">
            <w:pPr>
              <w:rPr>
                <w:b/>
                <w:sz w:val="22"/>
              </w:rPr>
            </w:pPr>
            <w:r w:rsidRPr="00A25418">
              <w:rPr>
                <w:b/>
                <w:sz w:val="22"/>
              </w:rPr>
              <w:t>e.  Possible Scenarios After the Proposed Decision Is Sent Out</w:t>
            </w:r>
          </w:p>
        </w:tc>
        <w:tc>
          <w:tcPr>
            <w:tcW w:w="7740" w:type="dxa"/>
            <w:shd w:val="clear" w:color="auto" w:fill="auto"/>
          </w:tcPr>
          <w:p w:rsidR="00816B9D" w:rsidRPr="00A25418" w:rsidRDefault="00946751" w:rsidP="00BB40AD">
            <w:r w:rsidRPr="00A25418">
              <w:t xml:space="preserve">See the table below </w:t>
            </w:r>
            <w:r w:rsidR="000F4A02" w:rsidRPr="00A25418">
              <w:t xml:space="preserve">for </w:t>
            </w:r>
            <w:r w:rsidRPr="00A25418">
              <w:t xml:space="preserve">action to take based on response </w:t>
            </w:r>
            <w:r w:rsidR="000F4A02" w:rsidRPr="00A25418">
              <w:t xml:space="preserve">received </w:t>
            </w:r>
            <w:r w:rsidRPr="00A25418">
              <w:t>or no</w:t>
            </w:r>
            <w:r w:rsidR="00BB40AD" w:rsidRPr="00A25418">
              <w:t xml:space="preserve"> </w:t>
            </w:r>
            <w:r w:rsidRPr="00A25418">
              <w:t>response during the due process period</w:t>
            </w:r>
            <w:proofErr w:type="gramStart"/>
            <w:r w:rsidRPr="00A25418">
              <w:t xml:space="preserve">. </w:t>
            </w:r>
            <w:proofErr w:type="gramEnd"/>
          </w:p>
        </w:tc>
      </w:tr>
    </w:tbl>
    <w:p w:rsidR="00816B9D" w:rsidRPr="00A25418" w:rsidRDefault="00816B9D" w:rsidP="00A80B82"/>
    <w:tbl>
      <w:tblPr>
        <w:tblStyle w:val="TableGrid"/>
        <w:tblW w:w="7650" w:type="dxa"/>
        <w:tblInd w:w="1818" w:type="dxa"/>
        <w:tblLook w:val="04A0" w:firstRow="1" w:lastRow="0" w:firstColumn="1" w:lastColumn="0" w:noHBand="0" w:noVBand="1"/>
      </w:tblPr>
      <w:tblGrid>
        <w:gridCol w:w="3870"/>
        <w:gridCol w:w="3780"/>
      </w:tblGrid>
      <w:tr w:rsidR="00A80B82" w:rsidRPr="00A25418" w:rsidTr="00163378">
        <w:tc>
          <w:tcPr>
            <w:tcW w:w="3870" w:type="dxa"/>
          </w:tcPr>
          <w:p w:rsidR="00A80B82" w:rsidRPr="00A25418" w:rsidRDefault="00A80B82" w:rsidP="00A80B82">
            <w:pPr>
              <w:rPr>
                <w:b/>
              </w:rPr>
            </w:pPr>
            <w:r w:rsidRPr="00A25418">
              <w:rPr>
                <w:b/>
              </w:rPr>
              <w:t>If ...</w:t>
            </w:r>
          </w:p>
        </w:tc>
        <w:tc>
          <w:tcPr>
            <w:tcW w:w="3780" w:type="dxa"/>
          </w:tcPr>
          <w:p w:rsidR="00A80B82" w:rsidRPr="00A25418" w:rsidRDefault="00A80B82" w:rsidP="00A80B82">
            <w:pPr>
              <w:rPr>
                <w:b/>
              </w:rPr>
            </w:pPr>
            <w:r w:rsidRPr="00A25418">
              <w:rPr>
                <w:b/>
              </w:rPr>
              <w:t>Then ...</w:t>
            </w:r>
          </w:p>
        </w:tc>
      </w:tr>
      <w:tr w:rsidR="00A80B82" w:rsidRPr="00A25418" w:rsidTr="00163378">
        <w:tc>
          <w:tcPr>
            <w:tcW w:w="3870" w:type="dxa"/>
          </w:tcPr>
          <w:p w:rsidR="00A80B82" w:rsidRPr="00A25418" w:rsidRDefault="00A80B82" w:rsidP="00A80B82">
            <w:r w:rsidRPr="00A25418">
              <w:t>within 30 days the Veteran requests a hearing</w:t>
            </w:r>
          </w:p>
        </w:tc>
        <w:tc>
          <w:tcPr>
            <w:tcW w:w="3780" w:type="dxa"/>
          </w:tcPr>
          <w:p w:rsidR="00A80B82" w:rsidRPr="00A25418" w:rsidRDefault="00A80B82" w:rsidP="008B73A1">
            <w:proofErr w:type="gramStart"/>
            <w:r w:rsidRPr="00A25418">
              <w:t>defer</w:t>
            </w:r>
            <w:proofErr w:type="gramEnd"/>
            <w:r w:rsidRPr="00A25418">
              <w:t xml:space="preserve"> </w:t>
            </w:r>
            <w:r w:rsidR="00236BB6" w:rsidRPr="00A25418">
              <w:t xml:space="preserve">any </w:t>
            </w:r>
            <w:r w:rsidR="008B73A1" w:rsidRPr="00A25418">
              <w:t xml:space="preserve">further </w:t>
            </w:r>
            <w:r w:rsidR="00236BB6" w:rsidRPr="00A25418">
              <w:t xml:space="preserve">rating </w:t>
            </w:r>
            <w:r w:rsidRPr="00A25418">
              <w:t>action until after the hearing</w:t>
            </w:r>
            <w:r w:rsidR="008B73A1" w:rsidRPr="00A25418">
              <w:t>, and transcript is reviewed as additional evidence.</w:t>
            </w:r>
          </w:p>
        </w:tc>
      </w:tr>
      <w:tr w:rsidR="00A80B82" w:rsidRPr="00A25418" w:rsidTr="00163378">
        <w:tc>
          <w:tcPr>
            <w:tcW w:w="3870" w:type="dxa"/>
          </w:tcPr>
          <w:p w:rsidR="00A80B82" w:rsidRPr="00A25418" w:rsidRDefault="00A80B82" w:rsidP="00A80B82">
            <w:r w:rsidRPr="00A25418">
              <w:t>a hearing is requested after 30 days, but before the proposed date of reduction</w:t>
            </w:r>
          </w:p>
        </w:tc>
        <w:tc>
          <w:tcPr>
            <w:tcW w:w="3780" w:type="dxa"/>
          </w:tcPr>
          <w:p w:rsidR="00A80B82" w:rsidRPr="00A25418" w:rsidRDefault="00236BB6" w:rsidP="00A80B82">
            <w:proofErr w:type="gramStart"/>
            <w:r w:rsidRPr="00A25418">
              <w:t>p</w:t>
            </w:r>
            <w:r w:rsidR="00A80B82" w:rsidRPr="00A25418">
              <w:t>repare</w:t>
            </w:r>
            <w:proofErr w:type="gramEnd"/>
            <w:r w:rsidR="00A80B82" w:rsidRPr="00A25418">
              <w:t xml:space="preserve"> a subsequent rating decision finalizing the proposed decision, at the same time the hearing is being scheduled.</w:t>
            </w:r>
          </w:p>
          <w:p w:rsidR="00A80B82" w:rsidRPr="00A25418" w:rsidRDefault="00A80B82" w:rsidP="00A80B82"/>
          <w:p w:rsidR="00A80B82" w:rsidRPr="00A25418" w:rsidRDefault="00A80B82" w:rsidP="00A80B82">
            <w:r w:rsidRPr="00A25418">
              <w:rPr>
                <w:b/>
                <w:i/>
              </w:rPr>
              <w:t>Exception</w:t>
            </w:r>
            <w:r w:rsidRPr="00A25418">
              <w:t xml:space="preserve">: </w:t>
            </w:r>
            <w:r w:rsidR="00683D78" w:rsidRPr="00A25418">
              <w:t xml:space="preserve"> E</w:t>
            </w:r>
            <w:r w:rsidRPr="00A25418">
              <w:t xml:space="preserve">vidence </w:t>
            </w:r>
            <w:proofErr w:type="gramStart"/>
            <w:r w:rsidRPr="00A25418">
              <w:t>is received</w:t>
            </w:r>
            <w:proofErr w:type="gramEnd"/>
            <w:r w:rsidRPr="00A25418">
              <w:t xml:space="preserve"> which warrants a different determination.</w:t>
            </w:r>
          </w:p>
        </w:tc>
      </w:tr>
      <w:tr w:rsidR="00A80B82" w:rsidRPr="00A25418" w:rsidTr="00163378">
        <w:tc>
          <w:tcPr>
            <w:tcW w:w="3870" w:type="dxa"/>
          </w:tcPr>
          <w:p w:rsidR="00A80B82" w:rsidRPr="00A25418" w:rsidRDefault="00946751" w:rsidP="00946751">
            <w:r w:rsidRPr="00A25418">
              <w:t xml:space="preserve">the </w:t>
            </w:r>
            <w:r w:rsidR="00A80B82" w:rsidRPr="00A25418">
              <w:t>Veteran is willing to report for an examination</w:t>
            </w:r>
          </w:p>
        </w:tc>
        <w:tc>
          <w:tcPr>
            <w:tcW w:w="3780" w:type="dxa"/>
          </w:tcPr>
          <w:p w:rsidR="00A80B82" w:rsidRPr="00A25418" w:rsidRDefault="00236BB6" w:rsidP="00236BB6">
            <w:proofErr w:type="gramStart"/>
            <w:r w:rsidRPr="00A25418">
              <w:t>defer</w:t>
            </w:r>
            <w:proofErr w:type="gramEnd"/>
            <w:r w:rsidRPr="00A25418">
              <w:t xml:space="preserve"> any rating action</w:t>
            </w:r>
            <w:r w:rsidR="008B73A1" w:rsidRPr="00A25418">
              <w:t xml:space="preserve"> pending results of the examination.</w:t>
            </w:r>
          </w:p>
          <w:p w:rsidR="00236BB6" w:rsidRPr="00A25418" w:rsidRDefault="00236BB6" w:rsidP="00236BB6"/>
          <w:p w:rsidR="00236BB6" w:rsidRPr="00A25418" w:rsidRDefault="00236BB6" w:rsidP="00236BB6"/>
        </w:tc>
      </w:tr>
      <w:tr w:rsidR="00236BB6" w:rsidRPr="00A25418" w:rsidTr="00A80B82">
        <w:tc>
          <w:tcPr>
            <w:tcW w:w="3870" w:type="dxa"/>
          </w:tcPr>
          <w:p w:rsidR="00236BB6" w:rsidRPr="00A25418" w:rsidRDefault="00236BB6" w:rsidP="00AB154B">
            <w:r w:rsidRPr="00A25418">
              <w:t>no response is received after 60 days</w:t>
            </w:r>
          </w:p>
        </w:tc>
        <w:tc>
          <w:tcPr>
            <w:tcW w:w="3780" w:type="dxa"/>
          </w:tcPr>
          <w:p w:rsidR="00B92CAE" w:rsidRPr="00A25418" w:rsidRDefault="00BB40AD" w:rsidP="00FD6B66">
            <w:proofErr w:type="gramStart"/>
            <w:r w:rsidRPr="00A25418">
              <w:t>p</w:t>
            </w:r>
            <w:r w:rsidR="00D373BB" w:rsidRPr="00A25418">
              <w:t>repare</w:t>
            </w:r>
            <w:proofErr w:type="gramEnd"/>
            <w:r w:rsidR="00D373BB" w:rsidRPr="00A25418">
              <w:t xml:space="preserve"> a rating decision finalizing the proposed action.</w:t>
            </w:r>
          </w:p>
          <w:p w:rsidR="00B71EA6" w:rsidRPr="00A25418" w:rsidRDefault="00B71EA6" w:rsidP="00FD6B66"/>
          <w:p w:rsidR="00236BB6" w:rsidRPr="00A25418" w:rsidRDefault="00C0622A" w:rsidP="00BB40AD">
            <w:r w:rsidRPr="00A25418">
              <w:rPr>
                <w:b/>
                <w:i/>
              </w:rPr>
              <w:t>Reference</w:t>
            </w:r>
            <w:r w:rsidRPr="00A25418">
              <w:t>:  For more information on authorization action in cases of reduction or discontinuance for failure to report for review examination</w:t>
            </w:r>
            <w:r w:rsidR="00BB40AD" w:rsidRPr="00A25418">
              <w:t>,</w:t>
            </w:r>
            <w:r w:rsidRPr="00A25418">
              <w:t xml:space="preserve"> see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IV, Subpart ii, </w:t>
            </w:r>
            <w:proofErr w:type="spellStart"/>
            <w:r w:rsidRPr="00A25418">
              <w:t>3.B</w:t>
            </w:r>
            <w:proofErr w:type="spellEnd"/>
            <w:r w:rsidRPr="00A25418">
              <w:t>.</w:t>
            </w:r>
          </w:p>
        </w:tc>
      </w:tr>
    </w:tbl>
    <w:p w:rsidR="004D4178" w:rsidRPr="00A25418" w:rsidRDefault="004D4178" w:rsidP="004D4178">
      <w:pPr>
        <w:tabs>
          <w:tab w:val="left" w:pos="9360"/>
        </w:tabs>
        <w:ind w:left="1714"/>
      </w:pPr>
      <w:r w:rsidRPr="00A25418">
        <w:rPr>
          <w:u w:val="single"/>
        </w:rPr>
        <w:tab/>
      </w:r>
    </w:p>
    <w:p w:rsidR="00236BB6" w:rsidRPr="00A25418" w:rsidRDefault="00236BB6" w:rsidP="004D41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740"/>
      </w:tblGrid>
      <w:tr w:rsidR="00236BB6" w:rsidRPr="00A25418" w:rsidTr="00163378">
        <w:trPr>
          <w:trHeight w:val="810"/>
        </w:trPr>
        <w:tc>
          <w:tcPr>
            <w:tcW w:w="1728" w:type="dxa"/>
            <w:shd w:val="clear" w:color="auto" w:fill="auto"/>
          </w:tcPr>
          <w:p w:rsidR="00236BB6" w:rsidRPr="00A25418" w:rsidRDefault="00D373BB" w:rsidP="00D373BB">
            <w:pPr>
              <w:rPr>
                <w:b/>
                <w:sz w:val="22"/>
              </w:rPr>
            </w:pPr>
            <w:r w:rsidRPr="00A25418">
              <w:rPr>
                <w:b/>
                <w:sz w:val="22"/>
              </w:rPr>
              <w:t>f.  Finalizing the Proposed Rating Action</w:t>
            </w:r>
          </w:p>
        </w:tc>
        <w:tc>
          <w:tcPr>
            <w:tcW w:w="7740" w:type="dxa"/>
            <w:shd w:val="clear" w:color="auto" w:fill="auto"/>
          </w:tcPr>
          <w:p w:rsidR="00BA3B57" w:rsidRPr="00A25418" w:rsidRDefault="00D373BB" w:rsidP="00163378">
            <w:pPr>
              <w:pStyle w:val="BlockText"/>
            </w:pPr>
            <w:r w:rsidRPr="00A25418">
              <w:t xml:space="preserve">After expiration of the </w:t>
            </w:r>
            <w:proofErr w:type="gramStart"/>
            <w:r w:rsidRPr="00A25418">
              <w:t>60 day</w:t>
            </w:r>
            <w:proofErr w:type="gramEnd"/>
            <w:r w:rsidRPr="00A25418">
              <w:t xml:space="preserve"> period, a rating decision is warranted to finalize the proposed decision.</w:t>
            </w:r>
          </w:p>
        </w:tc>
      </w:tr>
    </w:tbl>
    <w:p w:rsidR="00EB1E79" w:rsidRPr="00A25418" w:rsidRDefault="00EB1E79" w:rsidP="00EB1E79"/>
    <w:tbl>
      <w:tblPr>
        <w:tblStyle w:val="TableGrid"/>
        <w:tblW w:w="7650" w:type="dxa"/>
        <w:tblInd w:w="1818" w:type="dxa"/>
        <w:tblLook w:val="04A0" w:firstRow="1" w:lastRow="0" w:firstColumn="1" w:lastColumn="0" w:noHBand="0" w:noVBand="1"/>
      </w:tblPr>
      <w:tblGrid>
        <w:gridCol w:w="3870"/>
        <w:gridCol w:w="3780"/>
      </w:tblGrid>
      <w:tr w:rsidR="00EB1E79" w:rsidRPr="00A25418" w:rsidTr="00EB1E79">
        <w:tc>
          <w:tcPr>
            <w:tcW w:w="3870" w:type="dxa"/>
          </w:tcPr>
          <w:p w:rsidR="00EB1E79" w:rsidRPr="00A25418" w:rsidRDefault="00EB1E79" w:rsidP="00EB1E79">
            <w:pPr>
              <w:rPr>
                <w:b/>
              </w:rPr>
            </w:pPr>
            <w:r w:rsidRPr="00A25418">
              <w:rPr>
                <w:b/>
              </w:rPr>
              <w:t>If ...</w:t>
            </w:r>
          </w:p>
        </w:tc>
        <w:tc>
          <w:tcPr>
            <w:tcW w:w="3780" w:type="dxa"/>
          </w:tcPr>
          <w:p w:rsidR="00EB1E79" w:rsidRPr="00A25418" w:rsidRDefault="00EB1E79" w:rsidP="00EB1E79">
            <w:pPr>
              <w:rPr>
                <w:b/>
              </w:rPr>
            </w:pPr>
            <w:r w:rsidRPr="00A25418">
              <w:rPr>
                <w:b/>
              </w:rPr>
              <w:t>Then ...</w:t>
            </w:r>
          </w:p>
        </w:tc>
      </w:tr>
      <w:tr w:rsidR="00EB1E79" w:rsidRPr="00A25418" w:rsidTr="00EB1E79">
        <w:tc>
          <w:tcPr>
            <w:tcW w:w="3870" w:type="dxa"/>
          </w:tcPr>
          <w:p w:rsidR="00EB1E79" w:rsidRPr="00A25418" w:rsidRDefault="00EB1E79" w:rsidP="00EB1E79">
            <w:r w:rsidRPr="00A25418">
              <w:t>no additional evidence was received, or if the Veteran fails to report for the rescheduled examination</w:t>
            </w:r>
          </w:p>
        </w:tc>
        <w:tc>
          <w:tcPr>
            <w:tcW w:w="3780" w:type="dxa"/>
          </w:tcPr>
          <w:p w:rsidR="00EB1E79" w:rsidRPr="00A25418" w:rsidRDefault="00EB1E79" w:rsidP="00EB1E79">
            <w:proofErr w:type="gramStart"/>
            <w:r w:rsidRPr="00A25418">
              <w:t>restate</w:t>
            </w:r>
            <w:proofErr w:type="gramEnd"/>
            <w:r w:rsidRPr="00A25418">
              <w:t xml:space="preserve"> the evidence reviewed, the previously proposed disability evaluation or decision, and effective </w:t>
            </w:r>
            <w:r w:rsidRPr="00A25418">
              <w:lastRenderedPageBreak/>
              <w:t>date of reduction (date of last payment).</w:t>
            </w:r>
          </w:p>
        </w:tc>
      </w:tr>
      <w:tr w:rsidR="00EB1E79" w:rsidRPr="00A25418" w:rsidTr="00EB1E79">
        <w:tc>
          <w:tcPr>
            <w:tcW w:w="3870" w:type="dxa"/>
          </w:tcPr>
          <w:p w:rsidR="00EB1E79" w:rsidRPr="00A25418" w:rsidRDefault="00EB1E79" w:rsidP="00EB1E79">
            <w:r w:rsidRPr="00A25418">
              <w:lastRenderedPageBreak/>
              <w:t>additional evidence was received, to include report of a rescheduled examination</w:t>
            </w:r>
            <w:r w:rsidR="00BB40AD" w:rsidRPr="00A25418">
              <w:t xml:space="preserve"> or hearing transcript</w:t>
            </w:r>
          </w:p>
        </w:tc>
        <w:tc>
          <w:tcPr>
            <w:tcW w:w="3780" w:type="dxa"/>
          </w:tcPr>
          <w:p w:rsidR="00EB1E79" w:rsidRPr="00A25418" w:rsidRDefault="00EB1E79" w:rsidP="00162DDD">
            <w:proofErr w:type="gramStart"/>
            <w:r w:rsidRPr="00A25418">
              <w:t>review</w:t>
            </w:r>
            <w:proofErr w:type="gramEnd"/>
            <w:r w:rsidRPr="00A25418">
              <w:t xml:space="preserve"> the evidence to determine the level of disability supported</w:t>
            </w:r>
            <w:r w:rsidR="00BB40AD" w:rsidRPr="00A25418">
              <w:t>.</w:t>
            </w:r>
          </w:p>
          <w:p w:rsidR="00EB1E79" w:rsidRPr="00A25418" w:rsidRDefault="00BB40AD" w:rsidP="00946751">
            <w:pPr>
              <w:pStyle w:val="BulletText1"/>
              <w:rPr>
                <w:szCs w:val="24"/>
              </w:rPr>
            </w:pPr>
            <w:r w:rsidRPr="00A25418">
              <w:t>I</w:t>
            </w:r>
            <w:r w:rsidR="00EB1E79" w:rsidRPr="00A25418">
              <w:t xml:space="preserve">f the evidence supports the </w:t>
            </w:r>
            <w:proofErr w:type="gramStart"/>
            <w:r w:rsidR="00EB1E79" w:rsidRPr="00A25418">
              <w:t>proposed  evaluation</w:t>
            </w:r>
            <w:proofErr w:type="gramEnd"/>
            <w:r w:rsidR="00EB1E79" w:rsidRPr="00A25418">
              <w:t xml:space="preserve"> or higher, indicate the final evaluation and </w:t>
            </w:r>
            <w:r w:rsidR="00EB1E79" w:rsidRPr="00A25418">
              <w:rPr>
                <w:szCs w:val="24"/>
              </w:rPr>
              <w:t>discuss the basis for the decision.</w:t>
            </w:r>
          </w:p>
          <w:p w:rsidR="004E60AF" w:rsidRPr="00A25418" w:rsidRDefault="00BB40AD" w:rsidP="00820BE2">
            <w:pPr>
              <w:pStyle w:val="ListParagraph"/>
              <w:numPr>
                <w:ilvl w:val="0"/>
                <w:numId w:val="61"/>
              </w:numPr>
              <w:spacing w:line="240" w:lineRule="auto"/>
              <w:ind w:left="158" w:hanging="187"/>
              <w:rPr>
                <w:rFonts w:ascii="Times New Roman" w:hAnsi="Times New Roman"/>
                <w:sz w:val="24"/>
                <w:szCs w:val="24"/>
              </w:rPr>
            </w:pPr>
            <w:r w:rsidRPr="00A25418">
              <w:rPr>
                <w:rFonts w:ascii="Times New Roman" w:hAnsi="Times New Roman"/>
                <w:sz w:val="24"/>
                <w:szCs w:val="24"/>
              </w:rPr>
              <w:t>I</w:t>
            </w:r>
            <w:r w:rsidR="00EB1E79" w:rsidRPr="00A25418">
              <w:rPr>
                <w:rFonts w:ascii="Times New Roman" w:hAnsi="Times New Roman"/>
                <w:sz w:val="24"/>
                <w:szCs w:val="24"/>
              </w:rPr>
              <w:t xml:space="preserve">f the evidence supports a lower evaluation than what was proposed, another proposed </w:t>
            </w:r>
            <w:r w:rsidRPr="00A25418">
              <w:rPr>
                <w:rFonts w:ascii="Times New Roman" w:hAnsi="Times New Roman"/>
                <w:sz w:val="24"/>
                <w:szCs w:val="24"/>
              </w:rPr>
              <w:t xml:space="preserve">decision </w:t>
            </w:r>
            <w:r w:rsidR="00EB1E79" w:rsidRPr="00A25418">
              <w:rPr>
                <w:rFonts w:ascii="Times New Roman" w:hAnsi="Times New Roman"/>
                <w:sz w:val="24"/>
                <w:szCs w:val="24"/>
              </w:rPr>
              <w:t xml:space="preserve">notification is in </w:t>
            </w:r>
            <w:proofErr w:type="gramStart"/>
            <w:r w:rsidR="00EB1E79" w:rsidRPr="00A25418">
              <w:rPr>
                <w:rFonts w:ascii="Times New Roman" w:hAnsi="Times New Roman"/>
                <w:sz w:val="24"/>
                <w:szCs w:val="24"/>
              </w:rPr>
              <w:t>order .</w:t>
            </w:r>
            <w:proofErr w:type="gramEnd"/>
          </w:p>
          <w:p w:rsidR="00D373BB" w:rsidRPr="00A25418" w:rsidRDefault="00D373BB" w:rsidP="00D373BB">
            <w:pPr>
              <w:pStyle w:val="BulletText1"/>
              <w:numPr>
                <w:ilvl w:val="0"/>
                <w:numId w:val="0"/>
              </w:numPr>
              <w:ind w:left="173" w:hanging="173"/>
            </w:pPr>
          </w:p>
          <w:p w:rsidR="00D373BB" w:rsidRPr="00A25418" w:rsidRDefault="00D373BB" w:rsidP="00BB40AD">
            <w:pPr>
              <w:pStyle w:val="BulletText1"/>
              <w:numPr>
                <w:ilvl w:val="0"/>
                <w:numId w:val="0"/>
              </w:numPr>
              <w:ind w:left="173" w:hanging="173"/>
            </w:pPr>
            <w:r w:rsidRPr="00A25418">
              <w:rPr>
                <w:b/>
                <w:i/>
                <w:szCs w:val="24"/>
              </w:rPr>
              <w:t>Note:</w:t>
            </w:r>
            <w:r w:rsidRPr="00A25418">
              <w:rPr>
                <w:szCs w:val="24"/>
              </w:rPr>
              <w:t xml:space="preserve">  For pension purposes, review evidence and assign an evaluation to each current disability.  If </w:t>
            </w:r>
            <w:proofErr w:type="gramStart"/>
            <w:r w:rsidRPr="00A25418">
              <w:rPr>
                <w:szCs w:val="24"/>
              </w:rPr>
              <w:t>criteria for permanent and total disability is</w:t>
            </w:r>
            <w:proofErr w:type="gramEnd"/>
            <w:r w:rsidRPr="00A25418">
              <w:rPr>
                <w:szCs w:val="24"/>
              </w:rPr>
              <w:t xml:space="preserve"> not met, prepare a rating decision finalizing discontinuance of pension, to include </w:t>
            </w:r>
            <w:r w:rsidR="00BB40AD" w:rsidRPr="00A25418">
              <w:rPr>
                <w:szCs w:val="24"/>
              </w:rPr>
              <w:t xml:space="preserve">any applicable </w:t>
            </w:r>
            <w:r w:rsidR="00683D78" w:rsidRPr="00A25418">
              <w:rPr>
                <w:szCs w:val="24"/>
              </w:rPr>
              <w:t>special monthly pension (</w:t>
            </w:r>
            <w:proofErr w:type="spellStart"/>
            <w:r w:rsidRPr="00A25418">
              <w:rPr>
                <w:szCs w:val="24"/>
              </w:rPr>
              <w:t>SMP</w:t>
            </w:r>
            <w:proofErr w:type="spellEnd"/>
            <w:r w:rsidR="00683D78" w:rsidRPr="00A25418">
              <w:rPr>
                <w:szCs w:val="24"/>
              </w:rPr>
              <w:t>)</w:t>
            </w:r>
            <w:r w:rsidRPr="00A25418">
              <w:rPr>
                <w:szCs w:val="24"/>
              </w:rPr>
              <w:t xml:space="preserve"> benefit.</w:t>
            </w:r>
          </w:p>
        </w:tc>
      </w:tr>
    </w:tbl>
    <w:p w:rsidR="00EB1E79" w:rsidRPr="00A25418" w:rsidRDefault="00EB1E79" w:rsidP="00163378"/>
    <w:tbl>
      <w:tblPr>
        <w:tblStyle w:val="TableGrid"/>
        <w:tblW w:w="77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EB1E79" w:rsidRPr="00A25418" w:rsidTr="00163378">
        <w:tc>
          <w:tcPr>
            <w:tcW w:w="7740" w:type="dxa"/>
            <w:shd w:val="clear" w:color="auto" w:fill="auto"/>
          </w:tcPr>
          <w:p w:rsidR="00EB1E79" w:rsidRPr="00A25418" w:rsidRDefault="00BB40AD" w:rsidP="00EB1E79">
            <w:r w:rsidRPr="00A25418">
              <w:rPr>
                <w:b/>
                <w:i/>
              </w:rPr>
              <w:t>Notes</w:t>
            </w:r>
            <w:r w:rsidRPr="00A25418">
              <w:t>:</w:t>
            </w:r>
          </w:p>
          <w:p w:rsidR="00EB1E79" w:rsidRPr="00A25418" w:rsidRDefault="00EB1E79" w:rsidP="00EB1E79">
            <w:pPr>
              <w:numPr>
                <w:ilvl w:val="0"/>
                <w:numId w:val="1"/>
              </w:numPr>
            </w:pPr>
            <w:r w:rsidRPr="00A25418">
              <w:t>code all disabilities with their new, contin</w:t>
            </w:r>
            <w:r w:rsidR="00BB40AD" w:rsidRPr="00A25418">
              <w:t>uing, and combined evaluations</w:t>
            </w:r>
          </w:p>
          <w:p w:rsidR="00EB1E79" w:rsidRPr="00A25418" w:rsidRDefault="00EB1E79" w:rsidP="00EB1E79">
            <w:pPr>
              <w:numPr>
                <w:ilvl w:val="0"/>
                <w:numId w:val="1"/>
              </w:numPr>
            </w:pPr>
            <w:r w:rsidRPr="00A25418">
              <w:t xml:space="preserve">include </w:t>
            </w:r>
            <w:proofErr w:type="spellStart"/>
            <w:r w:rsidRPr="00A25418">
              <w:t>noncompensable</w:t>
            </w:r>
            <w:proofErr w:type="spellEnd"/>
            <w:r w:rsidRPr="00A25418">
              <w:t xml:space="preserve"> SC disabilities</w:t>
            </w:r>
          </w:p>
          <w:p w:rsidR="00EB1E79" w:rsidRPr="00A25418" w:rsidRDefault="00EB1E79" w:rsidP="00EB1E79">
            <w:pPr>
              <w:numPr>
                <w:ilvl w:val="0"/>
                <w:numId w:val="1"/>
              </w:numPr>
            </w:pPr>
            <w:r w:rsidRPr="00A25418">
              <w:t xml:space="preserve">consider a compensable rating under </w:t>
            </w:r>
            <w:hyperlink r:id="rId19" w:history="1">
              <w:r w:rsidRPr="00A25418">
                <w:rPr>
                  <w:rStyle w:val="Hyperlink"/>
                </w:rPr>
                <w:t>38 CFR 3.324,</w:t>
              </w:r>
            </w:hyperlink>
            <w:r w:rsidRPr="00A25418">
              <w:t xml:space="preserve"> if applicable, and</w:t>
            </w:r>
          </w:p>
          <w:p w:rsidR="00EB1E79" w:rsidRPr="00A25418" w:rsidRDefault="00EB1E79" w:rsidP="00BB40AD">
            <w:pPr>
              <w:numPr>
                <w:ilvl w:val="0"/>
                <w:numId w:val="1"/>
              </w:numPr>
            </w:pPr>
            <w:proofErr w:type="gramStart"/>
            <w:r w:rsidRPr="00A25418">
              <w:t>use</w:t>
            </w:r>
            <w:proofErr w:type="gramEnd"/>
            <w:r w:rsidRPr="00A25418">
              <w:t xml:space="preserve"> the effective date the award </w:t>
            </w:r>
            <w:r w:rsidR="00BB40AD" w:rsidRPr="00A25418">
              <w:t>will be</w:t>
            </w:r>
            <w:r w:rsidRPr="00A25418">
              <w:t xml:space="preserve"> reduced as the effective date for the new combined evaluation.</w:t>
            </w:r>
          </w:p>
        </w:tc>
      </w:tr>
    </w:tbl>
    <w:p w:rsidR="00EB1E79" w:rsidRPr="00A25418" w:rsidRDefault="00EB1E79" w:rsidP="00EB1E79"/>
    <w:tbl>
      <w:tblPr>
        <w:tblStyle w:val="TableGrid"/>
        <w:tblW w:w="77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EB1E79" w:rsidRPr="00A25418" w:rsidTr="00363611">
        <w:tc>
          <w:tcPr>
            <w:tcW w:w="7740" w:type="dxa"/>
            <w:shd w:val="clear" w:color="auto" w:fill="auto"/>
          </w:tcPr>
          <w:p w:rsidR="00EB1E79" w:rsidRPr="00A25418" w:rsidRDefault="00EB1E79" w:rsidP="00EB1E79">
            <w:r w:rsidRPr="00A25418">
              <w:rPr>
                <w:b/>
                <w:i/>
              </w:rPr>
              <w:t>Reference</w:t>
            </w:r>
            <w:r w:rsidRPr="00A25418">
              <w:t xml:space="preserve">:  For more information on authorization action in cases of reduction or discontinuance for failure to report for review examination see,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IV, Subpart </w:t>
            </w:r>
            <w:r w:rsidR="00820BE2" w:rsidRPr="00A25418">
              <w:t xml:space="preserve">ii, </w:t>
            </w:r>
            <w:proofErr w:type="spellStart"/>
            <w:r w:rsidR="00820BE2" w:rsidRPr="00A25418">
              <w:t>3.B</w:t>
            </w:r>
            <w:proofErr w:type="spellEnd"/>
            <w:r w:rsidRPr="00A25418">
              <w:t>.</w:t>
            </w:r>
          </w:p>
          <w:p w:rsidR="00EB1E79" w:rsidRPr="00A25418" w:rsidRDefault="00EB1E79"/>
        </w:tc>
      </w:tr>
    </w:tbl>
    <w:p w:rsidR="00EB1E79" w:rsidRPr="00A25418" w:rsidRDefault="003B0512" w:rsidP="003B0512">
      <w:pPr>
        <w:pStyle w:val="BulletText1"/>
        <w:numPr>
          <w:ilvl w:val="0"/>
          <w:numId w:val="0"/>
        </w:numPr>
        <w:tabs>
          <w:tab w:val="left" w:pos="9360"/>
        </w:tabs>
        <w:ind w:left="1714" w:hanging="173"/>
      </w:pPr>
      <w:r w:rsidRPr="00A25418">
        <w:rPr>
          <w:u w:val="single"/>
        </w:rPr>
        <w:tab/>
      </w:r>
      <w:r w:rsidRPr="00A25418">
        <w:rPr>
          <w:u w:val="single"/>
        </w:rPr>
        <w:tab/>
      </w:r>
    </w:p>
    <w:p w:rsidR="003B0512" w:rsidRPr="00A25418" w:rsidRDefault="003B0512" w:rsidP="007F1ED1">
      <w:pPr>
        <w:pStyle w:val="BulletText1"/>
        <w:numPr>
          <w:ilvl w:val="0"/>
          <w:numId w:val="0"/>
        </w:numPr>
        <w:ind w:hanging="17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49348F" w:rsidP="00522D5E">
            <w:pPr>
              <w:pStyle w:val="Heading5"/>
            </w:pPr>
            <w:proofErr w:type="gramStart"/>
            <w:r w:rsidRPr="00A25418">
              <w:t>g</w:t>
            </w:r>
            <w:r w:rsidR="00A643FD" w:rsidRPr="00A25418">
              <w:t xml:space="preserve">.  </w:t>
            </w:r>
            <w:bookmarkStart w:id="4" w:name="d16"/>
            <w:bookmarkEnd w:id="4"/>
            <w:r w:rsidR="00A643FD" w:rsidRPr="00A25418">
              <w:t>Handling</w:t>
            </w:r>
            <w:proofErr w:type="gramEnd"/>
            <w:r w:rsidR="00A643FD" w:rsidRPr="00A25418">
              <w:t xml:space="preserve"> Failure to Report for Examination by a Veteran Receiving Pension</w:t>
            </w:r>
          </w:p>
        </w:tc>
        <w:tc>
          <w:tcPr>
            <w:tcW w:w="7740" w:type="dxa"/>
          </w:tcPr>
          <w:p w:rsidR="00F57D13" w:rsidRPr="00A25418" w:rsidRDefault="00F57D13" w:rsidP="00522D5E">
            <w:pPr>
              <w:pStyle w:val="BlockText"/>
            </w:pPr>
            <w:r w:rsidRPr="00A25418">
              <w:t xml:space="preserve">A Veteran receiving pension, by definition, has been rated permanently and </w:t>
            </w:r>
            <w:proofErr w:type="gramStart"/>
            <w:r w:rsidRPr="00A25418">
              <w:t>totally</w:t>
            </w:r>
            <w:proofErr w:type="gramEnd"/>
            <w:r w:rsidRPr="00A25418">
              <w:t xml:space="preserve"> disabled.</w:t>
            </w:r>
          </w:p>
          <w:p w:rsidR="00F57D13" w:rsidRPr="00A25418" w:rsidRDefault="00F57D13" w:rsidP="00522D5E">
            <w:pPr>
              <w:pStyle w:val="BlockText"/>
            </w:pPr>
          </w:p>
          <w:p w:rsidR="003B0512" w:rsidRPr="00A25418" w:rsidRDefault="00F57D13" w:rsidP="003B0512">
            <w:pPr>
              <w:pStyle w:val="BlockText"/>
            </w:pPr>
            <w:r w:rsidRPr="00A25418">
              <w:t xml:space="preserve">However, if a reason to review eligibility does come up and the </w:t>
            </w:r>
            <w:r w:rsidR="00C205AA" w:rsidRPr="00A25418">
              <w:t>Veteran</w:t>
            </w:r>
            <w:r w:rsidRPr="00A25418">
              <w:t xml:space="preserve"> fails to report for the examination, </w:t>
            </w:r>
            <w:r w:rsidR="00C205AA" w:rsidRPr="00A25418">
              <w:t xml:space="preserve">review </w:t>
            </w:r>
            <w:r w:rsidRPr="00A25418">
              <w:t xml:space="preserve">available medical </w:t>
            </w:r>
            <w:r w:rsidR="00C205AA" w:rsidRPr="00A25418">
              <w:t>evidence</w:t>
            </w:r>
            <w:r w:rsidRPr="00A25418">
              <w:t xml:space="preserve"> </w:t>
            </w:r>
            <w:r w:rsidR="00C205AA" w:rsidRPr="00A25418">
              <w:t>of record to determine</w:t>
            </w:r>
            <w:r w:rsidRPr="00A25418">
              <w:t xml:space="preserve"> continued eligibility</w:t>
            </w:r>
            <w:proofErr w:type="gramStart"/>
            <w:r w:rsidRPr="00A25418">
              <w:t>.</w:t>
            </w:r>
            <w:r w:rsidR="003F4CC4" w:rsidRPr="00A25418">
              <w:t xml:space="preserve"> </w:t>
            </w:r>
            <w:proofErr w:type="gramEnd"/>
            <w:r w:rsidRPr="00A25418">
              <w:t>This includes entitlement to</w:t>
            </w:r>
            <w:r w:rsidR="00683D78" w:rsidRPr="00A25418">
              <w:t xml:space="preserve"> </w:t>
            </w:r>
            <w:proofErr w:type="spellStart"/>
            <w:r w:rsidRPr="00A25418">
              <w:t>SMP</w:t>
            </w:r>
            <w:proofErr w:type="spellEnd"/>
            <w:r w:rsidRPr="00A25418">
              <w:t xml:space="preserve">.  </w:t>
            </w:r>
          </w:p>
          <w:p w:rsidR="00D60841" w:rsidRPr="00A25418" w:rsidRDefault="00D60841" w:rsidP="003B0512">
            <w:pPr>
              <w:pStyle w:val="BlockText"/>
            </w:pPr>
          </w:p>
          <w:p w:rsidR="00C205AA" w:rsidRPr="00A25418" w:rsidRDefault="00D60841" w:rsidP="003B0512">
            <w:pPr>
              <w:pStyle w:val="BlockText"/>
            </w:pPr>
            <w:r w:rsidRPr="00A25418">
              <w:t>Use the table below to determine which action to take based on review of the available medical evidence of record.</w:t>
            </w:r>
          </w:p>
        </w:tc>
      </w:tr>
    </w:tbl>
    <w:p w:rsidR="003B0512" w:rsidRPr="00A25418" w:rsidRDefault="003B0512" w:rsidP="003B0512"/>
    <w:tbl>
      <w:tblPr>
        <w:tblStyle w:val="TableGrid"/>
        <w:tblW w:w="7650" w:type="dxa"/>
        <w:tblInd w:w="1818" w:type="dxa"/>
        <w:tblLook w:val="04A0" w:firstRow="1" w:lastRow="0" w:firstColumn="1" w:lastColumn="0" w:noHBand="0" w:noVBand="1"/>
      </w:tblPr>
      <w:tblGrid>
        <w:gridCol w:w="3870"/>
        <w:gridCol w:w="3780"/>
      </w:tblGrid>
      <w:tr w:rsidR="003B0512" w:rsidRPr="00A25418" w:rsidTr="003B0512">
        <w:tc>
          <w:tcPr>
            <w:tcW w:w="3870" w:type="dxa"/>
          </w:tcPr>
          <w:p w:rsidR="003B0512" w:rsidRPr="00A25418" w:rsidRDefault="003B0512" w:rsidP="006140B8">
            <w:pPr>
              <w:pStyle w:val="TableHeaderText"/>
              <w:jc w:val="left"/>
            </w:pPr>
            <w:r w:rsidRPr="00A25418">
              <w:t>If ...</w:t>
            </w:r>
          </w:p>
        </w:tc>
        <w:tc>
          <w:tcPr>
            <w:tcW w:w="3780" w:type="dxa"/>
          </w:tcPr>
          <w:p w:rsidR="003B0512" w:rsidRPr="00A25418" w:rsidRDefault="003B0512" w:rsidP="006140B8">
            <w:pPr>
              <w:pStyle w:val="TableHeaderText"/>
              <w:jc w:val="left"/>
            </w:pPr>
            <w:r w:rsidRPr="00A25418">
              <w:t xml:space="preserve">Then </w:t>
            </w:r>
            <w:r w:rsidR="00D60841" w:rsidRPr="00A25418">
              <w:t>prepare a</w:t>
            </w:r>
            <w:r w:rsidRPr="00A25418">
              <w:t>...</w:t>
            </w:r>
          </w:p>
        </w:tc>
      </w:tr>
      <w:tr w:rsidR="003B0512" w:rsidRPr="00A25418" w:rsidTr="003B0512">
        <w:tc>
          <w:tcPr>
            <w:tcW w:w="3870" w:type="dxa"/>
          </w:tcPr>
          <w:p w:rsidR="003B0512" w:rsidRPr="00A25418" w:rsidRDefault="003B0512" w:rsidP="00E55F4C">
            <w:pPr>
              <w:pStyle w:val="TableText"/>
            </w:pPr>
            <w:r w:rsidRPr="00A25418">
              <w:t xml:space="preserve">the Veteran does not continue to meet </w:t>
            </w:r>
            <w:r w:rsidRPr="00A25418">
              <w:lastRenderedPageBreak/>
              <w:t>the criteria for</w:t>
            </w:r>
            <w:r w:rsidR="00D60841" w:rsidRPr="00A25418">
              <w:t xml:space="preserve"> </w:t>
            </w:r>
            <w:r w:rsidRPr="00A25418">
              <w:t>permanent and total disab</w:t>
            </w:r>
            <w:r w:rsidR="00D60841" w:rsidRPr="00A25418">
              <w:t>ility</w:t>
            </w:r>
          </w:p>
        </w:tc>
        <w:tc>
          <w:tcPr>
            <w:tcW w:w="3780" w:type="dxa"/>
          </w:tcPr>
          <w:p w:rsidR="003B0512" w:rsidRPr="00A25418" w:rsidRDefault="003B0512" w:rsidP="006140B8">
            <w:pPr>
              <w:pStyle w:val="TableText"/>
            </w:pPr>
            <w:r w:rsidRPr="00A25418">
              <w:lastRenderedPageBreak/>
              <w:t>“</w:t>
            </w:r>
            <w:proofErr w:type="gramStart"/>
            <w:r w:rsidRPr="00A25418">
              <w:rPr>
                <w:i/>
              </w:rPr>
              <w:t>failure</w:t>
            </w:r>
            <w:proofErr w:type="gramEnd"/>
            <w:r w:rsidRPr="00A25418">
              <w:rPr>
                <w:i/>
              </w:rPr>
              <w:t xml:space="preserve"> to report</w:t>
            </w:r>
            <w:r w:rsidRPr="00A25418">
              <w:t>”</w:t>
            </w:r>
            <w:r w:rsidRPr="00A25418">
              <w:rPr>
                <w:i/>
              </w:rPr>
              <w:t xml:space="preserve"> </w:t>
            </w:r>
            <w:r w:rsidRPr="00A25418">
              <w:t>rating and</w:t>
            </w:r>
            <w:r w:rsidRPr="00A25418">
              <w:rPr>
                <w:i/>
              </w:rPr>
              <w:t xml:space="preserve"> </w:t>
            </w:r>
            <w:r w:rsidRPr="00A25418">
              <w:t xml:space="preserve">notice </w:t>
            </w:r>
            <w:r w:rsidRPr="00A25418">
              <w:lastRenderedPageBreak/>
              <w:t xml:space="preserve">of proposed adverse action as required by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III, Subpart iv, </w:t>
            </w:r>
            <w:proofErr w:type="spellStart"/>
            <w:r w:rsidRPr="00A25418">
              <w:t>8.E.1</w:t>
            </w:r>
            <w:proofErr w:type="spellEnd"/>
            <w:r w:rsidRPr="00A25418">
              <w:t>.</w:t>
            </w:r>
          </w:p>
        </w:tc>
      </w:tr>
      <w:tr w:rsidR="003B0512" w:rsidRPr="00A25418" w:rsidTr="00D60841">
        <w:tc>
          <w:tcPr>
            <w:tcW w:w="3870" w:type="dxa"/>
          </w:tcPr>
          <w:p w:rsidR="003B0512" w:rsidRPr="00A25418" w:rsidRDefault="003B0512" w:rsidP="00820BE2">
            <w:pPr>
              <w:pStyle w:val="TableText"/>
            </w:pPr>
            <w:r w:rsidRPr="00A25418">
              <w:lastRenderedPageBreak/>
              <w:t>the Veteran</w:t>
            </w:r>
            <w:r w:rsidR="00820BE2" w:rsidRPr="00A25418">
              <w:t xml:space="preserve"> continues to meet the  criteria for</w:t>
            </w:r>
            <w:r w:rsidRPr="00A25418">
              <w:t xml:space="preserve"> permanent and total disab</w:t>
            </w:r>
            <w:r w:rsidR="00820BE2" w:rsidRPr="00A25418">
              <w:t>ility</w:t>
            </w:r>
          </w:p>
        </w:tc>
        <w:tc>
          <w:tcPr>
            <w:tcW w:w="3780" w:type="dxa"/>
            <w:shd w:val="clear" w:color="auto" w:fill="auto"/>
          </w:tcPr>
          <w:p w:rsidR="003B0512" w:rsidRPr="00A25418" w:rsidRDefault="003B0512" w:rsidP="006140B8">
            <w:pPr>
              <w:pStyle w:val="TableText"/>
            </w:pPr>
            <w:proofErr w:type="gramStart"/>
            <w:r w:rsidRPr="00A25418">
              <w:t>rating</w:t>
            </w:r>
            <w:proofErr w:type="gramEnd"/>
            <w:r w:rsidRPr="00A25418">
              <w:t xml:space="preserve"> showing the disabilities at the static level.</w:t>
            </w:r>
          </w:p>
        </w:tc>
      </w:tr>
    </w:tbl>
    <w:p w:rsidR="006140B8" w:rsidRPr="00A25418" w:rsidRDefault="006140B8" w:rsidP="006140B8"/>
    <w:tbl>
      <w:tblPr>
        <w:tblW w:w="7732" w:type="dxa"/>
        <w:tblInd w:w="1728" w:type="dxa"/>
        <w:tblLayout w:type="fixed"/>
        <w:tblLook w:val="0000" w:firstRow="0" w:lastRow="0" w:firstColumn="0" w:lastColumn="0" w:noHBand="0" w:noVBand="0"/>
      </w:tblPr>
      <w:tblGrid>
        <w:gridCol w:w="7732"/>
      </w:tblGrid>
      <w:tr w:rsidR="006140B8" w:rsidRPr="00A25418" w:rsidTr="006140B8">
        <w:tc>
          <w:tcPr>
            <w:tcW w:w="5000" w:type="pct"/>
            <w:shd w:val="clear" w:color="auto" w:fill="auto"/>
          </w:tcPr>
          <w:p w:rsidR="00D60841" w:rsidRPr="00A25418" w:rsidRDefault="00D60841" w:rsidP="0023484F">
            <w:pPr>
              <w:pStyle w:val="NoteText"/>
              <w:rPr>
                <w:szCs w:val="24"/>
              </w:rPr>
            </w:pPr>
            <w:r w:rsidRPr="00A25418">
              <w:rPr>
                <w:b/>
                <w:i/>
                <w:szCs w:val="24"/>
              </w:rPr>
              <w:t>Note</w:t>
            </w:r>
            <w:r w:rsidRPr="00A25418">
              <w:rPr>
                <w:szCs w:val="24"/>
              </w:rPr>
              <w:t xml:space="preserve">:  </w:t>
            </w:r>
            <w:r w:rsidRPr="00A25418">
              <w:t xml:space="preserve">Each known disability has to be reviewed for the purpose of updating evaluations assigned and determining if the </w:t>
            </w:r>
            <w:proofErr w:type="gramStart"/>
            <w:r w:rsidRPr="00A25418">
              <w:t>criteria for permanent and total disability continues</w:t>
            </w:r>
            <w:proofErr w:type="gramEnd"/>
            <w:r w:rsidRPr="00A25418">
              <w:t xml:space="preserve"> to be met.</w:t>
            </w:r>
          </w:p>
          <w:p w:rsidR="0023484F" w:rsidRPr="00A25418" w:rsidRDefault="0023484F" w:rsidP="0023484F">
            <w:pPr>
              <w:pStyle w:val="TableText"/>
              <w:tabs>
                <w:tab w:val="left" w:pos="2655"/>
              </w:tabs>
            </w:pPr>
          </w:p>
          <w:p w:rsidR="0023484F" w:rsidRPr="00A25418" w:rsidRDefault="0023484F" w:rsidP="0023484F">
            <w:pPr>
              <w:pStyle w:val="TableText"/>
              <w:tabs>
                <w:tab w:val="left" w:pos="2655"/>
              </w:tabs>
            </w:pPr>
            <w:r w:rsidRPr="00A25418">
              <w:rPr>
                <w:b/>
                <w:i/>
              </w:rPr>
              <w:t>Reference</w:t>
            </w:r>
            <w:r w:rsidRPr="00A25418">
              <w:t xml:space="preserve">: For more information on final action after the due process period see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III, Subpart iv, </w:t>
            </w:r>
            <w:proofErr w:type="spellStart"/>
            <w:r w:rsidRPr="00A25418">
              <w:t>8.E.1.f</w:t>
            </w:r>
            <w:proofErr w:type="spellEnd"/>
          </w:p>
          <w:p w:rsidR="006140B8" w:rsidRPr="00A25418" w:rsidRDefault="006140B8" w:rsidP="006140B8">
            <w:pPr>
              <w:pStyle w:val="NoteText"/>
            </w:pPr>
          </w:p>
        </w:tc>
      </w:tr>
    </w:tbl>
    <w:p w:rsidR="00A643FD" w:rsidRPr="00A25418" w:rsidRDefault="00A63759" w:rsidP="00363611">
      <w:pPr>
        <w:tabs>
          <w:tab w:val="left" w:pos="9360"/>
        </w:tabs>
        <w:ind w:left="1714"/>
      </w:pPr>
      <w:r w:rsidRPr="00A25418">
        <w:rPr>
          <w:u w:val="single"/>
        </w:rPr>
        <w:tab/>
      </w:r>
      <w:r w:rsidR="00A643FD" w:rsidRPr="00A25418">
        <w:t xml:space="preserve"> </w:t>
      </w:r>
    </w:p>
    <w:p w:rsidR="00A643FD" w:rsidRPr="00A25418" w:rsidRDefault="00A643FD" w:rsidP="00822C07">
      <w:pPr>
        <w:pStyle w:val="Heading4"/>
      </w:pPr>
      <w:r w:rsidRPr="00A25418">
        <w:br w:type="page"/>
      </w:r>
      <w:r w:rsidR="004E435C" w:rsidRPr="00A25418">
        <w:lastRenderedPageBreak/>
        <w:t>2</w:t>
      </w:r>
      <w:r w:rsidRPr="00A25418">
        <w:t xml:space="preserve">.  </w:t>
      </w:r>
      <w:bookmarkStart w:id="5" w:name="Topic17"/>
      <w:bookmarkEnd w:id="5"/>
      <w:r w:rsidRPr="00A25418">
        <w:t>Severance of Service Connection</w:t>
      </w:r>
    </w:p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r w:rsidRPr="00A25418">
              <w:t>Introduction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 xml:space="preserve">This topic contains information about severance of service connection, such as </w:t>
            </w:r>
          </w:p>
          <w:p w:rsidR="00A643FD" w:rsidRPr="00A25418" w:rsidRDefault="00A643FD" w:rsidP="00522D5E">
            <w:pPr>
              <w:pStyle w:val="BlockText"/>
            </w:pPr>
          </w:p>
          <w:p w:rsidR="005B2492" w:rsidRPr="00A25418" w:rsidRDefault="00531CEB" w:rsidP="005B2492">
            <w:pPr>
              <w:pStyle w:val="BulletText1"/>
            </w:pPr>
            <w:r w:rsidRPr="00A25418">
              <w:t>applying 38 CFR 3.105(a) and 38 CFR</w:t>
            </w:r>
            <w:r w:rsidR="005B2492" w:rsidRPr="00A25418">
              <w:t xml:space="preserve"> 3.105(d)</w:t>
            </w:r>
          </w:p>
          <w:p w:rsidR="005B2492" w:rsidRPr="00A25418" w:rsidRDefault="005B2492" w:rsidP="005B2492">
            <w:pPr>
              <w:pStyle w:val="BulletText1"/>
            </w:pPr>
            <w:r w:rsidRPr="00A25418">
              <w:t>severing service connection due to diagnosis change</w:t>
            </w:r>
          </w:p>
          <w:p w:rsidR="005B2492" w:rsidRPr="00A25418" w:rsidRDefault="005B2492" w:rsidP="005B2492">
            <w:pPr>
              <w:pStyle w:val="BulletText1"/>
            </w:pPr>
            <w:r w:rsidRPr="00A25418">
              <w:t>severing service connection for a psychosis</w:t>
            </w:r>
          </w:p>
          <w:p w:rsidR="005B2492" w:rsidRPr="00A25418" w:rsidRDefault="005B2492" w:rsidP="005B2492">
            <w:pPr>
              <w:pStyle w:val="BulletText1"/>
            </w:pPr>
            <w:r w:rsidRPr="00A25418">
              <w:t>handling severance of service connection</w:t>
            </w:r>
          </w:p>
          <w:p w:rsidR="005B2492" w:rsidRPr="00A25418" w:rsidRDefault="005B2492" w:rsidP="005B2492">
            <w:pPr>
              <w:pStyle w:val="BulletText1"/>
            </w:pPr>
            <w:r w:rsidRPr="00A25418">
              <w:t>handling multiple issues in cases involving severance of service connection</w:t>
            </w:r>
          </w:p>
          <w:p w:rsidR="005B2492" w:rsidRPr="00A25418" w:rsidRDefault="005B2492" w:rsidP="005B2492">
            <w:pPr>
              <w:pStyle w:val="BulletText1"/>
            </w:pPr>
            <w:r w:rsidRPr="00A25418">
              <w:t>handling increases in compensation in cases involving severance of service connection</w:t>
            </w:r>
          </w:p>
          <w:p w:rsidR="005B2492" w:rsidRPr="00A25418" w:rsidRDefault="005B2492" w:rsidP="005B2492">
            <w:pPr>
              <w:pStyle w:val="BulletText1"/>
            </w:pPr>
            <w:r w:rsidRPr="00A25418">
              <w:t>preparing the final rating decision in cases involving seve</w:t>
            </w:r>
            <w:r w:rsidR="003123C7" w:rsidRPr="00A25418">
              <w:t>rance of service connection</w:t>
            </w:r>
          </w:p>
          <w:p w:rsidR="00A643FD" w:rsidRPr="00A25418" w:rsidRDefault="005B2492" w:rsidP="005B2492">
            <w:pPr>
              <w:pStyle w:val="BulletText1"/>
            </w:pPr>
            <w:r w:rsidRPr="00A25418">
              <w:t>handling severance pro</w:t>
            </w:r>
            <w:r w:rsidR="003123C7" w:rsidRPr="00A25418">
              <w:t>posals upon the Veteran’s death, and</w:t>
            </w:r>
          </w:p>
          <w:p w:rsidR="000F5B33" w:rsidRPr="00A25418" w:rsidRDefault="003123C7" w:rsidP="003123C7">
            <w:pPr>
              <w:pStyle w:val="BulletText1"/>
            </w:pPr>
            <w:proofErr w:type="gramStart"/>
            <w:r w:rsidRPr="00A25418">
              <w:t>handling</w:t>
            </w:r>
            <w:proofErr w:type="gramEnd"/>
            <w:r w:rsidRPr="00A25418">
              <w:t xml:space="preserve"> severance of clearly illegal grants</w:t>
            </w:r>
            <w:r w:rsidR="00B5740B" w:rsidRPr="00A25418">
              <w:t xml:space="preserve"> of service connection.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r w:rsidRPr="00A25418">
              <w:t>Change Date</w:t>
            </w:r>
          </w:p>
        </w:tc>
        <w:tc>
          <w:tcPr>
            <w:tcW w:w="7740" w:type="dxa"/>
          </w:tcPr>
          <w:p w:rsidR="00A643FD" w:rsidRPr="00A25418" w:rsidRDefault="00A574AA" w:rsidP="00522D5E">
            <w:pPr>
              <w:pStyle w:val="BlockText"/>
            </w:pPr>
            <w:r w:rsidRPr="00A25418">
              <w:t>May 20, 2015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8B7434">
        <w:tc>
          <w:tcPr>
            <w:tcW w:w="1728" w:type="dxa"/>
          </w:tcPr>
          <w:p w:rsidR="00A643FD" w:rsidRPr="00A25418" w:rsidRDefault="00531CEB" w:rsidP="00522D5E">
            <w:pPr>
              <w:pStyle w:val="Heading5"/>
            </w:pPr>
            <w:proofErr w:type="gramStart"/>
            <w:r w:rsidRPr="00A25418">
              <w:t xml:space="preserve">a.  </w:t>
            </w:r>
            <w:bookmarkStart w:id="6" w:name="a17"/>
            <w:bookmarkEnd w:id="6"/>
            <w:r w:rsidRPr="00A25418">
              <w:t>Applying</w:t>
            </w:r>
            <w:proofErr w:type="gramEnd"/>
            <w:r w:rsidRPr="00A25418">
              <w:t xml:space="preserve"> 38 CFR 3.105(a) and 38 CFR</w:t>
            </w:r>
            <w:r w:rsidR="00A643FD" w:rsidRPr="00A25418">
              <w:t xml:space="preserve"> 3.105(d)</w:t>
            </w:r>
          </w:p>
        </w:tc>
        <w:tc>
          <w:tcPr>
            <w:tcW w:w="7740" w:type="dxa"/>
          </w:tcPr>
          <w:p w:rsidR="00791670" w:rsidRPr="00A25418" w:rsidRDefault="00791670" w:rsidP="00522D5E">
            <w:pPr>
              <w:pStyle w:val="BlockText"/>
            </w:pPr>
            <w:r w:rsidRPr="00A25418">
              <w:t xml:space="preserve">Revision of </w:t>
            </w:r>
            <w:proofErr w:type="gramStart"/>
            <w:r w:rsidRPr="00A25418">
              <w:t>decisions which</w:t>
            </w:r>
            <w:proofErr w:type="gramEnd"/>
            <w:r w:rsidRPr="00A25418">
              <w:t xml:space="preserve"> </w:t>
            </w:r>
            <w:r w:rsidR="0080524C" w:rsidRPr="00A25418">
              <w:t xml:space="preserve">are final and binding, to include decisions of service connection, </w:t>
            </w:r>
            <w:r w:rsidRPr="00A25418">
              <w:t>derives from</w:t>
            </w:r>
            <w:r w:rsidR="006C4059" w:rsidRPr="00A25418">
              <w:t xml:space="preserve"> </w:t>
            </w:r>
            <w:hyperlink r:id="rId20" w:history="1">
              <w:r w:rsidR="006C4059" w:rsidRPr="00A25418">
                <w:rPr>
                  <w:rStyle w:val="Hyperlink"/>
                </w:rPr>
                <w:t xml:space="preserve">38 </w:t>
              </w:r>
              <w:proofErr w:type="spellStart"/>
              <w:r w:rsidR="006C4059" w:rsidRPr="00A25418">
                <w:rPr>
                  <w:rStyle w:val="Hyperlink"/>
                </w:rPr>
                <w:t>U.S.C</w:t>
              </w:r>
              <w:proofErr w:type="spellEnd"/>
              <w:r w:rsidR="00D14A4D" w:rsidRPr="00A25418">
                <w:rPr>
                  <w:rStyle w:val="Hyperlink"/>
                </w:rPr>
                <w:t>.</w:t>
              </w:r>
              <w:r w:rsidR="006C4059" w:rsidRPr="00A25418">
                <w:rPr>
                  <w:rStyle w:val="Hyperlink"/>
                </w:rPr>
                <w:t xml:space="preserve"> 7111</w:t>
              </w:r>
            </w:hyperlink>
            <w:r w:rsidRPr="00A25418">
              <w:t>, and implemented in</w:t>
            </w:r>
            <w:r w:rsidR="006C4059" w:rsidRPr="00A25418">
              <w:t xml:space="preserve"> </w:t>
            </w:r>
            <w:hyperlink r:id="rId21" w:history="1">
              <w:r w:rsidR="006C4059" w:rsidRPr="00A25418">
                <w:rPr>
                  <w:rStyle w:val="Hyperlink"/>
                </w:rPr>
                <w:t>38 CFR 3.105</w:t>
              </w:r>
            </w:hyperlink>
            <w:r w:rsidRPr="00A25418">
              <w:t xml:space="preserve">. </w:t>
            </w:r>
          </w:p>
          <w:p w:rsidR="00791670" w:rsidRPr="00A25418" w:rsidRDefault="00791670" w:rsidP="00522D5E">
            <w:pPr>
              <w:pStyle w:val="BlockText"/>
            </w:pPr>
          </w:p>
          <w:p w:rsidR="00B54A64" w:rsidRPr="00A25418" w:rsidRDefault="0080524C" w:rsidP="003C178D">
            <w:pPr>
              <w:pStyle w:val="BulletText1"/>
              <w:rPr>
                <w:rFonts w:eastAsia="Calibri"/>
              </w:rPr>
            </w:pPr>
            <w:r w:rsidRPr="00A25418">
              <w:rPr>
                <w:rFonts w:eastAsia="Calibri"/>
                <w:szCs w:val="24"/>
              </w:rPr>
              <w:t>P</w:t>
            </w:r>
            <w:r w:rsidR="00A643FD" w:rsidRPr="00A25418">
              <w:rPr>
                <w:rFonts w:eastAsia="Calibri"/>
                <w:szCs w:val="24"/>
              </w:rPr>
              <w:t xml:space="preserve">ursuant to </w:t>
            </w:r>
            <w:hyperlink r:id="rId22" w:history="1">
              <w:r w:rsidR="00531CEB" w:rsidRPr="00A25418">
                <w:rPr>
                  <w:rStyle w:val="Hyperlink"/>
                  <w:rFonts w:eastAsia="Calibri"/>
                  <w:szCs w:val="24"/>
                </w:rPr>
                <w:t>38 CFR</w:t>
              </w:r>
              <w:r w:rsidR="00A643FD" w:rsidRPr="00A25418">
                <w:rPr>
                  <w:rStyle w:val="Hyperlink"/>
                  <w:rFonts w:eastAsia="Calibri"/>
                  <w:szCs w:val="24"/>
                </w:rPr>
                <w:t xml:space="preserve"> 3.105(a)</w:t>
              </w:r>
            </w:hyperlink>
            <w:r w:rsidR="00AE0AA6" w:rsidRPr="00A25418">
              <w:rPr>
                <w:rFonts w:eastAsia="Calibri"/>
              </w:rPr>
              <w:t>,</w:t>
            </w:r>
            <w:r w:rsidR="00B54A64" w:rsidRPr="00A25418">
              <w:rPr>
                <w:rFonts w:eastAsia="Calibri"/>
              </w:rPr>
              <w:t xml:space="preserve"> </w:t>
            </w:r>
            <w:r w:rsidR="00220762" w:rsidRPr="00A25418">
              <w:rPr>
                <w:rFonts w:eastAsia="Calibri"/>
              </w:rPr>
              <w:t>final and binding determinations</w:t>
            </w:r>
            <w:r w:rsidR="00AE0AA6" w:rsidRPr="00A25418">
              <w:rPr>
                <w:rFonts w:eastAsia="Calibri"/>
              </w:rPr>
              <w:t xml:space="preserve"> c</w:t>
            </w:r>
            <w:r w:rsidR="00B54A64" w:rsidRPr="00A25418">
              <w:rPr>
                <w:rFonts w:eastAsia="Calibri"/>
              </w:rPr>
              <w:t xml:space="preserve">an </w:t>
            </w:r>
            <w:proofErr w:type="gramStart"/>
            <w:r w:rsidR="00B54A64" w:rsidRPr="00A25418">
              <w:rPr>
                <w:rFonts w:eastAsia="Calibri"/>
              </w:rPr>
              <w:t xml:space="preserve">be </w:t>
            </w:r>
            <w:r w:rsidR="00220762" w:rsidRPr="00A25418">
              <w:rPr>
                <w:rFonts w:eastAsia="Calibri"/>
              </w:rPr>
              <w:t>reversed or amended where evide</w:t>
            </w:r>
            <w:r w:rsidR="00AE0AA6" w:rsidRPr="00A25418">
              <w:rPr>
                <w:rFonts w:eastAsia="Calibri"/>
              </w:rPr>
              <w:t>nce establishes a clear and unmistakable error</w:t>
            </w:r>
            <w:proofErr w:type="gramEnd"/>
            <w:r w:rsidR="00B54A64" w:rsidRPr="00A25418">
              <w:rPr>
                <w:rFonts w:eastAsia="Calibri"/>
              </w:rPr>
              <w:t>.</w:t>
            </w:r>
          </w:p>
          <w:p w:rsidR="00220762" w:rsidRPr="00A25418" w:rsidRDefault="00B54A64" w:rsidP="003C178D">
            <w:pPr>
              <w:pStyle w:val="BulletText1"/>
            </w:pPr>
            <w:r w:rsidRPr="00A25418">
              <w:t xml:space="preserve">Under  </w:t>
            </w:r>
            <w:hyperlink r:id="rId23" w:history="1">
              <w:r w:rsidRPr="00A25418">
                <w:rPr>
                  <w:rStyle w:val="Hyperlink"/>
                  <w:szCs w:val="24"/>
                </w:rPr>
                <w:t>38 CFR 3.105(d)</w:t>
              </w:r>
            </w:hyperlink>
            <w:r w:rsidR="00220762" w:rsidRPr="00A25418">
              <w:t xml:space="preserve">, subject to limitations in </w:t>
            </w:r>
            <w:hyperlink r:id="rId24" w:history="1">
              <w:r w:rsidR="00685FF3" w:rsidRPr="00A25418">
                <w:rPr>
                  <w:rStyle w:val="Hyperlink"/>
                </w:rPr>
                <w:t>38 CFR 3.114</w:t>
              </w:r>
            </w:hyperlink>
            <w:r w:rsidR="00685FF3" w:rsidRPr="00A25418">
              <w:t xml:space="preserve"> </w:t>
            </w:r>
            <w:r w:rsidR="00220762" w:rsidRPr="00A25418">
              <w:t>and</w:t>
            </w:r>
            <w:r w:rsidR="00685FF3" w:rsidRPr="00A25418">
              <w:t xml:space="preserve"> </w:t>
            </w:r>
            <w:hyperlink r:id="rId25" w:history="1">
              <w:r w:rsidR="00685FF3" w:rsidRPr="00A25418">
                <w:rPr>
                  <w:rStyle w:val="Hyperlink"/>
                </w:rPr>
                <w:t>38 CFR 3.957</w:t>
              </w:r>
            </w:hyperlink>
            <w:r w:rsidR="00220762" w:rsidRPr="00A25418">
              <w:t xml:space="preserve">, </w:t>
            </w:r>
            <w:r w:rsidRPr="00A25418">
              <w:t xml:space="preserve"> service connection </w:t>
            </w:r>
            <w:r w:rsidR="00677B28" w:rsidRPr="00A25418">
              <w:t>cannot</w:t>
            </w:r>
            <w:r w:rsidRPr="00A25418">
              <w:t xml:space="preserve"> be severed unless</w:t>
            </w:r>
            <w:r w:rsidR="00220762" w:rsidRPr="00A25418">
              <w:t xml:space="preserve"> evidence</w:t>
            </w:r>
            <w:r w:rsidR="00AE0AA6" w:rsidRPr="00A25418">
              <w:t xml:space="preserve"> showing</w:t>
            </w:r>
            <w:r w:rsidR="00220762" w:rsidRPr="00A25418">
              <w:t xml:space="preserve"> </w:t>
            </w:r>
            <w:r w:rsidR="00AE0AA6" w:rsidRPr="00A25418">
              <w:t>a clear and unmistakable error exists in the prior determination</w:t>
            </w:r>
            <w:r w:rsidR="00220762" w:rsidRPr="00A25418">
              <w:t>.</w:t>
            </w:r>
            <w:r w:rsidR="00AE0AA6" w:rsidRPr="00A25418">
              <w:t xml:space="preserve">  </w:t>
            </w:r>
            <w:r w:rsidR="00CA1D38" w:rsidRPr="00A25418">
              <w:t>This</w:t>
            </w:r>
            <w:r w:rsidR="00AE0AA6" w:rsidRPr="00A25418">
              <w:t xml:space="preserve"> includes all </w:t>
            </w:r>
            <w:r w:rsidR="005D1505" w:rsidRPr="00A25418">
              <w:t xml:space="preserve">evidence of record at the time of the previous decision </w:t>
            </w:r>
            <w:r w:rsidR="005D1505" w:rsidRPr="00A25418">
              <w:rPr>
                <w:i/>
              </w:rPr>
              <w:t>and</w:t>
            </w:r>
            <w:r w:rsidR="005D1505" w:rsidRPr="00A25418">
              <w:t xml:space="preserve"> </w:t>
            </w:r>
            <w:r w:rsidR="00AE0AA6" w:rsidRPr="00A25418">
              <w:t>post-decisional</w:t>
            </w:r>
            <w:r w:rsidR="005D1505" w:rsidRPr="00A25418">
              <w:t>/</w:t>
            </w:r>
            <w:r w:rsidR="00AE0AA6" w:rsidRPr="00A25418">
              <w:t>contemporaneous</w:t>
            </w:r>
            <w:r w:rsidR="005D1505" w:rsidRPr="00A25418">
              <w:t>.</w:t>
            </w:r>
          </w:p>
          <w:p w:rsidR="003C178D" w:rsidRPr="00A25418" w:rsidRDefault="003C178D" w:rsidP="00522D5E">
            <w:pPr>
              <w:pStyle w:val="BlockText"/>
              <w:rPr>
                <w:b/>
                <w:i/>
              </w:rPr>
            </w:pPr>
          </w:p>
          <w:p w:rsidR="006534F1" w:rsidRPr="00A25418" w:rsidRDefault="00BA2ED7" w:rsidP="00522D5E">
            <w:pPr>
              <w:pStyle w:val="BlockText"/>
            </w:pPr>
            <w:r w:rsidRPr="00A25418">
              <w:rPr>
                <w:b/>
                <w:i/>
              </w:rPr>
              <w:t>Exception</w:t>
            </w:r>
            <w:r w:rsidRPr="00A25418">
              <w:t xml:space="preserve">:  </w:t>
            </w:r>
            <w:r w:rsidR="00EF4288" w:rsidRPr="00A25418">
              <w:t>W</w:t>
            </w:r>
            <w:r w:rsidRPr="00A25418">
              <w:t xml:space="preserve">hen </w:t>
            </w:r>
            <w:r w:rsidR="005D5FCF" w:rsidRPr="00A25418">
              <w:t xml:space="preserve">VA determines </w:t>
            </w:r>
            <w:r w:rsidRPr="00A25418">
              <w:t>that there is no legal entitlement for a</w:t>
            </w:r>
            <w:r w:rsidR="004A5A1B" w:rsidRPr="00A25418">
              <w:t xml:space="preserve"> previous award of VA benefits (when service connection is clearly illegal)</w:t>
            </w:r>
            <w:r w:rsidR="005D5FCF" w:rsidRPr="00A25418">
              <w:t>,</w:t>
            </w:r>
            <w:r w:rsidR="004A5A1B" w:rsidRPr="00A25418">
              <w:t xml:space="preserve"> </w:t>
            </w:r>
            <w:r w:rsidRPr="00A25418">
              <w:t xml:space="preserve">VA is not required to </w:t>
            </w:r>
            <w:r w:rsidR="005D5FCF" w:rsidRPr="00A25418">
              <w:t xml:space="preserve">establish </w:t>
            </w:r>
            <w:r w:rsidRPr="00A25418">
              <w:t xml:space="preserve">that the original decision was clearly and unmistakably erroneous </w:t>
            </w:r>
            <w:r w:rsidR="005D5FCF" w:rsidRPr="00A25418">
              <w:t xml:space="preserve">per </w:t>
            </w:r>
            <w:hyperlink r:id="rId26" w:history="1">
              <w:r w:rsidR="005D5FCF" w:rsidRPr="00A25418">
                <w:rPr>
                  <w:rStyle w:val="Hyperlink"/>
                </w:rPr>
                <w:t xml:space="preserve">38 </w:t>
              </w:r>
              <w:proofErr w:type="spellStart"/>
              <w:r w:rsidR="005D5FCF" w:rsidRPr="00A25418">
                <w:rPr>
                  <w:rStyle w:val="Hyperlink"/>
                </w:rPr>
                <w:t>C.F.R</w:t>
              </w:r>
              <w:proofErr w:type="spellEnd"/>
              <w:r w:rsidR="005D5FCF" w:rsidRPr="00A25418">
                <w:rPr>
                  <w:rStyle w:val="Hyperlink"/>
                </w:rPr>
                <w:t>. § 3.105(d)</w:t>
              </w:r>
            </w:hyperlink>
            <w:r w:rsidR="005D5FCF" w:rsidRPr="00A25418">
              <w:t xml:space="preserve"> </w:t>
            </w:r>
            <w:r w:rsidR="004A5A1B" w:rsidRPr="00A25418">
              <w:t xml:space="preserve">in order </w:t>
            </w:r>
            <w:r w:rsidRPr="00A25418">
              <w:t>to sever serv</w:t>
            </w:r>
            <w:r w:rsidR="004A5A1B" w:rsidRPr="00A25418">
              <w:t>ice connection</w:t>
            </w:r>
            <w:proofErr w:type="gramStart"/>
            <w:r w:rsidR="004A5A1B" w:rsidRPr="00A25418">
              <w:t xml:space="preserve">. </w:t>
            </w:r>
            <w:proofErr w:type="gramEnd"/>
            <w:r w:rsidR="002E60A3">
              <w:fldChar w:fldCharType="begin"/>
            </w:r>
            <w:r w:rsidR="002E60A3">
              <w:instrText xml:space="preserve"> HYPERLINK "http://vbaw.vba.va.gov/bl/21/advisory/CAVCDAD.htm" \l "bma" </w:instrText>
            </w:r>
            <w:r w:rsidR="002E60A3">
              <w:fldChar w:fldCharType="separate"/>
            </w:r>
            <w:r w:rsidR="004A5A1B" w:rsidRPr="00A25418">
              <w:rPr>
                <w:rStyle w:val="Hyperlink"/>
                <w:i/>
              </w:rPr>
              <w:t>Allen and Key v. Nicholson</w:t>
            </w:r>
            <w:r w:rsidR="002E60A3">
              <w:rPr>
                <w:rStyle w:val="Hyperlink"/>
                <w:i/>
              </w:rPr>
              <w:fldChar w:fldCharType="end"/>
            </w:r>
            <w:r w:rsidR="004A5A1B" w:rsidRPr="00A25418">
              <w:rPr>
                <w:i/>
              </w:rPr>
              <w:t>,</w:t>
            </w:r>
            <w:r w:rsidR="004A5A1B" w:rsidRPr="00A25418">
              <w:t xml:space="preserve"> 21 Vet</w:t>
            </w:r>
            <w:proofErr w:type="gramStart"/>
            <w:r w:rsidR="004A5A1B" w:rsidRPr="00A25418">
              <w:t>. App. 54, 57 (2007).</w:t>
            </w:r>
            <w:proofErr w:type="gramEnd"/>
          </w:p>
          <w:p w:rsidR="005D5FCF" w:rsidRPr="00A25418" w:rsidRDefault="005D5FCF" w:rsidP="00522D5E">
            <w:pPr>
              <w:pStyle w:val="BlockText"/>
            </w:pPr>
          </w:p>
          <w:p w:rsidR="004A5A1B" w:rsidRPr="00A25418" w:rsidRDefault="00A643FD" w:rsidP="00522D5E">
            <w:pPr>
              <w:pStyle w:val="BlockText"/>
            </w:pPr>
            <w:r w:rsidRPr="00A25418">
              <w:rPr>
                <w:b/>
                <w:i/>
              </w:rPr>
              <w:t>Reference</w:t>
            </w:r>
            <w:r w:rsidR="004A5A1B" w:rsidRPr="00A25418">
              <w:rPr>
                <w:b/>
                <w:i/>
              </w:rPr>
              <w:t>s</w:t>
            </w:r>
            <w:r w:rsidRPr="00A25418">
              <w:t xml:space="preserve">:  For more information on </w:t>
            </w:r>
          </w:p>
          <w:p w:rsidR="00A643FD" w:rsidRPr="00A25418" w:rsidRDefault="00A643FD" w:rsidP="004A5A1B">
            <w:pPr>
              <w:pStyle w:val="BulletText1"/>
              <w:rPr>
                <w:szCs w:val="24"/>
              </w:rPr>
            </w:pPr>
            <w:r w:rsidRPr="00A25418">
              <w:rPr>
                <w:szCs w:val="24"/>
              </w:rPr>
              <w:t xml:space="preserve">the ten-year protection even when service connection is erroneous, see </w:t>
            </w:r>
            <w:proofErr w:type="spellStart"/>
            <w:r w:rsidRPr="00A25418">
              <w:rPr>
                <w:szCs w:val="24"/>
              </w:rPr>
              <w:t>M21</w:t>
            </w:r>
            <w:proofErr w:type="spellEnd"/>
            <w:r w:rsidRPr="00A25418">
              <w:rPr>
                <w:szCs w:val="24"/>
              </w:rPr>
              <w:t xml:space="preserve">-1, Part III, Subpart iv, </w:t>
            </w:r>
            <w:proofErr w:type="spellStart"/>
            <w:r w:rsidRPr="00A25418">
              <w:rPr>
                <w:szCs w:val="24"/>
              </w:rPr>
              <w:t>8.C.9</w:t>
            </w:r>
            <w:proofErr w:type="spellEnd"/>
          </w:p>
          <w:p w:rsidR="004A5A1B" w:rsidRPr="00A25418" w:rsidRDefault="009C3E34" w:rsidP="00B752C0">
            <w:pPr>
              <w:pStyle w:val="BulletText1"/>
              <w:rPr>
                <w:szCs w:val="24"/>
              </w:rPr>
            </w:pPr>
            <w:r w:rsidRPr="00A25418">
              <w:rPr>
                <w:szCs w:val="24"/>
              </w:rPr>
              <w:t xml:space="preserve">due process to </w:t>
            </w:r>
            <w:r w:rsidR="004A5A1B" w:rsidRPr="00A25418">
              <w:rPr>
                <w:szCs w:val="24"/>
              </w:rPr>
              <w:t>sever service connection when clearly illegal/without legal entitlement</w:t>
            </w:r>
            <w:r w:rsidR="00EF4288" w:rsidRPr="00A25418">
              <w:rPr>
                <w:szCs w:val="24"/>
              </w:rPr>
              <w:t>,</w:t>
            </w:r>
            <w:r w:rsidR="004A5A1B" w:rsidRPr="00A25418">
              <w:rPr>
                <w:szCs w:val="24"/>
              </w:rPr>
              <w:t xml:space="preserve"> see </w:t>
            </w:r>
            <w:proofErr w:type="spellStart"/>
            <w:r w:rsidR="004A5A1B" w:rsidRPr="00A25418">
              <w:rPr>
                <w:szCs w:val="24"/>
              </w:rPr>
              <w:t>M21</w:t>
            </w:r>
            <w:proofErr w:type="spellEnd"/>
            <w:r w:rsidR="004A5A1B" w:rsidRPr="00A25418">
              <w:rPr>
                <w:szCs w:val="24"/>
              </w:rPr>
              <w:t xml:space="preserve">-1, Part III, Subpart iv, </w:t>
            </w:r>
            <w:proofErr w:type="spellStart"/>
            <w:r w:rsidR="004A5A1B" w:rsidRPr="00A25418">
              <w:rPr>
                <w:szCs w:val="24"/>
              </w:rPr>
              <w:t>8.E.</w:t>
            </w:r>
            <w:r w:rsidR="00B752C0" w:rsidRPr="00A25418">
              <w:rPr>
                <w:szCs w:val="24"/>
              </w:rPr>
              <w:t>2</w:t>
            </w:r>
            <w:r w:rsidR="004A5A1B" w:rsidRPr="00A25418">
              <w:rPr>
                <w:szCs w:val="24"/>
              </w:rPr>
              <w:t>.i</w:t>
            </w:r>
            <w:proofErr w:type="spellEnd"/>
            <w:r w:rsidR="00E76167" w:rsidRPr="00A25418">
              <w:rPr>
                <w:szCs w:val="24"/>
              </w:rPr>
              <w:t>, and</w:t>
            </w:r>
          </w:p>
          <w:p w:rsidR="00CA1D38" w:rsidRPr="00A25418" w:rsidRDefault="00CA1D38">
            <w:pPr>
              <w:pStyle w:val="BulletText1"/>
            </w:pPr>
            <w:proofErr w:type="gramStart"/>
            <w:r w:rsidRPr="00A25418">
              <w:rPr>
                <w:szCs w:val="24"/>
              </w:rPr>
              <w:t>evidence</w:t>
            </w:r>
            <w:proofErr w:type="gramEnd"/>
            <w:r w:rsidRPr="00A25418">
              <w:rPr>
                <w:szCs w:val="24"/>
              </w:rPr>
              <w:t xml:space="preserve"> </w:t>
            </w:r>
            <w:r w:rsidR="00EF4288" w:rsidRPr="00A25418">
              <w:rPr>
                <w:szCs w:val="24"/>
              </w:rPr>
              <w:t xml:space="preserve">developed subsequent to an award of service </w:t>
            </w:r>
            <w:r w:rsidR="00677B28" w:rsidRPr="00A25418">
              <w:rPr>
                <w:szCs w:val="24"/>
              </w:rPr>
              <w:t>connection</w:t>
            </w:r>
            <w:r w:rsidR="00EF4288" w:rsidRPr="00A25418">
              <w:rPr>
                <w:szCs w:val="24"/>
              </w:rPr>
              <w:t>,</w:t>
            </w:r>
            <w:r w:rsidRPr="00A25418">
              <w:rPr>
                <w:szCs w:val="24"/>
              </w:rPr>
              <w:t xml:space="preserve"> see </w:t>
            </w:r>
            <w:hyperlink r:id="rId27" w:anchor="bms" w:history="1">
              <w:r w:rsidR="0072398C" w:rsidRPr="00A25418">
                <w:rPr>
                  <w:rStyle w:val="Hyperlink"/>
                  <w:i/>
                  <w:szCs w:val="24"/>
                </w:rPr>
                <w:t>Stallworth v. Nicholson</w:t>
              </w:r>
            </w:hyperlink>
            <w:r w:rsidR="0072398C" w:rsidRPr="00A25418">
              <w:rPr>
                <w:szCs w:val="24"/>
              </w:rPr>
              <w:t xml:space="preserve">, </w:t>
            </w:r>
            <w:r w:rsidR="00055441" w:rsidRPr="00A25418">
              <w:rPr>
                <w:szCs w:val="24"/>
              </w:rPr>
              <w:t xml:space="preserve">20 </w:t>
            </w:r>
            <w:proofErr w:type="spellStart"/>
            <w:r w:rsidR="0072398C" w:rsidRPr="00A25418">
              <w:rPr>
                <w:szCs w:val="24"/>
              </w:rPr>
              <w:t>Vet.App</w:t>
            </w:r>
            <w:proofErr w:type="spellEnd"/>
            <w:r w:rsidR="0072398C" w:rsidRPr="00A25418">
              <w:rPr>
                <w:szCs w:val="24"/>
              </w:rPr>
              <w:t xml:space="preserve">.  </w:t>
            </w:r>
            <w:r w:rsidR="00055441" w:rsidRPr="00A25418">
              <w:rPr>
                <w:szCs w:val="24"/>
              </w:rPr>
              <w:t>482</w:t>
            </w:r>
            <w:r w:rsidR="00EF4288" w:rsidRPr="00A25418">
              <w:rPr>
                <w:szCs w:val="24"/>
              </w:rPr>
              <w:t>,488</w:t>
            </w:r>
            <w:r w:rsidR="0072398C" w:rsidRPr="00A25418">
              <w:rPr>
                <w:szCs w:val="24"/>
              </w:rPr>
              <w:t xml:space="preserve"> (</w:t>
            </w:r>
            <w:r w:rsidR="00EF4288" w:rsidRPr="00A25418">
              <w:rPr>
                <w:szCs w:val="24"/>
              </w:rPr>
              <w:t>2006</w:t>
            </w:r>
            <w:r w:rsidR="0072398C" w:rsidRPr="00A25418">
              <w:rPr>
                <w:szCs w:val="24"/>
              </w:rPr>
              <w:t>)</w:t>
            </w:r>
            <w:r w:rsidR="00EF4288" w:rsidRPr="00A25418">
              <w:rPr>
                <w:szCs w:val="24"/>
              </w:rPr>
              <w:t>,</w:t>
            </w:r>
            <w:r w:rsidR="0072398C" w:rsidRPr="00A25418">
              <w:rPr>
                <w:szCs w:val="24"/>
              </w:rPr>
              <w:t xml:space="preserve"> </w:t>
            </w:r>
            <w:r w:rsidR="00E103B3" w:rsidRPr="00A25418">
              <w:rPr>
                <w:szCs w:val="24"/>
              </w:rPr>
              <w:t xml:space="preserve"> and </w:t>
            </w:r>
            <w:hyperlink r:id="rId28" w:anchor="bmd" w:history="1">
              <w:r w:rsidR="00055441" w:rsidRPr="00A25418">
                <w:rPr>
                  <w:rStyle w:val="Hyperlink"/>
                  <w:i/>
                  <w:szCs w:val="24"/>
                </w:rPr>
                <w:t xml:space="preserve">Daniels v. </w:t>
              </w:r>
              <w:proofErr w:type="spellStart"/>
              <w:r w:rsidR="00055441" w:rsidRPr="00A25418">
                <w:rPr>
                  <w:rStyle w:val="Hyperlink"/>
                  <w:i/>
                  <w:szCs w:val="24"/>
                </w:rPr>
                <w:lastRenderedPageBreak/>
                <w:t>Gober</w:t>
              </w:r>
              <w:proofErr w:type="spellEnd"/>
            </w:hyperlink>
            <w:r w:rsidR="00EF4288" w:rsidRPr="00A25418">
              <w:rPr>
                <w:i/>
                <w:szCs w:val="24"/>
              </w:rPr>
              <w:t xml:space="preserve">, </w:t>
            </w:r>
            <w:r w:rsidR="00EF4288" w:rsidRPr="00A25418">
              <w:rPr>
                <w:szCs w:val="24"/>
              </w:rPr>
              <w:t xml:space="preserve">10 </w:t>
            </w:r>
            <w:proofErr w:type="spellStart"/>
            <w:r w:rsidR="00EF4288" w:rsidRPr="00A25418">
              <w:rPr>
                <w:szCs w:val="24"/>
              </w:rPr>
              <w:t>Vet.App</w:t>
            </w:r>
            <w:proofErr w:type="spellEnd"/>
            <w:proofErr w:type="gramStart"/>
            <w:r w:rsidR="00EF4288" w:rsidRPr="00A25418">
              <w:rPr>
                <w:szCs w:val="24"/>
              </w:rPr>
              <w:t>. 474</w:t>
            </w:r>
            <w:proofErr w:type="gramEnd"/>
            <w:r w:rsidR="00EF4288" w:rsidRPr="00A25418">
              <w:rPr>
                <w:szCs w:val="24"/>
              </w:rPr>
              <w:t xml:space="preserve"> (1997).</w:t>
            </w:r>
          </w:p>
        </w:tc>
      </w:tr>
    </w:tbl>
    <w:p w:rsidR="00A643FD" w:rsidRPr="00A25418" w:rsidRDefault="00A643FD" w:rsidP="009F034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proofErr w:type="gramStart"/>
            <w:r w:rsidRPr="00A25418">
              <w:t xml:space="preserve">b.  </w:t>
            </w:r>
            <w:bookmarkStart w:id="7" w:name="b17"/>
            <w:bookmarkEnd w:id="7"/>
            <w:r w:rsidRPr="00A25418">
              <w:t>Severing</w:t>
            </w:r>
            <w:proofErr w:type="gramEnd"/>
            <w:r w:rsidRPr="00A25418">
              <w:t xml:space="preserve"> Service Connection Due to Diagnosis Change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  <w:rPr>
                <w:b/>
                <w:i/>
              </w:rPr>
            </w:pPr>
            <w:r w:rsidRPr="00A25418">
              <w:t xml:space="preserve">A change in diagnosis may be accepted as a basis for severance if there is certification that the diagnosis on which service connection was based was clearly erroneous under </w:t>
            </w:r>
            <w:hyperlink r:id="rId29" w:history="1">
              <w:r w:rsidR="00531CEB" w:rsidRPr="00A25418">
                <w:rPr>
                  <w:rStyle w:val="Hyperlink"/>
                </w:rPr>
                <w:t>38 CFR</w:t>
              </w:r>
              <w:r w:rsidRPr="00A25418">
                <w:rPr>
                  <w:rStyle w:val="Hyperlink"/>
                </w:rPr>
                <w:t xml:space="preserve"> 3.105(d).</w:t>
              </w:r>
            </w:hyperlink>
          </w:p>
        </w:tc>
      </w:tr>
    </w:tbl>
    <w:p w:rsidR="00A643FD" w:rsidRPr="00A25418" w:rsidRDefault="00A643FD" w:rsidP="009F034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proofErr w:type="gramStart"/>
            <w:r w:rsidRPr="00A25418">
              <w:t xml:space="preserve">c.  </w:t>
            </w:r>
            <w:bookmarkStart w:id="8" w:name="c17"/>
            <w:bookmarkEnd w:id="8"/>
            <w:r w:rsidRPr="00A25418">
              <w:t>Severing</w:t>
            </w:r>
            <w:proofErr w:type="gramEnd"/>
            <w:r w:rsidRPr="00A25418">
              <w:t xml:space="preserve"> Service Connection for a Psychosis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 xml:space="preserve">If service connection </w:t>
            </w:r>
            <w:proofErr w:type="gramStart"/>
            <w:r w:rsidRPr="00A25418">
              <w:t>is severed</w:t>
            </w:r>
            <w:proofErr w:type="gramEnd"/>
            <w:r w:rsidRPr="00A25418">
              <w:t xml:space="preserve"> for a psychosis, make a determination of entitlement under </w:t>
            </w:r>
            <w:hyperlink r:id="rId30" w:history="1">
              <w:r w:rsidR="00531CEB" w:rsidRPr="00A25418">
                <w:rPr>
                  <w:rStyle w:val="Hyperlink"/>
                </w:rPr>
                <w:t xml:space="preserve">38 </w:t>
              </w:r>
              <w:proofErr w:type="spellStart"/>
              <w:r w:rsidR="00531CEB" w:rsidRPr="00A25418">
                <w:rPr>
                  <w:rStyle w:val="Hyperlink"/>
                </w:rPr>
                <w:t>U</w:t>
              </w:r>
              <w:r w:rsidR="00E76167" w:rsidRPr="00A25418">
                <w:rPr>
                  <w:rStyle w:val="Hyperlink"/>
                </w:rPr>
                <w:t>.</w:t>
              </w:r>
              <w:r w:rsidR="00531CEB" w:rsidRPr="00A25418">
                <w:rPr>
                  <w:rStyle w:val="Hyperlink"/>
                </w:rPr>
                <w:t>S</w:t>
              </w:r>
              <w:r w:rsidR="00E76167" w:rsidRPr="00A25418">
                <w:rPr>
                  <w:rStyle w:val="Hyperlink"/>
                </w:rPr>
                <w:t>.</w:t>
              </w:r>
              <w:r w:rsidR="00531CEB" w:rsidRPr="00A25418">
                <w:rPr>
                  <w:rStyle w:val="Hyperlink"/>
                </w:rPr>
                <w:t>C</w:t>
              </w:r>
              <w:proofErr w:type="spellEnd"/>
              <w:r w:rsidR="00E76167" w:rsidRPr="00A25418">
                <w:rPr>
                  <w:rStyle w:val="Hyperlink"/>
                </w:rPr>
                <w:t>.</w:t>
              </w:r>
              <w:r w:rsidRPr="00A25418">
                <w:rPr>
                  <w:rStyle w:val="Hyperlink"/>
                </w:rPr>
                <w:t xml:space="preserve"> 1702</w:t>
              </w:r>
            </w:hyperlink>
            <w:r w:rsidRPr="00A25418">
              <w:t>.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proofErr w:type="gramStart"/>
            <w:r w:rsidRPr="00A25418">
              <w:t xml:space="preserve">d.  </w:t>
            </w:r>
            <w:bookmarkStart w:id="9" w:name="d17"/>
            <w:bookmarkEnd w:id="9"/>
            <w:r w:rsidRPr="00A25418">
              <w:t>Handling</w:t>
            </w:r>
            <w:proofErr w:type="gramEnd"/>
            <w:r w:rsidRPr="00A25418">
              <w:t xml:space="preserve"> Severance of Service Connection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>The table below describes how to handle severing service connection.</w:t>
            </w:r>
          </w:p>
        </w:tc>
      </w:tr>
    </w:tbl>
    <w:p w:rsidR="00A643FD" w:rsidRPr="00A25418" w:rsidRDefault="00A643FD" w:rsidP="00A643FD"/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0"/>
        <w:gridCol w:w="1710"/>
        <w:gridCol w:w="5050"/>
      </w:tblGrid>
      <w:tr w:rsidR="00A643FD" w:rsidRPr="00A25418" w:rsidTr="00522D5E">
        <w:trPr>
          <w:cantSplit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HeaderText"/>
            </w:pPr>
            <w:r w:rsidRPr="00A25418">
              <w:t>Stage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HeaderText"/>
            </w:pPr>
            <w:r w:rsidRPr="00A25418">
              <w:t>Who is Responsible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HeaderText"/>
            </w:pPr>
            <w:r w:rsidRPr="00A25418">
              <w:t>Description</w:t>
            </w:r>
          </w:p>
        </w:tc>
      </w:tr>
      <w:tr w:rsidR="00A643FD" w:rsidRPr="00A25418" w:rsidTr="00522D5E">
        <w:trPr>
          <w:cantSplit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Text"/>
              <w:jc w:val="center"/>
            </w:pPr>
            <w:r w:rsidRPr="00A25418"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40FA1" w:rsidP="00A40FA1">
            <w:pPr>
              <w:pStyle w:val="TableText"/>
            </w:pPr>
            <w:r w:rsidRPr="00A25418">
              <w:t>Rating Activity</w:t>
            </w:r>
            <w:r w:rsidR="00EA6B8F" w:rsidRPr="00A25418">
              <w:t xml:space="preserve"> 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EF4288" w:rsidP="00522D5E">
            <w:pPr>
              <w:pStyle w:val="TableText"/>
            </w:pPr>
            <w:proofErr w:type="gramStart"/>
            <w:r w:rsidRPr="00A25418">
              <w:t>r</w:t>
            </w:r>
            <w:r w:rsidR="00A643FD" w:rsidRPr="00A25418">
              <w:t>efers</w:t>
            </w:r>
            <w:proofErr w:type="gramEnd"/>
            <w:r w:rsidR="00A643FD" w:rsidRPr="00A25418">
              <w:t xml:space="preserve"> all ratings proposing severance of service connection to the Veterans Service Center Manager (</w:t>
            </w:r>
            <w:proofErr w:type="spellStart"/>
            <w:r w:rsidR="00A643FD" w:rsidRPr="00A25418">
              <w:t>VSCM</w:t>
            </w:r>
            <w:proofErr w:type="spellEnd"/>
            <w:r w:rsidR="00A643FD" w:rsidRPr="00A25418">
              <w:t xml:space="preserve">) for approval or disapproval under </w:t>
            </w:r>
            <w:hyperlink r:id="rId31" w:history="1">
              <w:r w:rsidR="00531CEB" w:rsidRPr="00A25418">
                <w:rPr>
                  <w:rStyle w:val="Hyperlink"/>
                </w:rPr>
                <w:t>38 CFR</w:t>
              </w:r>
              <w:r w:rsidR="00A643FD" w:rsidRPr="00A25418">
                <w:rPr>
                  <w:rStyle w:val="Hyperlink"/>
                </w:rPr>
                <w:t xml:space="preserve"> 3.105(a).</w:t>
              </w:r>
            </w:hyperlink>
          </w:p>
        </w:tc>
      </w:tr>
      <w:tr w:rsidR="00A643FD" w:rsidRPr="00A25418" w:rsidTr="00522D5E">
        <w:trPr>
          <w:cantSplit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Text"/>
              <w:jc w:val="center"/>
            </w:pPr>
            <w:r w:rsidRPr="00A25418"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Text"/>
            </w:pPr>
            <w:proofErr w:type="spellStart"/>
            <w:r w:rsidRPr="00A25418">
              <w:t>VSCM</w:t>
            </w:r>
            <w:proofErr w:type="spellEnd"/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Text"/>
            </w:pPr>
            <w:proofErr w:type="gramStart"/>
            <w:r w:rsidRPr="00A25418">
              <w:t>Is the rating approved</w:t>
            </w:r>
            <w:proofErr w:type="gramEnd"/>
            <w:r w:rsidRPr="00A25418">
              <w:t>?</w:t>
            </w:r>
          </w:p>
          <w:p w:rsidR="00A643FD" w:rsidRPr="00A25418" w:rsidRDefault="00A643FD" w:rsidP="00522D5E">
            <w:pPr>
              <w:pStyle w:val="TableText"/>
            </w:pPr>
          </w:p>
          <w:p w:rsidR="00A643FD" w:rsidRPr="00A25418" w:rsidRDefault="00A643FD" w:rsidP="00522D5E">
            <w:pPr>
              <w:pStyle w:val="BulletText1"/>
            </w:pPr>
            <w:r w:rsidRPr="00A25418">
              <w:t xml:space="preserve">If </w:t>
            </w:r>
            <w:r w:rsidRPr="00A25418">
              <w:rPr>
                <w:i/>
              </w:rPr>
              <w:t>yes</w:t>
            </w:r>
          </w:p>
          <w:p w:rsidR="00A643FD" w:rsidRPr="00A25418" w:rsidRDefault="00A643FD" w:rsidP="00522D5E">
            <w:pPr>
              <w:pStyle w:val="BulletText2"/>
            </w:pPr>
            <w:r w:rsidRPr="00A25418">
              <w:t>signs the rating, and</w:t>
            </w:r>
          </w:p>
          <w:p w:rsidR="00A643FD" w:rsidRPr="00A25418" w:rsidRDefault="00A643FD" w:rsidP="00522D5E">
            <w:pPr>
              <w:pStyle w:val="BulletText2"/>
            </w:pPr>
            <w:proofErr w:type="gramStart"/>
            <w:r w:rsidRPr="00A25418">
              <w:t>forwards</w:t>
            </w:r>
            <w:proofErr w:type="gramEnd"/>
            <w:r w:rsidRPr="00A25418">
              <w:t xml:space="preserve"> the rating to authorization.</w:t>
            </w:r>
          </w:p>
          <w:p w:rsidR="00A643FD" w:rsidRPr="00A25418" w:rsidRDefault="00A643FD" w:rsidP="00522D5E">
            <w:pPr>
              <w:pStyle w:val="BulletText1"/>
            </w:pPr>
            <w:r w:rsidRPr="00A25418">
              <w:t xml:space="preserve">If </w:t>
            </w:r>
            <w:r w:rsidRPr="00A25418">
              <w:rPr>
                <w:i/>
              </w:rPr>
              <w:t>no</w:t>
            </w:r>
          </w:p>
          <w:p w:rsidR="00A643FD" w:rsidRPr="00A25418" w:rsidRDefault="00A643FD" w:rsidP="00522D5E">
            <w:pPr>
              <w:pStyle w:val="BulletText2"/>
            </w:pPr>
            <w:r w:rsidRPr="00A25418">
              <w:t>clearly marks the rating disapproved</w:t>
            </w:r>
          </w:p>
          <w:p w:rsidR="00A643FD" w:rsidRPr="00A25418" w:rsidRDefault="00A643FD" w:rsidP="00522D5E">
            <w:pPr>
              <w:pStyle w:val="BulletText2"/>
            </w:pPr>
            <w:r w:rsidRPr="00A25418">
              <w:t>signs the rating, and</w:t>
            </w:r>
          </w:p>
          <w:p w:rsidR="00A643FD" w:rsidRPr="00A25418" w:rsidRDefault="00A643FD" w:rsidP="00522D5E">
            <w:pPr>
              <w:pStyle w:val="BulletText2"/>
            </w:pPr>
            <w:proofErr w:type="gramStart"/>
            <w:r w:rsidRPr="00A25418">
              <w:t>returns</w:t>
            </w:r>
            <w:proofErr w:type="gramEnd"/>
            <w:r w:rsidRPr="00A25418">
              <w:t xml:space="preserve"> the rating to the rating activity.</w:t>
            </w:r>
          </w:p>
        </w:tc>
      </w:tr>
      <w:tr w:rsidR="00A643FD" w:rsidRPr="00A25418" w:rsidTr="00522D5E">
        <w:trPr>
          <w:cantSplit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Text"/>
              <w:jc w:val="center"/>
            </w:pPr>
            <w:r w:rsidRPr="00A25418"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40FA1" w:rsidP="00A40FA1">
            <w:pPr>
              <w:pStyle w:val="TableText"/>
            </w:pPr>
            <w:r w:rsidRPr="00A25418">
              <w:t>Rating Activity</w:t>
            </w:r>
            <w:r w:rsidR="00EA6B8F" w:rsidRPr="00A25418">
              <w:t xml:space="preserve"> 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EF4288" w:rsidP="00522D5E">
            <w:pPr>
              <w:pStyle w:val="BulletText1"/>
            </w:pPr>
            <w:r w:rsidRPr="00A25418">
              <w:t>r</w:t>
            </w:r>
            <w:r w:rsidR="00A643FD" w:rsidRPr="00A25418">
              <w:t>evises the rating, if required, to reflect the current evaluation of all SC disabilities</w:t>
            </w:r>
            <w:r w:rsidRPr="00A25418">
              <w:t>,</w:t>
            </w:r>
            <w:r w:rsidR="00A643FD" w:rsidRPr="00A25418">
              <w:t xml:space="preserve"> disposing of all other matters at issue</w:t>
            </w:r>
          </w:p>
          <w:p w:rsidR="00A643FD" w:rsidRPr="00A25418" w:rsidRDefault="00A643FD" w:rsidP="00522D5E">
            <w:pPr>
              <w:pStyle w:val="BulletText1"/>
            </w:pPr>
            <w:r w:rsidRPr="00A25418">
              <w:t>files the rating in the claims folder, and</w:t>
            </w:r>
          </w:p>
          <w:p w:rsidR="00A643FD" w:rsidRPr="00A25418" w:rsidRDefault="00A643FD" w:rsidP="008F78EF">
            <w:pPr>
              <w:pStyle w:val="BulletText1"/>
            </w:pPr>
            <w:proofErr w:type="gramStart"/>
            <w:r w:rsidRPr="00A25418">
              <w:t>returns</w:t>
            </w:r>
            <w:proofErr w:type="gramEnd"/>
            <w:r w:rsidRPr="00A25418">
              <w:t xml:space="preserve"> the </w:t>
            </w:r>
            <w:r w:rsidR="008F78EF" w:rsidRPr="00A25418">
              <w:rPr>
                <w:color w:val="auto"/>
              </w:rPr>
              <w:t xml:space="preserve">case to the </w:t>
            </w:r>
            <w:proofErr w:type="spellStart"/>
            <w:r w:rsidR="008F78EF" w:rsidRPr="00A25418">
              <w:rPr>
                <w:color w:val="auto"/>
              </w:rPr>
              <w:t>VSCM</w:t>
            </w:r>
            <w:proofErr w:type="spellEnd"/>
            <w:r w:rsidR="008F78EF" w:rsidRPr="00A25418">
              <w:rPr>
                <w:color w:val="auto"/>
              </w:rPr>
              <w:t xml:space="preserve"> (step 2)</w:t>
            </w:r>
            <w:r w:rsidRPr="00A25418">
              <w:rPr>
                <w:color w:val="FF0000"/>
              </w:rPr>
              <w:t>.</w:t>
            </w:r>
          </w:p>
        </w:tc>
      </w:tr>
      <w:tr w:rsidR="00A643FD" w:rsidRPr="00A25418" w:rsidTr="00522D5E">
        <w:trPr>
          <w:cantSplit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643FD" w:rsidP="00522D5E">
            <w:pPr>
              <w:pStyle w:val="TableText"/>
              <w:jc w:val="center"/>
            </w:pPr>
            <w:r w:rsidRPr="00A25418"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A40FA1" w:rsidP="00A40FA1">
            <w:pPr>
              <w:pStyle w:val="TableText"/>
            </w:pPr>
            <w:r w:rsidRPr="00A25418">
              <w:t>Authorization Activity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FD" w:rsidRPr="00A25418" w:rsidRDefault="00EF4288" w:rsidP="00E76167">
            <w:pPr>
              <w:pStyle w:val="TableText"/>
            </w:pPr>
            <w:proofErr w:type="gramStart"/>
            <w:r w:rsidRPr="00A25418">
              <w:t>p</w:t>
            </w:r>
            <w:r w:rsidR="008F78EF" w:rsidRPr="00A25418">
              <w:t>rocesses</w:t>
            </w:r>
            <w:proofErr w:type="gramEnd"/>
            <w:r w:rsidR="008F78EF" w:rsidRPr="00A25418">
              <w:t xml:space="preserve"> the rating decision and a</w:t>
            </w:r>
            <w:r w:rsidR="00A643FD" w:rsidRPr="00A25418">
              <w:t>dds a clear and unmistakable error (CUE) flash in Share.</w:t>
            </w:r>
          </w:p>
        </w:tc>
      </w:tr>
    </w:tbl>
    <w:p w:rsidR="00A643FD" w:rsidRPr="00A25418" w:rsidRDefault="00A643FD" w:rsidP="009F034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8403AA">
        <w:tc>
          <w:tcPr>
            <w:tcW w:w="1728" w:type="dxa"/>
          </w:tcPr>
          <w:p w:rsidR="00A643FD" w:rsidRPr="00A25418" w:rsidRDefault="005B2492" w:rsidP="00522D5E">
            <w:pPr>
              <w:pStyle w:val="Heading5"/>
            </w:pPr>
            <w:proofErr w:type="gramStart"/>
            <w:r w:rsidRPr="00A25418">
              <w:t xml:space="preserve">e.  </w:t>
            </w:r>
            <w:bookmarkStart w:id="10" w:name="e17"/>
            <w:bookmarkEnd w:id="10"/>
            <w:r w:rsidRPr="00A25418">
              <w:t>Handling</w:t>
            </w:r>
            <w:proofErr w:type="gramEnd"/>
            <w:r w:rsidRPr="00A25418">
              <w:t xml:space="preserve"> Multiple Issues in Cases Involving Severance of </w:t>
            </w:r>
            <w:r w:rsidRPr="00A25418">
              <w:lastRenderedPageBreak/>
              <w:t>Service Connection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lastRenderedPageBreak/>
              <w:t>Prepare a single rating decision identifying both issues if a decision involves severance of service connection for one disability and a reduction of evaluation for another disability.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A643FD" w:rsidP="00522D5E">
            <w:pPr>
              <w:pStyle w:val="BlockText"/>
            </w:pPr>
            <w:r w:rsidRPr="00A25418">
              <w:t>Notify the Veteran concerning both the reduction and the proposed severance.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A643FD">
            <w:pPr>
              <w:pStyle w:val="BlockText"/>
            </w:pPr>
            <w:r w:rsidRPr="00A25418">
              <w:rPr>
                <w:b/>
                <w:i/>
              </w:rPr>
              <w:t>Reference</w:t>
            </w:r>
            <w:r w:rsidRPr="00A25418">
              <w:t xml:space="preserve">:  For more information on notifying the Veteran of severance of service connection, see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IV, Subpart ii, </w:t>
            </w:r>
            <w:proofErr w:type="spellStart"/>
            <w:r w:rsidRPr="00A25418">
              <w:t>3.A.2</w:t>
            </w:r>
            <w:proofErr w:type="spellEnd"/>
            <w:r w:rsidRPr="00A25418">
              <w:t>.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5B2492" w:rsidP="00522D5E">
            <w:pPr>
              <w:pStyle w:val="Heading5"/>
            </w:pPr>
            <w:proofErr w:type="gramStart"/>
            <w:r w:rsidRPr="00A25418">
              <w:t xml:space="preserve">f.  </w:t>
            </w:r>
            <w:bookmarkStart w:id="11" w:name="f17"/>
            <w:bookmarkEnd w:id="11"/>
            <w:r w:rsidRPr="00A25418">
              <w:t>Handling</w:t>
            </w:r>
            <w:proofErr w:type="gramEnd"/>
            <w:r w:rsidRPr="00A25418">
              <w:t xml:space="preserve"> Increases in Compensation in Cases Involving Severance of Service Connection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 xml:space="preserve">Award increased compensation if severance of service connection </w:t>
            </w:r>
            <w:proofErr w:type="gramStart"/>
            <w:r w:rsidRPr="00A25418">
              <w:t>is proposed</w:t>
            </w:r>
            <w:proofErr w:type="gramEnd"/>
            <w:r w:rsidRPr="00A25418">
              <w:t xml:space="preserve"> for one or more disabilities but one or more other disabilities have increased in severity.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A643FD" w:rsidP="00522D5E">
            <w:pPr>
              <w:pStyle w:val="BlockText"/>
            </w:pPr>
            <w:r w:rsidRPr="00A25418">
              <w:t xml:space="preserve">Notify the Veteran concerning 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A643FD" w:rsidP="00522D5E">
            <w:pPr>
              <w:pStyle w:val="BulletText1"/>
            </w:pPr>
            <w:r w:rsidRPr="00A25418">
              <w:t>the proposed severance action</w:t>
            </w:r>
          </w:p>
          <w:p w:rsidR="00A643FD" w:rsidRPr="00A25418" w:rsidRDefault="00A643FD" w:rsidP="00522D5E">
            <w:pPr>
              <w:pStyle w:val="BulletText1"/>
            </w:pPr>
            <w:r w:rsidRPr="00A25418">
              <w:t>the increased evaluation, and</w:t>
            </w:r>
          </w:p>
          <w:p w:rsidR="00A643FD" w:rsidRPr="00A25418" w:rsidRDefault="00A643FD" w:rsidP="00522D5E">
            <w:pPr>
              <w:pStyle w:val="BulletText1"/>
            </w:pPr>
            <w:proofErr w:type="gramStart"/>
            <w:r w:rsidRPr="00A25418">
              <w:t>any</w:t>
            </w:r>
            <w:proofErr w:type="gramEnd"/>
            <w:r w:rsidRPr="00A25418">
              <w:t xml:space="preserve"> reduction that will result from the severance action.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5B2492" w:rsidP="00522D5E">
            <w:pPr>
              <w:pStyle w:val="Heading5"/>
            </w:pPr>
            <w:proofErr w:type="gramStart"/>
            <w:r w:rsidRPr="00A25418">
              <w:t xml:space="preserve">g.  </w:t>
            </w:r>
            <w:bookmarkStart w:id="12" w:name="g17"/>
            <w:bookmarkEnd w:id="12"/>
            <w:r w:rsidRPr="00A25418">
              <w:t>Preparing</w:t>
            </w:r>
            <w:proofErr w:type="gramEnd"/>
            <w:r w:rsidRPr="00A25418">
              <w:t xml:space="preserve"> the Final Rating Decision in Cases Involving Severance of Service Connection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 xml:space="preserve">After the 60-day period of notice during which the claimant could have submitted additional evidence, the case </w:t>
            </w:r>
            <w:proofErr w:type="gramStart"/>
            <w:r w:rsidRPr="00A25418">
              <w:t>is referred</w:t>
            </w:r>
            <w:proofErr w:type="gramEnd"/>
            <w:r w:rsidRPr="00A25418">
              <w:t xml:space="preserve"> to the rating activity for preparation of the final rating severing service connection.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A643FD" w:rsidP="00522D5E">
            <w:pPr>
              <w:pStyle w:val="BlockText"/>
            </w:pPr>
            <w:r w:rsidRPr="00A25418">
              <w:t>Include in the new combined SC evaluation only those evaluations for disabilities that remain SC.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A643FD" w:rsidP="00522D5E">
            <w:pPr>
              <w:pStyle w:val="BlockText"/>
            </w:pPr>
            <w:r w:rsidRPr="00A25418">
              <w:rPr>
                <w:b/>
                <w:i/>
              </w:rPr>
              <w:t>Note</w:t>
            </w:r>
            <w:r w:rsidRPr="00A25418">
              <w:t xml:space="preserve">:  This will ensure that no retroactive increase or benefit attributable to the severed disability </w:t>
            </w:r>
            <w:proofErr w:type="gramStart"/>
            <w:r w:rsidRPr="00A25418">
              <w:t>will be awarded</w:t>
            </w:r>
            <w:proofErr w:type="gramEnd"/>
            <w:r w:rsidRPr="00A25418">
              <w:t xml:space="preserve"> after basic entitlement is terminated.</w:t>
            </w:r>
          </w:p>
          <w:p w:rsidR="00A643FD" w:rsidRPr="00A25418" w:rsidRDefault="00A643FD" w:rsidP="00522D5E">
            <w:pPr>
              <w:pStyle w:val="BlockText"/>
              <w:rPr>
                <w:bCs/>
                <w:iCs/>
              </w:rPr>
            </w:pPr>
          </w:p>
          <w:p w:rsidR="00A643FD" w:rsidRPr="00A25418" w:rsidRDefault="00A643FD" w:rsidP="00522D5E">
            <w:pPr>
              <w:pStyle w:val="BlockText"/>
              <w:rPr>
                <w:bCs/>
                <w:iCs/>
              </w:rPr>
            </w:pPr>
            <w:r w:rsidRPr="00A25418">
              <w:rPr>
                <w:bCs/>
                <w:iCs/>
              </w:rPr>
              <w:t xml:space="preserve">Refer the final rating severing service connection to the </w:t>
            </w:r>
            <w:proofErr w:type="spellStart"/>
            <w:r w:rsidRPr="00A25418">
              <w:rPr>
                <w:bCs/>
                <w:iCs/>
              </w:rPr>
              <w:t>VSCM</w:t>
            </w:r>
            <w:proofErr w:type="spellEnd"/>
            <w:r w:rsidRPr="00A25418">
              <w:rPr>
                <w:bCs/>
                <w:iCs/>
              </w:rPr>
              <w:t xml:space="preserve"> or </w:t>
            </w:r>
            <w:proofErr w:type="spellStart"/>
            <w:r w:rsidRPr="00A25418">
              <w:rPr>
                <w:bCs/>
                <w:iCs/>
              </w:rPr>
              <w:t>VSCM</w:t>
            </w:r>
            <w:proofErr w:type="spellEnd"/>
            <w:r w:rsidRPr="00A25418">
              <w:rPr>
                <w:bCs/>
                <w:iCs/>
              </w:rPr>
              <w:t xml:space="preserve">-designee for approval only if new evidence </w:t>
            </w:r>
            <w:proofErr w:type="gramStart"/>
            <w:r w:rsidRPr="00A25418">
              <w:rPr>
                <w:bCs/>
                <w:iCs/>
              </w:rPr>
              <w:t>has been received</w:t>
            </w:r>
            <w:proofErr w:type="gramEnd"/>
            <w:r w:rsidRPr="00A25418">
              <w:rPr>
                <w:bCs/>
                <w:iCs/>
              </w:rPr>
              <w:t xml:space="preserve"> since the proposed decision was approved.</w:t>
            </w:r>
          </w:p>
          <w:p w:rsidR="00A643FD" w:rsidRPr="00A25418" w:rsidRDefault="00A643FD" w:rsidP="00522D5E">
            <w:pPr>
              <w:pStyle w:val="BlockText"/>
              <w:rPr>
                <w:bCs/>
                <w:iCs/>
              </w:rPr>
            </w:pPr>
          </w:p>
          <w:p w:rsidR="00A643FD" w:rsidRPr="00A25418" w:rsidRDefault="00A643FD" w:rsidP="001B3A37">
            <w:pPr>
              <w:pStyle w:val="BlockText"/>
            </w:pPr>
            <w:r w:rsidRPr="00A25418">
              <w:rPr>
                <w:b/>
                <w:i/>
              </w:rPr>
              <w:t>Reference</w:t>
            </w:r>
            <w:r w:rsidRPr="00A25418">
              <w:t xml:space="preserve">:  For more information on the effective </w:t>
            </w:r>
            <w:proofErr w:type="gramStart"/>
            <w:r w:rsidRPr="00A25418">
              <w:t xml:space="preserve">date </w:t>
            </w:r>
            <w:r w:rsidR="001B3A37" w:rsidRPr="00A25418">
              <w:t xml:space="preserve"> of</w:t>
            </w:r>
            <w:proofErr w:type="gramEnd"/>
            <w:r w:rsidRPr="00A25418">
              <w:t xml:space="preserve"> severance of service connection, see </w:t>
            </w:r>
            <w:hyperlink r:id="rId32" w:history="1">
              <w:r w:rsidR="00531CEB" w:rsidRPr="00A25418">
                <w:rPr>
                  <w:rStyle w:val="Hyperlink"/>
                </w:rPr>
                <w:t>38 CFR</w:t>
              </w:r>
              <w:r w:rsidRPr="00A25418">
                <w:rPr>
                  <w:rStyle w:val="Hyperlink"/>
                </w:rPr>
                <w:t xml:space="preserve"> 3.500(r).</w:t>
              </w:r>
            </w:hyperlink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8403AA">
        <w:trPr>
          <w:cantSplit/>
          <w:trHeight w:val="3825"/>
        </w:trPr>
        <w:tc>
          <w:tcPr>
            <w:tcW w:w="1728" w:type="dxa"/>
          </w:tcPr>
          <w:p w:rsidR="00A643FD" w:rsidRPr="00A25418" w:rsidRDefault="005B2492" w:rsidP="00522D5E">
            <w:pPr>
              <w:pStyle w:val="Heading5"/>
            </w:pPr>
            <w:proofErr w:type="gramStart"/>
            <w:r w:rsidRPr="00A25418">
              <w:t xml:space="preserve">h.  </w:t>
            </w:r>
            <w:bookmarkStart w:id="13" w:name="h17"/>
            <w:bookmarkEnd w:id="13"/>
            <w:r w:rsidRPr="00A25418">
              <w:t>Handling</w:t>
            </w:r>
            <w:proofErr w:type="gramEnd"/>
            <w:r w:rsidRPr="00A25418">
              <w:t xml:space="preserve"> Severance Proposals Upon the Veteran’s Death</w:t>
            </w:r>
          </w:p>
        </w:tc>
        <w:tc>
          <w:tcPr>
            <w:tcW w:w="7740" w:type="dxa"/>
          </w:tcPr>
          <w:p w:rsidR="00D33907" w:rsidRPr="00A25418" w:rsidRDefault="00D33907" w:rsidP="00D33907">
            <w:pPr>
              <w:pStyle w:val="BlockText"/>
            </w:pPr>
            <w:r w:rsidRPr="00A25418">
              <w:t>Upon the Veteran’s death, discontinue all action on severance proposals not finalized, unless the severance would affect death benefits.</w:t>
            </w:r>
          </w:p>
          <w:p w:rsidR="00D33907" w:rsidRPr="00A25418" w:rsidRDefault="00D33907" w:rsidP="00522D5E">
            <w:pPr>
              <w:pStyle w:val="BlockText"/>
            </w:pPr>
          </w:p>
          <w:p w:rsidR="00F64DF3" w:rsidRPr="00A25418" w:rsidRDefault="00605973" w:rsidP="00A81D90">
            <w:pPr>
              <w:pStyle w:val="BlockText"/>
            </w:pPr>
            <w:r w:rsidRPr="00A25418">
              <w:t>Proposals initiated but not finalized prior to notice of the Veteran</w:t>
            </w:r>
            <w:proofErr w:type="gramStart"/>
            <w:r w:rsidRPr="00A25418">
              <w:t>’s death   will be reconsidered</w:t>
            </w:r>
            <w:proofErr w:type="gramEnd"/>
            <w:r w:rsidRPr="00A25418">
              <w:t xml:space="preserve"> upon </w:t>
            </w:r>
            <w:r w:rsidR="00DC4B7A" w:rsidRPr="00A25418">
              <w:t>receipt of a claim for death benefits</w:t>
            </w:r>
            <w:r w:rsidRPr="00A25418">
              <w:t>.  Take into consideration all available new evidence, such as medical reports of last illness, death certificate, and autopsy report, if indicated.</w:t>
            </w:r>
          </w:p>
          <w:p w:rsidR="00E76167" w:rsidRPr="00A25418" w:rsidRDefault="00E76167" w:rsidP="008403AA">
            <w:pPr>
              <w:pStyle w:val="BlockText"/>
            </w:pPr>
          </w:p>
          <w:p w:rsidR="00020545" w:rsidRPr="00A25418" w:rsidRDefault="00020545" w:rsidP="008403AA">
            <w:pPr>
              <w:pStyle w:val="BlockText"/>
            </w:pPr>
            <w:r w:rsidRPr="00A25418">
              <w:t>When a claim for death benefits is received</w:t>
            </w:r>
          </w:p>
          <w:p w:rsidR="00020545" w:rsidRPr="00A25418" w:rsidRDefault="00020545">
            <w:pPr>
              <w:pStyle w:val="BulletText1"/>
            </w:pPr>
            <w:r w:rsidRPr="00A25418">
              <w:t>make a proposal to sever service connection, and</w:t>
            </w:r>
          </w:p>
          <w:p w:rsidR="00020545" w:rsidRPr="00A25418" w:rsidRDefault="00035D42">
            <w:pPr>
              <w:pStyle w:val="BulletText1"/>
            </w:pPr>
            <w:proofErr w:type="gramStart"/>
            <w:r w:rsidRPr="00A25418">
              <w:t>notify</w:t>
            </w:r>
            <w:proofErr w:type="gramEnd"/>
            <w:r w:rsidRPr="00A25418">
              <w:t xml:space="preserve"> the death-benefits claimant of the severance proposal and provide 60 days to submit further evidence, even though the Veteran was given a prior 60-day notice.</w:t>
            </w:r>
          </w:p>
          <w:p w:rsidR="00A643FD" w:rsidRPr="00A25418" w:rsidRDefault="00A643FD" w:rsidP="00F64DF3">
            <w:pPr>
              <w:pStyle w:val="BulletText1"/>
              <w:numPr>
                <w:ilvl w:val="0"/>
                <w:numId w:val="0"/>
              </w:numPr>
              <w:ind w:left="173"/>
            </w:pPr>
          </w:p>
        </w:tc>
      </w:tr>
    </w:tbl>
    <w:p w:rsidR="004A5A1B" w:rsidRPr="00A25418" w:rsidRDefault="004A5A1B" w:rsidP="004A5A1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0"/>
        <w:gridCol w:w="7748"/>
      </w:tblGrid>
      <w:tr w:rsidR="004A5A1B" w:rsidRPr="00A25418" w:rsidTr="004A5A1B">
        <w:tc>
          <w:tcPr>
            <w:tcW w:w="1720" w:type="dxa"/>
            <w:shd w:val="clear" w:color="auto" w:fill="auto"/>
          </w:tcPr>
          <w:p w:rsidR="004A5A1B" w:rsidRPr="00A25418" w:rsidRDefault="004A5A1B" w:rsidP="00C34F99">
            <w:pPr>
              <w:pStyle w:val="Heading5"/>
            </w:pPr>
            <w:proofErr w:type="gramStart"/>
            <w:r w:rsidRPr="00A25418">
              <w:t xml:space="preserve">i.  </w:t>
            </w:r>
            <w:bookmarkStart w:id="14" w:name="i17"/>
            <w:bookmarkEnd w:id="14"/>
            <w:r w:rsidRPr="00A25418">
              <w:t>Handling</w:t>
            </w:r>
            <w:proofErr w:type="gramEnd"/>
            <w:r w:rsidRPr="00A25418">
              <w:t xml:space="preserve"> Severance of Clearly Illegal Grants </w:t>
            </w:r>
            <w:r w:rsidR="00B5740B" w:rsidRPr="00A25418">
              <w:t>of Service Connect</w:t>
            </w:r>
            <w:r w:rsidR="00C34F99" w:rsidRPr="00A25418">
              <w:t>io</w:t>
            </w:r>
            <w:r w:rsidR="00B5740B" w:rsidRPr="00A25418">
              <w:t>n</w:t>
            </w:r>
          </w:p>
        </w:tc>
        <w:tc>
          <w:tcPr>
            <w:tcW w:w="7748" w:type="dxa"/>
            <w:shd w:val="clear" w:color="auto" w:fill="auto"/>
          </w:tcPr>
          <w:p w:rsidR="00F83A19" w:rsidRPr="00A25418" w:rsidRDefault="00F83A19" w:rsidP="005D5FCF">
            <w:pPr>
              <w:pStyle w:val="BlockText"/>
            </w:pPr>
            <w:r w:rsidRPr="00A25418">
              <w:t>When an award of service connection was clearly illegal</w:t>
            </w:r>
            <w:r w:rsidR="00884B85" w:rsidRPr="00A25418">
              <w:t xml:space="preserve"> (when there is no legal entitlement)</w:t>
            </w:r>
          </w:p>
          <w:p w:rsidR="0023484F" w:rsidRPr="00A25418" w:rsidRDefault="0023484F" w:rsidP="005D5FCF">
            <w:pPr>
              <w:pStyle w:val="BlockText"/>
            </w:pPr>
          </w:p>
          <w:p w:rsidR="00D33907" w:rsidRPr="00A25418" w:rsidRDefault="00D33907" w:rsidP="00D33907">
            <w:pPr>
              <w:pStyle w:val="BulletText1"/>
            </w:pPr>
            <w:r w:rsidRPr="00A25418">
              <w:t xml:space="preserve">provide due process under </w:t>
            </w:r>
            <w:hyperlink r:id="rId33" w:history="1">
              <w:r w:rsidRPr="00A25418">
                <w:rPr>
                  <w:rStyle w:val="Hyperlink"/>
                </w:rPr>
                <w:t>38 CFR 3.103</w:t>
              </w:r>
            </w:hyperlink>
          </w:p>
          <w:p w:rsidR="00D33907" w:rsidRPr="00A25418" w:rsidRDefault="00D33907" w:rsidP="00D33907">
            <w:pPr>
              <w:pStyle w:val="BulletText2"/>
            </w:pPr>
            <w:r w:rsidRPr="00A25418">
              <w:t>propose severance</w:t>
            </w:r>
          </w:p>
          <w:p w:rsidR="00D33907" w:rsidRPr="00A25418" w:rsidRDefault="00D33907" w:rsidP="00D33907">
            <w:pPr>
              <w:pStyle w:val="BulletText2"/>
            </w:pPr>
            <w:r w:rsidRPr="00A25418">
              <w:t>notify the claimant that there was no legal entitlement to the prior grant of benefits as service connection was clearly illegal</w:t>
            </w:r>
          </w:p>
          <w:p w:rsidR="00D33907" w:rsidRPr="00A25418" w:rsidRDefault="00D33907" w:rsidP="00B11F64">
            <w:pPr>
              <w:pStyle w:val="BulletText1"/>
              <w:rPr>
                <w:color w:val="auto"/>
              </w:rPr>
            </w:pPr>
            <w:proofErr w:type="gramStart"/>
            <w:r w:rsidRPr="00A25418">
              <w:rPr>
                <w:color w:val="auto"/>
              </w:rPr>
              <w:t>do</w:t>
            </w:r>
            <w:proofErr w:type="gramEnd"/>
            <w:r w:rsidRPr="00A25418">
              <w:rPr>
                <w:color w:val="auto"/>
              </w:rPr>
              <w:t xml:space="preserve"> not apply the clear and unmistakable error provisions of</w:t>
            </w:r>
            <w:r w:rsidR="00850189" w:rsidRPr="00A25418">
              <w:rPr>
                <w:color w:val="auto"/>
              </w:rPr>
              <w:t xml:space="preserve"> </w:t>
            </w:r>
            <w:hyperlink r:id="rId34" w:history="1">
              <w:r w:rsidR="0076040D" w:rsidRPr="00A25418">
                <w:rPr>
                  <w:rStyle w:val="Hyperlink"/>
                  <w:szCs w:val="24"/>
                </w:rPr>
                <w:t>38 CFR 3.105(d)</w:t>
              </w:r>
            </w:hyperlink>
            <w:r w:rsidRPr="00A25418">
              <w:rPr>
                <w:color w:val="auto"/>
              </w:rPr>
              <w:t>.</w:t>
            </w:r>
          </w:p>
          <w:p w:rsidR="0023484F" w:rsidRPr="00A25418" w:rsidRDefault="0023484F" w:rsidP="0023484F">
            <w:pPr>
              <w:pStyle w:val="BlockText"/>
            </w:pPr>
          </w:p>
          <w:p w:rsidR="0023484F" w:rsidRPr="00A25418" w:rsidRDefault="0023484F" w:rsidP="0023484F">
            <w:pPr>
              <w:pStyle w:val="BlockText"/>
            </w:pPr>
            <w:r w:rsidRPr="00A25418">
              <w:rPr>
                <w:b/>
                <w:i/>
              </w:rPr>
              <w:t>Example</w:t>
            </w:r>
            <w:r w:rsidRPr="00A25418">
              <w:t>:</w:t>
            </w:r>
            <w:r w:rsidR="00F64DF3" w:rsidRPr="00A25418">
              <w:t xml:space="preserve">  </w:t>
            </w:r>
            <w:r w:rsidRPr="00A25418">
              <w:t xml:space="preserve">Sever service connection as clearly illegal when the beneficiaries had no qualifying active duty to establish basic eligibility to </w:t>
            </w:r>
            <w:proofErr w:type="gramStart"/>
            <w:r w:rsidRPr="00A25418">
              <w:t>VA  benefits</w:t>
            </w:r>
            <w:proofErr w:type="gramEnd"/>
            <w:r w:rsidRPr="00A25418">
              <w:t>.</w:t>
            </w:r>
          </w:p>
          <w:p w:rsidR="00F64DF3" w:rsidRPr="00A25418" w:rsidRDefault="00F64DF3" w:rsidP="0023484F">
            <w:pPr>
              <w:pStyle w:val="BlockText"/>
            </w:pPr>
          </w:p>
          <w:p w:rsidR="003F7891" w:rsidRPr="00A25418" w:rsidRDefault="00F83A19" w:rsidP="00F83A19">
            <w:pPr>
              <w:pStyle w:val="BlockText"/>
            </w:pPr>
            <w:r w:rsidRPr="00A25418">
              <w:rPr>
                <w:b/>
                <w:i/>
              </w:rPr>
              <w:t>Reference</w:t>
            </w:r>
            <w:r w:rsidR="003F7891" w:rsidRPr="00A25418">
              <w:rPr>
                <w:b/>
                <w:i/>
              </w:rPr>
              <w:t>s</w:t>
            </w:r>
            <w:r w:rsidRPr="00A25418">
              <w:t xml:space="preserve">:  For more information on </w:t>
            </w:r>
            <w:r w:rsidR="003F7891" w:rsidRPr="00A25418">
              <w:t>lack of legal entitlement, see</w:t>
            </w:r>
          </w:p>
          <w:p w:rsidR="0023484F" w:rsidRPr="00A25418" w:rsidRDefault="002E60A3" w:rsidP="0023484F">
            <w:pPr>
              <w:pStyle w:val="BulletText1"/>
            </w:pPr>
            <w:hyperlink r:id="rId35" w:anchor="bma" w:history="1">
              <w:r w:rsidR="0023484F" w:rsidRPr="00A25418">
                <w:rPr>
                  <w:rStyle w:val="Hyperlink"/>
                  <w:i/>
                </w:rPr>
                <w:t>Allen and Key v. Nicholson</w:t>
              </w:r>
            </w:hyperlink>
            <w:r w:rsidR="0023484F" w:rsidRPr="00A25418">
              <w:rPr>
                <w:i/>
              </w:rPr>
              <w:t>,</w:t>
            </w:r>
            <w:r w:rsidR="0023484F" w:rsidRPr="00A25418">
              <w:t xml:space="preserve"> 21 Vet</w:t>
            </w:r>
            <w:proofErr w:type="gramStart"/>
            <w:r w:rsidR="0023484F" w:rsidRPr="00A25418">
              <w:t xml:space="preserve">. </w:t>
            </w:r>
            <w:proofErr w:type="gramEnd"/>
            <w:r w:rsidR="0023484F" w:rsidRPr="00A25418">
              <w:t>App. 54, 57 (2007)</w:t>
            </w:r>
          </w:p>
          <w:p w:rsidR="003F7891" w:rsidRPr="00A25418" w:rsidRDefault="002E60A3" w:rsidP="003F7891">
            <w:pPr>
              <w:pStyle w:val="BulletText1"/>
            </w:pPr>
            <w:hyperlink r:id="rId36" w:anchor="bms" w:history="1">
              <w:proofErr w:type="spellStart"/>
              <w:r w:rsidR="003F7891" w:rsidRPr="00A25418">
                <w:rPr>
                  <w:rStyle w:val="Hyperlink"/>
                  <w:i/>
                </w:rPr>
                <w:t>Sabonis</w:t>
              </w:r>
              <w:proofErr w:type="spellEnd"/>
              <w:r w:rsidR="003F7891" w:rsidRPr="00A25418">
                <w:rPr>
                  <w:rStyle w:val="Hyperlink"/>
                  <w:i/>
                </w:rPr>
                <w:t xml:space="preserve"> v. Brown</w:t>
              </w:r>
            </w:hyperlink>
            <w:r w:rsidR="003F7891" w:rsidRPr="00A25418">
              <w:t xml:space="preserve">, 6 </w:t>
            </w:r>
            <w:proofErr w:type="spellStart"/>
            <w:r w:rsidR="003F7891" w:rsidRPr="00A25418">
              <w:t>Vet.App</w:t>
            </w:r>
            <w:proofErr w:type="spellEnd"/>
            <w:proofErr w:type="gramStart"/>
            <w:r w:rsidR="003F7891" w:rsidRPr="00A25418">
              <w:t xml:space="preserve">. </w:t>
            </w:r>
            <w:proofErr w:type="gramEnd"/>
            <w:r w:rsidR="003F7891" w:rsidRPr="00A25418">
              <w:t>426 (1994)</w:t>
            </w:r>
            <w:r w:rsidR="00884B85" w:rsidRPr="00A25418">
              <w:t>, and</w:t>
            </w:r>
          </w:p>
          <w:p w:rsidR="00DC0CF8" w:rsidRPr="00A25418" w:rsidRDefault="002E60A3" w:rsidP="00DC0CF8">
            <w:pPr>
              <w:pStyle w:val="BulletText1"/>
            </w:pPr>
            <w:hyperlink r:id="rId37" w:anchor="bmv" w:history="1">
              <w:proofErr w:type="spellStart"/>
              <w:r w:rsidR="003F7891" w:rsidRPr="00A25418">
                <w:rPr>
                  <w:rStyle w:val="Hyperlink"/>
                  <w:i/>
                </w:rPr>
                <w:t>Valiao</w:t>
              </w:r>
              <w:proofErr w:type="spellEnd"/>
              <w:r w:rsidR="003F7891" w:rsidRPr="00A25418">
                <w:rPr>
                  <w:rStyle w:val="Hyperlink"/>
                  <w:i/>
                </w:rPr>
                <w:t xml:space="preserve"> v. </w:t>
              </w:r>
              <w:proofErr w:type="spellStart"/>
              <w:r w:rsidR="003F7891" w:rsidRPr="00A25418">
                <w:rPr>
                  <w:rStyle w:val="Hyperlink"/>
                  <w:i/>
                </w:rPr>
                <w:t>Principi</w:t>
              </w:r>
              <w:proofErr w:type="spellEnd"/>
            </w:hyperlink>
            <w:r w:rsidR="003F7891" w:rsidRPr="00A25418">
              <w:t xml:space="preserve">, 17 </w:t>
            </w:r>
            <w:proofErr w:type="spellStart"/>
            <w:r w:rsidR="003F7891" w:rsidRPr="00A25418">
              <w:t>Vet.App</w:t>
            </w:r>
            <w:proofErr w:type="spellEnd"/>
            <w:proofErr w:type="gramStart"/>
            <w:r w:rsidR="003F7891" w:rsidRPr="00A25418">
              <w:t>. 229</w:t>
            </w:r>
            <w:proofErr w:type="gramEnd"/>
            <w:r w:rsidR="003F7891" w:rsidRPr="00A25418">
              <w:t xml:space="preserve"> (2003)</w:t>
            </w:r>
            <w:r w:rsidR="00890918" w:rsidRPr="00A25418">
              <w:t>.</w:t>
            </w:r>
          </w:p>
        </w:tc>
      </w:tr>
    </w:tbl>
    <w:p w:rsidR="002B3E3E" w:rsidRPr="00A25418" w:rsidRDefault="002B3E3E" w:rsidP="00946751">
      <w:pPr>
        <w:pStyle w:val="BlockLine"/>
      </w:pPr>
    </w:p>
    <w:p w:rsidR="00A643FD" w:rsidRPr="00A25418" w:rsidRDefault="00A643FD">
      <w:pPr>
        <w:pStyle w:val="Heading4"/>
      </w:pPr>
      <w:r w:rsidRPr="00A25418">
        <w:br w:type="page"/>
      </w:r>
      <w:r w:rsidR="004E435C" w:rsidRPr="00A25418">
        <w:lastRenderedPageBreak/>
        <w:t>3</w:t>
      </w:r>
      <w:r w:rsidRPr="00A25418">
        <w:t xml:space="preserve">.  </w:t>
      </w:r>
      <w:bookmarkStart w:id="15" w:name="Topic18"/>
      <w:bookmarkEnd w:id="15"/>
      <w:r w:rsidRPr="00A25418">
        <w:t>Reversal of Prior Determinations Related to Character of Discharge, Line of Duty, or Willful Misconduct</w:t>
      </w:r>
    </w:p>
    <w:p w:rsidR="00A643FD" w:rsidRPr="00A25418" w:rsidRDefault="00A643FD" w:rsidP="004A5A1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r w:rsidRPr="00A25418">
              <w:t>Introduction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>This topic contains information about reversal of prior decisions, such as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660C5C" w:rsidP="00522D5E">
            <w:pPr>
              <w:pStyle w:val="BulletText1"/>
            </w:pPr>
            <w:r w:rsidRPr="00A25418">
              <w:t xml:space="preserve">Authorization activity </w:t>
            </w:r>
            <w:r w:rsidR="00A643FD" w:rsidRPr="00A25418">
              <w:t>jurisdiction in clear and unmistakable error (CUE) cases that sever service connection</w:t>
            </w:r>
          </w:p>
          <w:p w:rsidR="00A643FD" w:rsidRPr="00A25418" w:rsidRDefault="00A643FD" w:rsidP="00522D5E">
            <w:pPr>
              <w:pStyle w:val="BulletText1"/>
            </w:pPr>
            <w:r w:rsidRPr="00A25418">
              <w:t>preparing the rating decision, and</w:t>
            </w:r>
          </w:p>
          <w:p w:rsidR="00A643FD" w:rsidRPr="00A25418" w:rsidRDefault="00A643FD" w:rsidP="00522D5E">
            <w:pPr>
              <w:pStyle w:val="BulletText1"/>
            </w:pPr>
            <w:proofErr w:type="gramStart"/>
            <w:r w:rsidRPr="00A25418">
              <w:t>handling</w:t>
            </w:r>
            <w:proofErr w:type="gramEnd"/>
            <w:r w:rsidRPr="00A25418">
              <w:t xml:space="preserve"> cases of disagreement between the authorization and rating activities.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r w:rsidRPr="00A25418">
              <w:t>Change Date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>August 1, 2006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proofErr w:type="gramStart"/>
            <w:r w:rsidRPr="00A25418">
              <w:t xml:space="preserve">a.  </w:t>
            </w:r>
            <w:bookmarkStart w:id="16" w:name="a18"/>
            <w:bookmarkEnd w:id="16"/>
            <w:r w:rsidR="00660C5C" w:rsidRPr="00A25418">
              <w:t>Authorization</w:t>
            </w:r>
            <w:proofErr w:type="gramEnd"/>
            <w:r w:rsidR="00660C5C" w:rsidRPr="00A25418">
              <w:t xml:space="preserve"> Activity </w:t>
            </w:r>
            <w:r w:rsidRPr="00A25418">
              <w:t>Jurisdiction in CUE Cases That Sever Service Connection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</w:pPr>
            <w:r w:rsidRPr="00A25418">
              <w:t xml:space="preserve">Prepare an administrative decision if the authorization activity, </w:t>
            </w:r>
            <w:r w:rsidR="00AB5C91" w:rsidRPr="00A25418">
              <w:t>rather than the rating activity</w:t>
            </w:r>
            <w:r w:rsidRPr="00A25418">
              <w:t xml:space="preserve"> </w:t>
            </w:r>
          </w:p>
          <w:p w:rsidR="00AB5C91" w:rsidRPr="00A25418" w:rsidRDefault="00AB5C91" w:rsidP="00522D5E">
            <w:pPr>
              <w:pStyle w:val="BlockText"/>
            </w:pPr>
          </w:p>
          <w:p w:rsidR="00AB5C91" w:rsidRPr="00A25418" w:rsidRDefault="00AB5C91" w:rsidP="00AB5C91">
            <w:pPr>
              <w:pStyle w:val="BulletText1"/>
            </w:pPr>
            <w:r w:rsidRPr="00A25418">
              <w:t>has initial jurisdiction of a</w:t>
            </w:r>
          </w:p>
          <w:p w:rsidR="00A643FD" w:rsidRPr="00A25418" w:rsidRDefault="00A643FD" w:rsidP="00AB5C91">
            <w:pPr>
              <w:pStyle w:val="BulletText2"/>
            </w:pPr>
            <w:r w:rsidRPr="00A25418">
              <w:t xml:space="preserve">statutory bar to benefits and character-of-discharge determination under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III, Subpart v, </w:t>
            </w:r>
            <w:proofErr w:type="spellStart"/>
            <w:r w:rsidRPr="00A25418">
              <w:t>1.B</w:t>
            </w:r>
            <w:proofErr w:type="spellEnd"/>
          </w:p>
          <w:p w:rsidR="00A643FD" w:rsidRPr="00A25418" w:rsidRDefault="00A643FD" w:rsidP="00AB5C91">
            <w:pPr>
              <w:pStyle w:val="BulletText2"/>
            </w:pPr>
            <w:r w:rsidRPr="00A25418">
              <w:t xml:space="preserve">line-of-duty determination under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III, Subpart v, </w:t>
            </w:r>
            <w:proofErr w:type="spellStart"/>
            <w:r w:rsidRPr="00A25418">
              <w:t>1.D.</w:t>
            </w:r>
            <w:r w:rsidR="00165A9D" w:rsidRPr="00A25418">
              <w:rPr>
                <w:rStyle w:val="Hyperlink"/>
              </w:rPr>
              <w:t>6</w:t>
            </w:r>
            <w:proofErr w:type="spellEnd"/>
            <w:r w:rsidRPr="00A25418">
              <w:t>, or</w:t>
            </w:r>
          </w:p>
          <w:p w:rsidR="00A643FD" w:rsidRPr="00A25418" w:rsidRDefault="00A643FD" w:rsidP="00AB5C91">
            <w:pPr>
              <w:pStyle w:val="BulletText2"/>
            </w:pPr>
            <w:r w:rsidRPr="00A25418">
              <w:t xml:space="preserve">willful misconduct determination under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III, Subpart v, </w:t>
            </w:r>
            <w:proofErr w:type="spellStart"/>
            <w:r w:rsidRPr="00A25418">
              <w:t>1.D</w:t>
            </w:r>
            <w:proofErr w:type="spellEnd"/>
            <w:r w:rsidR="00AB5C91" w:rsidRPr="00A25418">
              <w:t>, and</w:t>
            </w:r>
          </w:p>
          <w:p w:rsidR="00A643FD" w:rsidRPr="00A25418" w:rsidRDefault="00A643FD" w:rsidP="00AB5C91">
            <w:pPr>
              <w:pStyle w:val="BulletText1"/>
            </w:pPr>
            <w:proofErr w:type="gramStart"/>
            <w:r w:rsidRPr="00A25418">
              <w:t>finds</w:t>
            </w:r>
            <w:proofErr w:type="gramEnd"/>
            <w:r w:rsidRPr="00A25418">
              <w:t xml:space="preserve"> that there is clear and unmistakable error (CUE) in a prior determination which will result in the severance of service connection.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A643FD" w:rsidP="00522D5E">
            <w:pPr>
              <w:pStyle w:val="BlockText"/>
            </w:pPr>
            <w:r w:rsidRPr="00A25418">
              <w:rPr>
                <w:b/>
                <w:i/>
              </w:rPr>
              <w:t>Note</w:t>
            </w:r>
            <w:r w:rsidRPr="00A25418">
              <w:t xml:space="preserve">:  The decision must contain a summary of findings and a statement as to the specific CUE that </w:t>
            </w:r>
            <w:proofErr w:type="gramStart"/>
            <w:r w:rsidRPr="00A25418">
              <w:t>was identified</w:t>
            </w:r>
            <w:proofErr w:type="gramEnd"/>
            <w:r w:rsidRPr="00A25418">
              <w:t xml:space="preserve">.  </w:t>
            </w:r>
          </w:p>
          <w:p w:rsidR="00A643FD" w:rsidRPr="00A25418" w:rsidRDefault="00A643FD" w:rsidP="00522D5E">
            <w:pPr>
              <w:pStyle w:val="BlockText"/>
            </w:pPr>
          </w:p>
          <w:p w:rsidR="00A643FD" w:rsidRPr="00A25418" w:rsidRDefault="00A643FD" w:rsidP="00522D5E">
            <w:pPr>
              <w:pStyle w:val="BlockText"/>
            </w:pPr>
            <w:r w:rsidRPr="00A25418">
              <w:rPr>
                <w:b/>
                <w:i/>
              </w:rPr>
              <w:t>References</w:t>
            </w:r>
            <w:r w:rsidRPr="00A25418">
              <w:t xml:space="preserve">:  For more information on </w:t>
            </w:r>
          </w:p>
          <w:p w:rsidR="00A643FD" w:rsidRPr="00A25418" w:rsidRDefault="00A643FD" w:rsidP="00522D5E">
            <w:pPr>
              <w:pStyle w:val="BulletText1"/>
            </w:pPr>
            <w:r w:rsidRPr="00A25418">
              <w:t xml:space="preserve">the preparation and approval of authorization determinations, see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III, Subpart v, </w:t>
            </w:r>
            <w:proofErr w:type="spellStart"/>
            <w:r w:rsidRPr="00A25418">
              <w:t>1.A.2</w:t>
            </w:r>
            <w:proofErr w:type="spellEnd"/>
            <w:r w:rsidRPr="00A25418">
              <w:t>, and</w:t>
            </w:r>
          </w:p>
          <w:p w:rsidR="00A643FD" w:rsidRPr="00A25418" w:rsidRDefault="00A643FD">
            <w:pPr>
              <w:pStyle w:val="BulletText1"/>
            </w:pPr>
            <w:proofErr w:type="gramStart"/>
            <w:r w:rsidRPr="00A25418">
              <w:t>CUE,</w:t>
            </w:r>
            <w:proofErr w:type="gramEnd"/>
            <w:r w:rsidRPr="00A25418">
              <w:t xml:space="preserve"> see </w:t>
            </w:r>
            <w:proofErr w:type="spellStart"/>
            <w:r w:rsidRPr="00A25418">
              <w:t>M21</w:t>
            </w:r>
            <w:proofErr w:type="spellEnd"/>
            <w:r w:rsidRPr="00A25418">
              <w:t xml:space="preserve">-1, Part IV, Subpart ii, </w:t>
            </w:r>
            <w:proofErr w:type="spellStart"/>
            <w:r w:rsidRPr="00A25418">
              <w:t>3.A.2</w:t>
            </w:r>
            <w:proofErr w:type="spellEnd"/>
            <w:r w:rsidRPr="00A25418">
              <w:t>.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proofErr w:type="gramStart"/>
            <w:r w:rsidRPr="00A25418">
              <w:t xml:space="preserve">b.  </w:t>
            </w:r>
            <w:bookmarkStart w:id="17" w:name="b18"/>
            <w:bookmarkEnd w:id="17"/>
            <w:r w:rsidRPr="00A25418">
              <w:t>Preparing</w:t>
            </w:r>
            <w:proofErr w:type="gramEnd"/>
            <w:r w:rsidRPr="00A25418">
              <w:t xml:space="preserve"> the Rating Decision</w:t>
            </w:r>
          </w:p>
        </w:tc>
        <w:tc>
          <w:tcPr>
            <w:tcW w:w="7740" w:type="dxa"/>
          </w:tcPr>
          <w:p w:rsidR="00A643FD" w:rsidRPr="00A25418" w:rsidRDefault="00A643FD" w:rsidP="00B71EA6">
            <w:pPr>
              <w:pStyle w:val="BlockText"/>
            </w:pPr>
            <w:r w:rsidRPr="00A25418">
              <w:t>Refer the claims folder, if in order, to the rating activity for appropriate action</w:t>
            </w:r>
            <w:r w:rsidR="00B71EA6" w:rsidRPr="00A25418">
              <w:t>.  This</w:t>
            </w:r>
            <w:r w:rsidRPr="00A25418">
              <w:t xml:space="preserve"> includ</w:t>
            </w:r>
            <w:r w:rsidR="00B71EA6" w:rsidRPr="00A25418">
              <w:t>es</w:t>
            </w:r>
            <w:r w:rsidRPr="00A25418">
              <w:t xml:space="preserve"> the preparation of a rating decision proposing the severance of service connection under</w:t>
            </w:r>
            <w:hyperlink r:id="rId38" w:history="1">
              <w:r w:rsidRPr="00A25418">
                <w:rPr>
                  <w:rStyle w:val="Hyperlink"/>
                </w:rPr>
                <w:t xml:space="preserve"> 38 </w:t>
              </w:r>
              <w:r w:rsidR="00531CEB" w:rsidRPr="00A25418">
                <w:rPr>
                  <w:rStyle w:val="Hyperlink"/>
                </w:rPr>
                <w:t>CFR</w:t>
              </w:r>
              <w:r w:rsidRPr="00A25418">
                <w:rPr>
                  <w:rStyle w:val="Hyperlink"/>
                </w:rPr>
                <w:t xml:space="preserve"> 3.105(c)</w:t>
              </w:r>
            </w:hyperlink>
            <w:r w:rsidRPr="00A25418">
              <w:t xml:space="preserve"> and </w:t>
            </w:r>
            <w:hyperlink r:id="rId39" w:history="1">
              <w:r w:rsidR="00531CEB" w:rsidRPr="00A25418">
                <w:rPr>
                  <w:rStyle w:val="Hyperlink"/>
                </w:rPr>
                <w:t>38 CFR</w:t>
              </w:r>
              <w:r w:rsidRPr="00A25418">
                <w:rPr>
                  <w:rStyle w:val="Hyperlink"/>
                </w:rPr>
                <w:t xml:space="preserve"> 3.105(d)</w:t>
              </w:r>
            </w:hyperlink>
            <w:r w:rsidRPr="00A25418">
              <w:t xml:space="preserve"> </w:t>
            </w:r>
            <w:proofErr w:type="gramStart"/>
            <w:r w:rsidRPr="00A25418">
              <w:t>on the basis of</w:t>
            </w:r>
            <w:proofErr w:type="gramEnd"/>
            <w:r w:rsidRPr="00A25418">
              <w:t xml:space="preserve"> the determination by the authorization activity.</w:t>
            </w:r>
          </w:p>
        </w:tc>
      </w:tr>
    </w:tbl>
    <w:p w:rsidR="00A643FD" w:rsidRPr="00A25418" w:rsidRDefault="00A643FD" w:rsidP="00A643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643FD" w:rsidRPr="00A25418" w:rsidTr="00522D5E">
        <w:trPr>
          <w:cantSplit/>
        </w:trPr>
        <w:tc>
          <w:tcPr>
            <w:tcW w:w="1728" w:type="dxa"/>
          </w:tcPr>
          <w:p w:rsidR="00A643FD" w:rsidRPr="00A25418" w:rsidRDefault="00A643FD" w:rsidP="00522D5E">
            <w:pPr>
              <w:pStyle w:val="Heading5"/>
            </w:pPr>
            <w:proofErr w:type="gramStart"/>
            <w:r w:rsidRPr="00A25418">
              <w:lastRenderedPageBreak/>
              <w:t xml:space="preserve">c.  </w:t>
            </w:r>
            <w:bookmarkStart w:id="18" w:name="c18"/>
            <w:bookmarkEnd w:id="18"/>
            <w:r w:rsidRPr="00A25418">
              <w:t>Handling</w:t>
            </w:r>
            <w:proofErr w:type="gramEnd"/>
            <w:r w:rsidRPr="00A25418">
              <w:t xml:space="preserve"> Cases of Disagreement Between the Authorization and Rating Activities </w:t>
            </w:r>
          </w:p>
        </w:tc>
        <w:tc>
          <w:tcPr>
            <w:tcW w:w="7740" w:type="dxa"/>
          </w:tcPr>
          <w:p w:rsidR="00A643FD" w:rsidRPr="00A25418" w:rsidRDefault="00A643FD" w:rsidP="00522D5E">
            <w:pPr>
              <w:pStyle w:val="BlockText"/>
              <w:rPr>
                <w:b/>
              </w:rPr>
            </w:pPr>
            <w:r w:rsidRPr="00A25418">
              <w:t xml:space="preserve">Refer the case by memorandum to the </w:t>
            </w:r>
            <w:proofErr w:type="spellStart"/>
            <w:r w:rsidRPr="00A25418">
              <w:t>VSCM</w:t>
            </w:r>
            <w:proofErr w:type="spellEnd"/>
            <w:r w:rsidRPr="00A25418">
              <w:t xml:space="preserve"> for resolution of an issue if the rating activity disagrees with the determination by the authorization activity as to character of discharge, line of duty, or willful misconduct.</w:t>
            </w:r>
          </w:p>
        </w:tc>
      </w:tr>
    </w:tbl>
    <w:p w:rsidR="00A643FD" w:rsidRPr="00A25418" w:rsidRDefault="00A643FD" w:rsidP="00A643FD">
      <w:pPr>
        <w:pStyle w:val="BlockLine"/>
      </w:pPr>
    </w:p>
    <w:p w:rsidR="00E11D70" w:rsidRPr="00A643FD" w:rsidRDefault="003A72AE">
      <w:r w:rsidRPr="00A25418">
        <w:fldChar w:fldCharType="begin">
          <w:fldData xml:space="preserve">RgBvAG4AdABTAGUAdABGAG8AbgB0AFMAZQB0AEYAbwBuAHQAUwBlAHQAaQBtAGkAcwB0AHkAbABl
AHMALgB4AG0AbAA=
</w:fldData>
        </w:fldChar>
      </w:r>
      <w:r w:rsidRPr="00A25418">
        <w:instrText xml:space="preserve"> ADDIN  \* MERGEFORMAT </w:instrText>
      </w:r>
      <w:r w:rsidRPr="00A25418">
        <w:fldChar w:fldCharType="end"/>
      </w:r>
      <w:r w:rsidRPr="00A25418">
        <w:fldChar w:fldCharType="begin">
          <w:fldData xml:space="preserve">RABvAGMAVABlAG0AcAAxAFYAYQByAFQAcgBhAGQAaQB0AGkAbwBuAGEAbAA=
</w:fldData>
        </w:fldChar>
      </w:r>
      <w:r w:rsidRPr="00A25418">
        <w:instrText xml:space="preserve"> ADDIN  \* MERGEFORMAT </w:instrText>
      </w:r>
      <w:r w:rsidRPr="00A25418">
        <w:fldChar w:fldCharType="end"/>
      </w:r>
      <w:r w:rsidR="00AF3986">
        <w:fldChar w:fldCharType="begin">
          <w:fldData xml:space="preserve">RABvAGMAVABlAG0AcAAxAFYAYQByAFQAcgBhAGQAaQB0AGkAbwBuAGEAbAA=
</w:fldData>
        </w:fldChar>
      </w:r>
      <w:r w:rsidR="00AF3986">
        <w:instrText xml:space="preserve"> ADDIN  \* MERGEFORMAT </w:instrText>
      </w:r>
      <w:r w:rsidR="00AF3986">
        <w:fldChar w:fldCharType="end"/>
      </w:r>
      <w:r w:rsidR="00AF3986">
        <w:fldChar w:fldCharType="begin">
          <w:fldData xml:space="preserve">RgBvAG4AdABTAGUAdABGAG8AbgB0AFMAZQB0AEYAbwBuAHQAUwBlAHQARgBvAG4AdABTAGUAdABp
AG0AaQBzAHQAeQBsAGUAcwAuAHgAbQBsAA==
</w:fldData>
        </w:fldChar>
      </w:r>
      <w:r w:rsidR="00AF3986">
        <w:instrText xml:space="preserve"> ADDIN  \* MERGEFORMAT </w:instrText>
      </w:r>
      <w:r w:rsidR="00AF3986">
        <w:fldChar w:fldCharType="end"/>
      </w:r>
      <w:r w:rsidR="00A500ED">
        <w:fldChar w:fldCharType="begin">
          <w:fldData xml:space="preserve">RABvAGMAVABlAG0AcAAxAFYAYQByAFQAcgBhAGQAaQB0AGkAbwBuAGEAbAA=
</w:fldData>
        </w:fldChar>
      </w:r>
      <w:r w:rsidR="00A500ED">
        <w:instrText xml:space="preserve"> ADDIN  \* MERGEFORMAT </w:instrText>
      </w:r>
      <w:r w:rsidR="00A500ED">
        <w:fldChar w:fldCharType="end"/>
      </w:r>
      <w:r w:rsidR="00A500ED">
        <w:fldChar w:fldCharType="begin">
          <w:fldData xml:space="preserve">RgBvAG4AdABTAGUAdABGAG8AbgB0AFMAZQB0AEYAbwBuAHQAUwBlAHQARgBvAG4AdABTAGUAdABG
AG8AbgB0AFMAZQB0AGkAbQBpAHMAdAB5AGwAZQBzAC4AeABtAGwA
</w:fldData>
        </w:fldChar>
      </w:r>
      <w:r w:rsidR="00A500ED">
        <w:instrText xml:space="preserve"> ADDIN  \* MERGEFORMAT </w:instrText>
      </w:r>
      <w:r w:rsidR="00A500ED">
        <w:fldChar w:fldCharType="end"/>
      </w:r>
    </w:p>
    <w:sectPr w:rsidR="00E11D70" w:rsidRPr="00A643FD" w:rsidSect="00522D5E">
      <w:headerReference w:type="even" r:id="rId40"/>
      <w:footerReference w:type="even" r:id="rId41"/>
      <w:footerReference w:type="default" r:id="rId42"/>
      <w:pgSz w:w="12240" w:h="15840"/>
      <w:pgMar w:top="1008" w:right="1440" w:bottom="1008" w:left="1440" w:header="720" w:footer="720" w:gutter="0"/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A3" w:rsidRDefault="002E60A3">
      <w:r>
        <w:separator/>
      </w:r>
    </w:p>
  </w:endnote>
  <w:endnote w:type="continuationSeparator" w:id="0">
    <w:p w:rsidR="002E60A3" w:rsidRDefault="002E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67" w:rsidRDefault="00E76167">
    <w:pPr>
      <w:pStyle w:val="Footer"/>
      <w:tabs>
        <w:tab w:val="left" w:pos="0"/>
        <w:tab w:val="right" w:pos="9274"/>
      </w:tabs>
    </w:pPr>
    <w:r>
      <w:rPr>
        <w:b/>
        <w:sz w:val="20"/>
      </w:rPr>
      <w:t>8-E-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10</w:t>
    </w:r>
    <w:r>
      <w:rPr>
        <w:rStyle w:val="PageNumber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67" w:rsidRPr="00AE12C8" w:rsidRDefault="00E76167">
    <w:pPr>
      <w:pStyle w:val="Footer"/>
      <w:tabs>
        <w:tab w:val="left" w:pos="0"/>
        <w:tab w:val="right" w:pos="9274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A3" w:rsidRDefault="002E60A3">
      <w:r>
        <w:separator/>
      </w:r>
    </w:p>
  </w:footnote>
  <w:footnote w:type="continuationSeparator" w:id="0">
    <w:p w:rsidR="002E60A3" w:rsidRDefault="002E6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67" w:rsidRDefault="00E76167">
    <w:pPr>
      <w:pStyle w:val="Header"/>
    </w:pPr>
    <w:proofErr w:type="spellStart"/>
    <w:r>
      <w:rPr>
        <w:b/>
        <w:sz w:val="20"/>
      </w:rPr>
      <w:t>M21-1MR</w:t>
    </w:r>
    <w:proofErr w:type="spellEnd"/>
    <w:r>
      <w:rPr>
        <w:b/>
        <w:sz w:val="20"/>
      </w:rPr>
      <w:t>, Part III, Subpart iv, Chapter 8, Section E</w:t>
    </w:r>
    <w:r>
      <w:rPr>
        <w:b/>
        <w:sz w:val="20"/>
      </w:rPr>
      <w:tab/>
    </w: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25pt;height:12.25pt" o:bullet="t">
        <v:imagedata r:id="rId1" o:title="fspro_2columns"/>
      </v:shape>
    </w:pict>
  </w:numPicBullet>
  <w:numPicBullet w:numPicBulletId="1">
    <w:pict>
      <v:shape id="_x0000_i1035" type="#_x0000_t75" style="width:12.25pt;height:12.25pt" o:bullet="t">
        <v:imagedata r:id="rId2" o:title="advanced"/>
      </v:shape>
    </w:pict>
  </w:numPicBullet>
  <w:numPicBullet w:numPicBulletId="2">
    <w:pict>
      <v:shape id="_x0000_i1036" type="#_x0000_t75" style="width:12.25pt;height:12.25pt" o:bullet="t">
        <v:imagedata r:id="rId3" o:title="continue"/>
      </v:shape>
    </w:pict>
  </w:numPicBullet>
  <w:numPicBullet w:numPicBulletId="3">
    <w:pict>
      <v:shape id="_x0000_i1037" type="#_x0000_t75" style="width:12.25pt;height:12.25pt" o:bullet="t">
        <v:imagedata r:id="rId4" o:title="webpage"/>
      </v:shape>
    </w:pict>
  </w:numPicBullet>
  <w:abstractNum w:abstractNumId="0">
    <w:nsid w:val="FFFFFF7F"/>
    <w:multiLevelType w:val="singleLevel"/>
    <w:tmpl w:val="1D9C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95C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6F4D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85C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F07304"/>
    <w:multiLevelType w:val="hybridMultilevel"/>
    <w:tmpl w:val="6DD292EC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08058B"/>
    <w:multiLevelType w:val="hybridMultilevel"/>
    <w:tmpl w:val="93DA86A8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B974BB"/>
    <w:multiLevelType w:val="hybridMultilevel"/>
    <w:tmpl w:val="47A2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41433"/>
    <w:multiLevelType w:val="hybridMultilevel"/>
    <w:tmpl w:val="2424E838"/>
    <w:lvl w:ilvl="0" w:tplc="691CC042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96564"/>
    <w:multiLevelType w:val="hybridMultilevel"/>
    <w:tmpl w:val="DB72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10C0B"/>
    <w:multiLevelType w:val="hybridMultilevel"/>
    <w:tmpl w:val="7374A7F2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2851"/>
    <w:multiLevelType w:val="hybridMultilevel"/>
    <w:tmpl w:val="E67EEE28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96028"/>
    <w:multiLevelType w:val="hybridMultilevel"/>
    <w:tmpl w:val="4FAE2B0C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02F32"/>
    <w:multiLevelType w:val="hybridMultilevel"/>
    <w:tmpl w:val="B72228A0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22968"/>
    <w:multiLevelType w:val="hybridMultilevel"/>
    <w:tmpl w:val="552E276C"/>
    <w:lvl w:ilvl="0" w:tplc="ABFC5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36853"/>
    <w:multiLevelType w:val="hybridMultilevel"/>
    <w:tmpl w:val="072EF38E"/>
    <w:lvl w:ilvl="0" w:tplc="691CC042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50E16"/>
    <w:multiLevelType w:val="hybridMultilevel"/>
    <w:tmpl w:val="05E202A4"/>
    <w:lvl w:ilvl="0" w:tplc="B1745BD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E373F"/>
    <w:multiLevelType w:val="hybridMultilevel"/>
    <w:tmpl w:val="BAE8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AB0C64"/>
    <w:multiLevelType w:val="hybridMultilevel"/>
    <w:tmpl w:val="FD182958"/>
    <w:lvl w:ilvl="0" w:tplc="373EC93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D7494"/>
    <w:multiLevelType w:val="hybridMultilevel"/>
    <w:tmpl w:val="43AEFEC4"/>
    <w:lvl w:ilvl="0" w:tplc="691CC042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F423F"/>
    <w:multiLevelType w:val="hybridMultilevel"/>
    <w:tmpl w:val="69D2F714"/>
    <w:lvl w:ilvl="0" w:tplc="B1745BD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3E3711"/>
    <w:multiLevelType w:val="hybridMultilevel"/>
    <w:tmpl w:val="87D0BA80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842649"/>
    <w:multiLevelType w:val="hybridMultilevel"/>
    <w:tmpl w:val="F9C6E5DE"/>
    <w:lvl w:ilvl="0" w:tplc="890C220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8D19E7"/>
    <w:multiLevelType w:val="hybridMultilevel"/>
    <w:tmpl w:val="DC74FCCE"/>
    <w:lvl w:ilvl="0" w:tplc="B19E925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06452A"/>
    <w:multiLevelType w:val="hybridMultilevel"/>
    <w:tmpl w:val="1D7A1454"/>
    <w:lvl w:ilvl="0" w:tplc="15AA59F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8C6126"/>
    <w:multiLevelType w:val="hybridMultilevel"/>
    <w:tmpl w:val="927A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CB47DEF"/>
    <w:multiLevelType w:val="hybridMultilevel"/>
    <w:tmpl w:val="19843644"/>
    <w:lvl w:ilvl="0" w:tplc="07849E4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2C4ACB"/>
    <w:multiLevelType w:val="hybridMultilevel"/>
    <w:tmpl w:val="2A205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15E77D7"/>
    <w:multiLevelType w:val="hybridMultilevel"/>
    <w:tmpl w:val="938C06DA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A81A0D"/>
    <w:multiLevelType w:val="hybridMultilevel"/>
    <w:tmpl w:val="2CDA342E"/>
    <w:lvl w:ilvl="0" w:tplc="B1745BD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E5324F"/>
    <w:multiLevelType w:val="hybridMultilevel"/>
    <w:tmpl w:val="6F743E4E"/>
    <w:lvl w:ilvl="0" w:tplc="E6F6F41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470E331D"/>
    <w:multiLevelType w:val="hybridMultilevel"/>
    <w:tmpl w:val="50040DA0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F83635"/>
    <w:multiLevelType w:val="hybridMultilevel"/>
    <w:tmpl w:val="7C88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D6302F"/>
    <w:multiLevelType w:val="hybridMultilevel"/>
    <w:tmpl w:val="75ACA584"/>
    <w:lvl w:ilvl="0" w:tplc="373EC93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087E6C"/>
    <w:multiLevelType w:val="hybridMultilevel"/>
    <w:tmpl w:val="74AA0AD2"/>
    <w:lvl w:ilvl="0" w:tplc="A39E7EEC">
      <w:start w:val="1"/>
      <w:numFmt w:val="bullet"/>
      <w:lvlRestart w:val="0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5508592B"/>
    <w:multiLevelType w:val="hybridMultilevel"/>
    <w:tmpl w:val="3AA8C77A"/>
    <w:lvl w:ilvl="0" w:tplc="60E47EE8">
      <w:start w:val="1"/>
      <w:numFmt w:val="bullet"/>
      <w:lvlRestart w:val="0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55CE78E9"/>
    <w:multiLevelType w:val="hybridMultilevel"/>
    <w:tmpl w:val="B6CA09A2"/>
    <w:lvl w:ilvl="0" w:tplc="E6F6F418">
      <w:start w:val="1"/>
      <w:numFmt w:val="bullet"/>
      <w:lvlRestart w:val="0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57BD318D"/>
    <w:multiLevelType w:val="hybridMultilevel"/>
    <w:tmpl w:val="5F605C18"/>
    <w:lvl w:ilvl="0" w:tplc="84EAAF0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204C8D"/>
    <w:multiLevelType w:val="hybridMultilevel"/>
    <w:tmpl w:val="13446E5A"/>
    <w:lvl w:ilvl="0" w:tplc="691CC042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67405C"/>
    <w:multiLevelType w:val="hybridMultilevel"/>
    <w:tmpl w:val="7E82E29C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5D5E18E2"/>
    <w:multiLevelType w:val="hybridMultilevel"/>
    <w:tmpl w:val="9EA25AD2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0167B3"/>
    <w:multiLevelType w:val="hybridMultilevel"/>
    <w:tmpl w:val="15A22E04"/>
    <w:lvl w:ilvl="0" w:tplc="E6F6F41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4818AE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61B93E60"/>
    <w:multiLevelType w:val="hybridMultilevel"/>
    <w:tmpl w:val="6A28DF54"/>
    <w:lvl w:ilvl="0" w:tplc="373EC93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362FC5"/>
    <w:multiLevelType w:val="hybridMultilevel"/>
    <w:tmpl w:val="89C27A02"/>
    <w:lvl w:ilvl="0" w:tplc="B1745BD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DA56C6"/>
    <w:multiLevelType w:val="hybridMultilevel"/>
    <w:tmpl w:val="5A76C96A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102707"/>
    <w:multiLevelType w:val="hybridMultilevel"/>
    <w:tmpl w:val="E5AEF820"/>
    <w:lvl w:ilvl="0" w:tplc="B1745BD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14D7107"/>
    <w:multiLevelType w:val="hybridMultilevel"/>
    <w:tmpl w:val="E88CD2B0"/>
    <w:lvl w:ilvl="0" w:tplc="E6F6F41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764F7571"/>
    <w:multiLevelType w:val="hybridMultilevel"/>
    <w:tmpl w:val="99DC07DE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577E6A"/>
    <w:multiLevelType w:val="hybridMultilevel"/>
    <w:tmpl w:val="019ADCF2"/>
    <w:lvl w:ilvl="0" w:tplc="60E47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B51089"/>
    <w:multiLevelType w:val="hybridMultilevel"/>
    <w:tmpl w:val="0C90532E"/>
    <w:lvl w:ilvl="0" w:tplc="60E47EE8">
      <w:start w:val="1"/>
      <w:numFmt w:val="bullet"/>
      <w:lvlRestart w:val="0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9">
    <w:nsid w:val="7B844414"/>
    <w:multiLevelType w:val="hybridMultilevel"/>
    <w:tmpl w:val="F0E64BA2"/>
    <w:lvl w:ilvl="0" w:tplc="D1F0950A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D6D1E45"/>
    <w:multiLevelType w:val="hybridMultilevel"/>
    <w:tmpl w:val="E6388F2A"/>
    <w:lvl w:ilvl="0" w:tplc="E6F6F41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"/>
  </w:num>
  <w:num w:numId="3">
    <w:abstractNumId w:val="53"/>
  </w:num>
  <w:num w:numId="4">
    <w:abstractNumId w:val="44"/>
  </w:num>
  <w:num w:numId="5">
    <w:abstractNumId w:val="40"/>
  </w:num>
  <w:num w:numId="6">
    <w:abstractNumId w:val="55"/>
  </w:num>
  <w:num w:numId="7">
    <w:abstractNumId w:val="33"/>
  </w:num>
  <w:num w:numId="8">
    <w:abstractNumId w:val="27"/>
  </w:num>
  <w:num w:numId="9">
    <w:abstractNumId w:val="47"/>
  </w:num>
  <w:num w:numId="10">
    <w:abstractNumId w:val="4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11">
    <w:abstractNumId w:val="1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9"/>
  </w:num>
  <w:num w:numId="18">
    <w:abstractNumId w:val="41"/>
  </w:num>
  <w:num w:numId="19">
    <w:abstractNumId w:val="25"/>
  </w:num>
  <w:num w:numId="20">
    <w:abstractNumId w:val="36"/>
  </w:num>
  <w:num w:numId="21">
    <w:abstractNumId w:val="19"/>
  </w:num>
  <w:num w:numId="22">
    <w:abstractNumId w:val="48"/>
  </w:num>
  <w:num w:numId="23">
    <w:abstractNumId w:val="28"/>
  </w:num>
  <w:num w:numId="24">
    <w:abstractNumId w:val="52"/>
  </w:num>
  <w:num w:numId="25">
    <w:abstractNumId w:val="50"/>
  </w:num>
  <w:num w:numId="26">
    <w:abstractNumId w:val="21"/>
  </w:num>
  <w:num w:numId="27">
    <w:abstractNumId w:val="17"/>
  </w:num>
  <w:num w:numId="28">
    <w:abstractNumId w:val="31"/>
  </w:num>
  <w:num w:numId="29">
    <w:abstractNumId w:val="8"/>
  </w:num>
  <w:num w:numId="30">
    <w:abstractNumId w:val="18"/>
  </w:num>
  <w:num w:numId="31">
    <w:abstractNumId w:val="37"/>
  </w:num>
  <w:num w:numId="32">
    <w:abstractNumId w:val="7"/>
  </w:num>
  <w:num w:numId="33">
    <w:abstractNumId w:val="13"/>
  </w:num>
  <w:num w:numId="34">
    <w:abstractNumId w:val="11"/>
  </w:num>
  <w:num w:numId="35">
    <w:abstractNumId w:val="14"/>
  </w:num>
  <w:num w:numId="36">
    <w:abstractNumId w:val="51"/>
  </w:num>
  <w:num w:numId="37">
    <w:abstractNumId w:val="57"/>
  </w:num>
  <w:num w:numId="38">
    <w:abstractNumId w:val="22"/>
  </w:num>
  <w:num w:numId="39">
    <w:abstractNumId w:val="6"/>
  </w:num>
  <w:num w:numId="40">
    <w:abstractNumId w:val="56"/>
  </w:num>
  <w:num w:numId="41">
    <w:abstractNumId w:val="58"/>
  </w:num>
  <w:num w:numId="42">
    <w:abstractNumId w:val="12"/>
  </w:num>
  <w:num w:numId="43">
    <w:abstractNumId w:val="43"/>
  </w:num>
  <w:num w:numId="44">
    <w:abstractNumId w:val="45"/>
  </w:num>
  <w:num w:numId="45">
    <w:abstractNumId w:val="38"/>
  </w:num>
  <w:num w:numId="46">
    <w:abstractNumId w:val="30"/>
  </w:num>
  <w:num w:numId="47">
    <w:abstractNumId w:val="34"/>
  </w:num>
  <w:num w:numId="48">
    <w:abstractNumId w:val="46"/>
  </w:num>
  <w:num w:numId="49">
    <w:abstractNumId w:val="32"/>
  </w:num>
  <w:num w:numId="50">
    <w:abstractNumId w:val="39"/>
  </w:num>
  <w:num w:numId="51">
    <w:abstractNumId w:val="54"/>
  </w:num>
  <w:num w:numId="52">
    <w:abstractNumId w:val="60"/>
  </w:num>
  <w:num w:numId="53">
    <w:abstractNumId w:val="10"/>
  </w:num>
  <w:num w:numId="54">
    <w:abstractNumId w:val="35"/>
  </w:num>
  <w:num w:numId="55">
    <w:abstractNumId w:val="23"/>
  </w:num>
  <w:num w:numId="56">
    <w:abstractNumId w:val="16"/>
  </w:num>
  <w:num w:numId="57">
    <w:abstractNumId w:val="42"/>
  </w:num>
  <w:num w:numId="58">
    <w:abstractNumId w:val="9"/>
  </w:num>
  <w:num w:numId="59">
    <w:abstractNumId w:val="20"/>
  </w:num>
  <w:num w:numId="60">
    <w:abstractNumId w:val="24"/>
  </w:num>
  <w:num w:numId="61">
    <w:abstractNumId w:val="5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hideSpellingErrors/>
  <w:hideGrammaticalErrors/>
  <w:proofState w:spelling="clean" w:grammar="clean"/>
  <w:attachedTemplate r:id="rId1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FontSetFontSetFontSetFontSetFontSetimistyles.xml"/>
    <w:docVar w:name="XSLPath" w:val="C:\Program Files\Information Mapping\FS Pro 4.1\StyleSheets\"/>
    <w:docVar w:name="XSLstylesheet" w:val="Basic.xsl"/>
  </w:docVars>
  <w:rsids>
    <w:rsidRoot w:val="00E20D61"/>
    <w:rsid w:val="00006F1C"/>
    <w:rsid w:val="00014377"/>
    <w:rsid w:val="00020545"/>
    <w:rsid w:val="00027152"/>
    <w:rsid w:val="0003235E"/>
    <w:rsid w:val="00035D42"/>
    <w:rsid w:val="000515A0"/>
    <w:rsid w:val="00052B29"/>
    <w:rsid w:val="00055441"/>
    <w:rsid w:val="00057797"/>
    <w:rsid w:val="00065B80"/>
    <w:rsid w:val="00065D24"/>
    <w:rsid w:val="00067498"/>
    <w:rsid w:val="0007501D"/>
    <w:rsid w:val="00082BDF"/>
    <w:rsid w:val="00091C68"/>
    <w:rsid w:val="00096C3F"/>
    <w:rsid w:val="000A1FA3"/>
    <w:rsid w:val="000B15C8"/>
    <w:rsid w:val="000B213A"/>
    <w:rsid w:val="000B6C21"/>
    <w:rsid w:val="000B7648"/>
    <w:rsid w:val="000B7DC8"/>
    <w:rsid w:val="000C77B5"/>
    <w:rsid w:val="000D1261"/>
    <w:rsid w:val="000D33EE"/>
    <w:rsid w:val="000D684A"/>
    <w:rsid w:val="000D7E4A"/>
    <w:rsid w:val="000E286D"/>
    <w:rsid w:val="000E47E8"/>
    <w:rsid w:val="000F4A02"/>
    <w:rsid w:val="000F5B33"/>
    <w:rsid w:val="000F6610"/>
    <w:rsid w:val="00127EB0"/>
    <w:rsid w:val="00144493"/>
    <w:rsid w:val="00161DF9"/>
    <w:rsid w:val="00162DDD"/>
    <w:rsid w:val="00163378"/>
    <w:rsid w:val="00165A9D"/>
    <w:rsid w:val="00167364"/>
    <w:rsid w:val="001709CE"/>
    <w:rsid w:val="00173518"/>
    <w:rsid w:val="00176F47"/>
    <w:rsid w:val="0018247F"/>
    <w:rsid w:val="001835CE"/>
    <w:rsid w:val="00184527"/>
    <w:rsid w:val="00185EE1"/>
    <w:rsid w:val="00186411"/>
    <w:rsid w:val="00191B3F"/>
    <w:rsid w:val="001947BA"/>
    <w:rsid w:val="00197B69"/>
    <w:rsid w:val="001A174F"/>
    <w:rsid w:val="001A509F"/>
    <w:rsid w:val="001A7510"/>
    <w:rsid w:val="001B34A0"/>
    <w:rsid w:val="001B3A37"/>
    <w:rsid w:val="001B6DB1"/>
    <w:rsid w:val="001C5D78"/>
    <w:rsid w:val="001C6E18"/>
    <w:rsid w:val="001D0310"/>
    <w:rsid w:val="001D1107"/>
    <w:rsid w:val="001E4296"/>
    <w:rsid w:val="001F3F8D"/>
    <w:rsid w:val="001F768E"/>
    <w:rsid w:val="001F7718"/>
    <w:rsid w:val="00203156"/>
    <w:rsid w:val="00216B3B"/>
    <w:rsid w:val="00220762"/>
    <w:rsid w:val="00224AE5"/>
    <w:rsid w:val="002254DF"/>
    <w:rsid w:val="0023484F"/>
    <w:rsid w:val="00236BB6"/>
    <w:rsid w:val="00240DF8"/>
    <w:rsid w:val="002462B1"/>
    <w:rsid w:val="0024754B"/>
    <w:rsid w:val="00251435"/>
    <w:rsid w:val="00255097"/>
    <w:rsid w:val="0027160B"/>
    <w:rsid w:val="00284913"/>
    <w:rsid w:val="00285E0F"/>
    <w:rsid w:val="002A74FF"/>
    <w:rsid w:val="002B3192"/>
    <w:rsid w:val="002B3E3E"/>
    <w:rsid w:val="002C17C2"/>
    <w:rsid w:val="002C29E9"/>
    <w:rsid w:val="002E60A3"/>
    <w:rsid w:val="002E632B"/>
    <w:rsid w:val="002F4DFF"/>
    <w:rsid w:val="00302358"/>
    <w:rsid w:val="003123C7"/>
    <w:rsid w:val="00316471"/>
    <w:rsid w:val="0031746C"/>
    <w:rsid w:val="0033666A"/>
    <w:rsid w:val="00363611"/>
    <w:rsid w:val="003636AE"/>
    <w:rsid w:val="003636BB"/>
    <w:rsid w:val="00367395"/>
    <w:rsid w:val="003722A7"/>
    <w:rsid w:val="00376CD4"/>
    <w:rsid w:val="00387916"/>
    <w:rsid w:val="0039107A"/>
    <w:rsid w:val="0039132D"/>
    <w:rsid w:val="00392228"/>
    <w:rsid w:val="003A3414"/>
    <w:rsid w:val="003A72AE"/>
    <w:rsid w:val="003B0356"/>
    <w:rsid w:val="003B0512"/>
    <w:rsid w:val="003B3C2B"/>
    <w:rsid w:val="003C0F84"/>
    <w:rsid w:val="003C178D"/>
    <w:rsid w:val="003C62C5"/>
    <w:rsid w:val="003D13B6"/>
    <w:rsid w:val="003F4CC4"/>
    <w:rsid w:val="003F6614"/>
    <w:rsid w:val="003F7891"/>
    <w:rsid w:val="00402F8B"/>
    <w:rsid w:val="00432498"/>
    <w:rsid w:val="004324E5"/>
    <w:rsid w:val="004362AB"/>
    <w:rsid w:val="00445BF7"/>
    <w:rsid w:val="004473B1"/>
    <w:rsid w:val="004548D6"/>
    <w:rsid w:val="00462248"/>
    <w:rsid w:val="00467D39"/>
    <w:rsid w:val="00481E5E"/>
    <w:rsid w:val="0049348F"/>
    <w:rsid w:val="00496A41"/>
    <w:rsid w:val="004A0246"/>
    <w:rsid w:val="004A1276"/>
    <w:rsid w:val="004A4E83"/>
    <w:rsid w:val="004A5A1B"/>
    <w:rsid w:val="004B03CC"/>
    <w:rsid w:val="004D4178"/>
    <w:rsid w:val="004E1B1C"/>
    <w:rsid w:val="004E435C"/>
    <w:rsid w:val="004E4FF8"/>
    <w:rsid w:val="004E60AF"/>
    <w:rsid w:val="004F1716"/>
    <w:rsid w:val="004F6499"/>
    <w:rsid w:val="00502ACA"/>
    <w:rsid w:val="005125DB"/>
    <w:rsid w:val="00522D5E"/>
    <w:rsid w:val="00531CEB"/>
    <w:rsid w:val="00561EED"/>
    <w:rsid w:val="00561F87"/>
    <w:rsid w:val="0056306B"/>
    <w:rsid w:val="005B2492"/>
    <w:rsid w:val="005B5DFF"/>
    <w:rsid w:val="005C16DB"/>
    <w:rsid w:val="005D1505"/>
    <w:rsid w:val="005D34A0"/>
    <w:rsid w:val="005D5FCF"/>
    <w:rsid w:val="005D7D78"/>
    <w:rsid w:val="005E15FA"/>
    <w:rsid w:val="005E28CA"/>
    <w:rsid w:val="005E2AD2"/>
    <w:rsid w:val="005E7207"/>
    <w:rsid w:val="005F3DCB"/>
    <w:rsid w:val="00602037"/>
    <w:rsid w:val="0060484D"/>
    <w:rsid w:val="00605973"/>
    <w:rsid w:val="0061005F"/>
    <w:rsid w:val="006140B8"/>
    <w:rsid w:val="006215C0"/>
    <w:rsid w:val="0063764E"/>
    <w:rsid w:val="00640D1D"/>
    <w:rsid w:val="00641479"/>
    <w:rsid w:val="00646190"/>
    <w:rsid w:val="006534F1"/>
    <w:rsid w:val="00657545"/>
    <w:rsid w:val="00660C5C"/>
    <w:rsid w:val="00663B1D"/>
    <w:rsid w:val="00664104"/>
    <w:rsid w:val="00673667"/>
    <w:rsid w:val="006760C6"/>
    <w:rsid w:val="00677233"/>
    <w:rsid w:val="00677B28"/>
    <w:rsid w:val="00683D78"/>
    <w:rsid w:val="006847DC"/>
    <w:rsid w:val="00684ABF"/>
    <w:rsid w:val="00685920"/>
    <w:rsid w:val="00685FF3"/>
    <w:rsid w:val="006938CE"/>
    <w:rsid w:val="006A2E3A"/>
    <w:rsid w:val="006B1942"/>
    <w:rsid w:val="006B21B3"/>
    <w:rsid w:val="006B2751"/>
    <w:rsid w:val="006C4059"/>
    <w:rsid w:val="006D4554"/>
    <w:rsid w:val="006E36D7"/>
    <w:rsid w:val="006E762D"/>
    <w:rsid w:val="006F04FD"/>
    <w:rsid w:val="006F52E5"/>
    <w:rsid w:val="006F7596"/>
    <w:rsid w:val="00701453"/>
    <w:rsid w:val="00712FD4"/>
    <w:rsid w:val="0071543D"/>
    <w:rsid w:val="00717E35"/>
    <w:rsid w:val="0072398C"/>
    <w:rsid w:val="00731BA0"/>
    <w:rsid w:val="00734683"/>
    <w:rsid w:val="0076040D"/>
    <w:rsid w:val="00767371"/>
    <w:rsid w:val="0077305A"/>
    <w:rsid w:val="00781909"/>
    <w:rsid w:val="00791670"/>
    <w:rsid w:val="00793232"/>
    <w:rsid w:val="007A2B46"/>
    <w:rsid w:val="007B362A"/>
    <w:rsid w:val="007B433B"/>
    <w:rsid w:val="007C55D7"/>
    <w:rsid w:val="007D7FD6"/>
    <w:rsid w:val="007E6F0C"/>
    <w:rsid w:val="007F1ED1"/>
    <w:rsid w:val="007F49D4"/>
    <w:rsid w:val="007F7F77"/>
    <w:rsid w:val="0080524C"/>
    <w:rsid w:val="00805AAA"/>
    <w:rsid w:val="00807EB2"/>
    <w:rsid w:val="00816B9D"/>
    <w:rsid w:val="00820BE2"/>
    <w:rsid w:val="00822C07"/>
    <w:rsid w:val="008313D8"/>
    <w:rsid w:val="008403AA"/>
    <w:rsid w:val="00840F6E"/>
    <w:rsid w:val="00850189"/>
    <w:rsid w:val="00853014"/>
    <w:rsid w:val="00853AD5"/>
    <w:rsid w:val="00853F05"/>
    <w:rsid w:val="0085566F"/>
    <w:rsid w:val="00860805"/>
    <w:rsid w:val="00866EE1"/>
    <w:rsid w:val="00884B85"/>
    <w:rsid w:val="00884FA3"/>
    <w:rsid w:val="008851D6"/>
    <w:rsid w:val="00890918"/>
    <w:rsid w:val="00892D69"/>
    <w:rsid w:val="008B0891"/>
    <w:rsid w:val="008B73A1"/>
    <w:rsid w:val="008B7434"/>
    <w:rsid w:val="008D0174"/>
    <w:rsid w:val="008E1DDA"/>
    <w:rsid w:val="008E2310"/>
    <w:rsid w:val="008F42A1"/>
    <w:rsid w:val="008F78EF"/>
    <w:rsid w:val="009045F2"/>
    <w:rsid w:val="009121A1"/>
    <w:rsid w:val="0092149C"/>
    <w:rsid w:val="00922337"/>
    <w:rsid w:val="009270B3"/>
    <w:rsid w:val="009271D9"/>
    <w:rsid w:val="00946751"/>
    <w:rsid w:val="009475D4"/>
    <w:rsid w:val="00950926"/>
    <w:rsid w:val="00966131"/>
    <w:rsid w:val="009752E1"/>
    <w:rsid w:val="0097704A"/>
    <w:rsid w:val="00980452"/>
    <w:rsid w:val="00992B63"/>
    <w:rsid w:val="009A217A"/>
    <w:rsid w:val="009A51CF"/>
    <w:rsid w:val="009B5D30"/>
    <w:rsid w:val="009C3E34"/>
    <w:rsid w:val="009D057B"/>
    <w:rsid w:val="009E23B7"/>
    <w:rsid w:val="009E2CFF"/>
    <w:rsid w:val="009E5F56"/>
    <w:rsid w:val="009E7987"/>
    <w:rsid w:val="009E7B41"/>
    <w:rsid w:val="009F0015"/>
    <w:rsid w:val="009F0346"/>
    <w:rsid w:val="009F1CCD"/>
    <w:rsid w:val="00A1260A"/>
    <w:rsid w:val="00A22286"/>
    <w:rsid w:val="00A25418"/>
    <w:rsid w:val="00A33411"/>
    <w:rsid w:val="00A40FA1"/>
    <w:rsid w:val="00A500ED"/>
    <w:rsid w:val="00A53648"/>
    <w:rsid w:val="00A56B05"/>
    <w:rsid w:val="00A574AA"/>
    <w:rsid w:val="00A63759"/>
    <w:rsid w:val="00A643FD"/>
    <w:rsid w:val="00A665BE"/>
    <w:rsid w:val="00A73B1E"/>
    <w:rsid w:val="00A80B82"/>
    <w:rsid w:val="00A81D90"/>
    <w:rsid w:val="00AB154B"/>
    <w:rsid w:val="00AB5C91"/>
    <w:rsid w:val="00AD19DD"/>
    <w:rsid w:val="00AD59C3"/>
    <w:rsid w:val="00AE0AA6"/>
    <w:rsid w:val="00AE0EF6"/>
    <w:rsid w:val="00AE12C8"/>
    <w:rsid w:val="00AE5B55"/>
    <w:rsid w:val="00AF1563"/>
    <w:rsid w:val="00AF3986"/>
    <w:rsid w:val="00B00D0E"/>
    <w:rsid w:val="00B01BAE"/>
    <w:rsid w:val="00B032C8"/>
    <w:rsid w:val="00B05995"/>
    <w:rsid w:val="00B07077"/>
    <w:rsid w:val="00B11F64"/>
    <w:rsid w:val="00B1525F"/>
    <w:rsid w:val="00B22071"/>
    <w:rsid w:val="00B31121"/>
    <w:rsid w:val="00B33BCC"/>
    <w:rsid w:val="00B54A64"/>
    <w:rsid w:val="00B56B28"/>
    <w:rsid w:val="00B56F61"/>
    <w:rsid w:val="00B5740B"/>
    <w:rsid w:val="00B66556"/>
    <w:rsid w:val="00B71EA6"/>
    <w:rsid w:val="00B752C0"/>
    <w:rsid w:val="00B926A0"/>
    <w:rsid w:val="00B92CAE"/>
    <w:rsid w:val="00BA2ED7"/>
    <w:rsid w:val="00BA3B57"/>
    <w:rsid w:val="00BB3DDB"/>
    <w:rsid w:val="00BB40AD"/>
    <w:rsid w:val="00BB7C22"/>
    <w:rsid w:val="00BC2500"/>
    <w:rsid w:val="00BC51B1"/>
    <w:rsid w:val="00BE17F8"/>
    <w:rsid w:val="00BE5C45"/>
    <w:rsid w:val="00BF6768"/>
    <w:rsid w:val="00C0622A"/>
    <w:rsid w:val="00C14DD5"/>
    <w:rsid w:val="00C205AA"/>
    <w:rsid w:val="00C237CF"/>
    <w:rsid w:val="00C25A24"/>
    <w:rsid w:val="00C34F99"/>
    <w:rsid w:val="00C4668C"/>
    <w:rsid w:val="00C5583F"/>
    <w:rsid w:val="00C81C82"/>
    <w:rsid w:val="00C93C5A"/>
    <w:rsid w:val="00C93F0C"/>
    <w:rsid w:val="00CA1D38"/>
    <w:rsid w:val="00CA2692"/>
    <w:rsid w:val="00CA5CDB"/>
    <w:rsid w:val="00CB474E"/>
    <w:rsid w:val="00CB6123"/>
    <w:rsid w:val="00CC541E"/>
    <w:rsid w:val="00CC7385"/>
    <w:rsid w:val="00D11095"/>
    <w:rsid w:val="00D14096"/>
    <w:rsid w:val="00D14864"/>
    <w:rsid w:val="00D14A4D"/>
    <w:rsid w:val="00D24139"/>
    <w:rsid w:val="00D308A0"/>
    <w:rsid w:val="00D30FA7"/>
    <w:rsid w:val="00D31490"/>
    <w:rsid w:val="00D33907"/>
    <w:rsid w:val="00D373BB"/>
    <w:rsid w:val="00D43344"/>
    <w:rsid w:val="00D52904"/>
    <w:rsid w:val="00D53906"/>
    <w:rsid w:val="00D60841"/>
    <w:rsid w:val="00D67C57"/>
    <w:rsid w:val="00D71C60"/>
    <w:rsid w:val="00D750E3"/>
    <w:rsid w:val="00D856C1"/>
    <w:rsid w:val="00D935A7"/>
    <w:rsid w:val="00DA0429"/>
    <w:rsid w:val="00DA7589"/>
    <w:rsid w:val="00DC0CF8"/>
    <w:rsid w:val="00DC3CD1"/>
    <w:rsid w:val="00DC4B7A"/>
    <w:rsid w:val="00DD1F68"/>
    <w:rsid w:val="00DD4E03"/>
    <w:rsid w:val="00DD5911"/>
    <w:rsid w:val="00DE1D61"/>
    <w:rsid w:val="00DE59A0"/>
    <w:rsid w:val="00DF20A8"/>
    <w:rsid w:val="00E026C2"/>
    <w:rsid w:val="00E075BC"/>
    <w:rsid w:val="00E079CF"/>
    <w:rsid w:val="00E103B3"/>
    <w:rsid w:val="00E11D70"/>
    <w:rsid w:val="00E20D61"/>
    <w:rsid w:val="00E32657"/>
    <w:rsid w:val="00E428EF"/>
    <w:rsid w:val="00E43791"/>
    <w:rsid w:val="00E5408F"/>
    <w:rsid w:val="00E55F4C"/>
    <w:rsid w:val="00E57AE2"/>
    <w:rsid w:val="00E6035E"/>
    <w:rsid w:val="00E60E1E"/>
    <w:rsid w:val="00E622B3"/>
    <w:rsid w:val="00E76167"/>
    <w:rsid w:val="00E90658"/>
    <w:rsid w:val="00E90EA9"/>
    <w:rsid w:val="00EA6B8F"/>
    <w:rsid w:val="00EB1E79"/>
    <w:rsid w:val="00EB59D3"/>
    <w:rsid w:val="00EB7D86"/>
    <w:rsid w:val="00EC3219"/>
    <w:rsid w:val="00EC7FAA"/>
    <w:rsid w:val="00ED23F4"/>
    <w:rsid w:val="00ED77A2"/>
    <w:rsid w:val="00EE00A9"/>
    <w:rsid w:val="00EE4190"/>
    <w:rsid w:val="00EE7F89"/>
    <w:rsid w:val="00EF071C"/>
    <w:rsid w:val="00EF4288"/>
    <w:rsid w:val="00F0738F"/>
    <w:rsid w:val="00F1197F"/>
    <w:rsid w:val="00F41A23"/>
    <w:rsid w:val="00F57D13"/>
    <w:rsid w:val="00F64DF3"/>
    <w:rsid w:val="00F677A5"/>
    <w:rsid w:val="00F75389"/>
    <w:rsid w:val="00F83A19"/>
    <w:rsid w:val="00FA325D"/>
    <w:rsid w:val="00FA7100"/>
    <w:rsid w:val="00FB1DA1"/>
    <w:rsid w:val="00FB25E5"/>
    <w:rsid w:val="00FB7E4B"/>
    <w:rsid w:val="00FC437F"/>
    <w:rsid w:val="00FC6113"/>
    <w:rsid w:val="00FC6CD0"/>
    <w:rsid w:val="00FD4D6F"/>
    <w:rsid w:val="00FD6694"/>
    <w:rsid w:val="00FD6B66"/>
    <w:rsid w:val="00FE0F73"/>
    <w:rsid w:val="00FE4585"/>
    <w:rsid w:val="00FF02CF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D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toc 3" w:uiPriority="39"/>
    <w:lsdException w:name="toc 4" w:uiPriority="39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0" w:unhideWhenUsed="0" w:qFormat="1"/>
    <w:lsdException w:name="FollowedHyperlink" w:uiPriority="0"/>
    <w:lsdException w:name="Strong" w:semiHidden="0" w:uiPriority="2" w:unhideWhenUsed="0" w:qFormat="1"/>
    <w:lsdException w:name="Emphasis" w:semiHidden="0" w:uiPriority="2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19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F83A19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F83A19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F83A19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F83A19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F83A19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F83A19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link w:val="Heading1"/>
    <w:rsid w:val="00A643FD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A643FD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A643FD"/>
    <w:rPr>
      <w:rFonts w:ascii="Arial" w:eastAsia="Times New Roman" w:hAnsi="Arial" w:cs="Arial"/>
      <w:b/>
      <w:color w:val="000000"/>
      <w:sz w:val="32"/>
    </w:rPr>
  </w:style>
  <w:style w:type="character" w:customStyle="1" w:styleId="Heading4Char">
    <w:name w:val="Heading 4 Char"/>
    <w:aliases w:val="Map Title Char"/>
    <w:link w:val="Heading4"/>
    <w:rsid w:val="00A643FD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A643FD"/>
    <w:rPr>
      <w:rFonts w:ascii="Times New Roman" w:eastAsia="Times New Roman" w:hAnsi="Times New Roman"/>
      <w:b/>
      <w:color w:val="000000"/>
      <w:sz w:val="22"/>
    </w:rPr>
  </w:style>
  <w:style w:type="character" w:customStyle="1" w:styleId="Heading6Char">
    <w:name w:val="Heading 6 Char"/>
    <w:aliases w:val="Sub Label Char"/>
    <w:link w:val="Heading6"/>
    <w:rsid w:val="00A643FD"/>
    <w:rPr>
      <w:rFonts w:ascii="Times New Roman" w:eastAsia="Times New Roman" w:hAnsi="Times New Roman"/>
      <w:b/>
      <w:i/>
      <w:color w:val="000000"/>
      <w:sz w:val="22"/>
    </w:rPr>
  </w:style>
  <w:style w:type="paragraph" w:styleId="BalloonText">
    <w:name w:val="Balloon Text"/>
    <w:basedOn w:val="Normal"/>
    <w:link w:val="BalloonTextChar"/>
    <w:semiHidden/>
    <w:rsid w:val="00F83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643FD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Line">
    <w:name w:val="Block Line"/>
    <w:basedOn w:val="Normal"/>
    <w:next w:val="Normal"/>
    <w:rsid w:val="00F83A19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F83A19"/>
  </w:style>
  <w:style w:type="paragraph" w:customStyle="1" w:styleId="BulletText1">
    <w:name w:val="Bullet Text 1"/>
    <w:basedOn w:val="Normal"/>
    <w:qFormat/>
    <w:rsid w:val="00F83A19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F83A19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F83A19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F83A19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F83A19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F83A19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F83A19"/>
    <w:rPr>
      <w:szCs w:val="20"/>
    </w:rPr>
  </w:style>
  <w:style w:type="character" w:styleId="HTMLAcronym">
    <w:name w:val="HTML Acronym"/>
    <w:basedOn w:val="DefaultParagraphFont"/>
    <w:rsid w:val="00F83A19"/>
  </w:style>
  <w:style w:type="paragraph" w:customStyle="1" w:styleId="IMTOC">
    <w:name w:val="IMTOC"/>
    <w:rsid w:val="00F83A19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F83A19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F83A19"/>
  </w:style>
  <w:style w:type="paragraph" w:customStyle="1" w:styleId="NoteText">
    <w:name w:val="Note Text"/>
    <w:basedOn w:val="Normal"/>
    <w:rsid w:val="00F83A19"/>
    <w:rPr>
      <w:szCs w:val="20"/>
    </w:rPr>
  </w:style>
  <w:style w:type="paragraph" w:customStyle="1" w:styleId="PublicationTitle">
    <w:name w:val="Publication Title"/>
    <w:basedOn w:val="Normal"/>
    <w:next w:val="Heading4"/>
    <w:rsid w:val="00F83A19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F83A1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Text">
    <w:name w:val="Table Header Text"/>
    <w:basedOn w:val="Normal"/>
    <w:rsid w:val="00F83A1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F83A19"/>
    <w:rPr>
      <w:szCs w:val="20"/>
    </w:rPr>
  </w:style>
  <w:style w:type="paragraph" w:customStyle="1" w:styleId="TOCTitle">
    <w:name w:val="TOC Title"/>
    <w:basedOn w:val="Normal"/>
    <w:rsid w:val="00F83A19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83A19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83A19"/>
    <w:rPr>
      <w:szCs w:val="20"/>
    </w:rPr>
  </w:style>
  <w:style w:type="character" w:styleId="Hyperlink">
    <w:name w:val="Hyperlink"/>
    <w:uiPriority w:val="99"/>
    <w:rsid w:val="00F83A19"/>
    <w:rPr>
      <w:color w:val="0000FF"/>
      <w:u w:val="single"/>
    </w:rPr>
  </w:style>
  <w:style w:type="paragraph" w:styleId="Header">
    <w:name w:val="header"/>
    <w:basedOn w:val="Normal"/>
    <w:link w:val="HeaderChar"/>
    <w:rsid w:val="00F83A19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F83A1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F83A19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F83A1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FollowedHyperlink">
    <w:name w:val="FollowedHyperlink"/>
    <w:rsid w:val="00F83A19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F83A1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F83A19"/>
    <w:pPr>
      <w:ind w:left="720"/>
    </w:pPr>
  </w:style>
  <w:style w:type="character" w:styleId="PageNumber">
    <w:name w:val="page number"/>
    <w:basedOn w:val="DefaultParagraphFont"/>
    <w:rsid w:val="00A643FD"/>
  </w:style>
  <w:style w:type="character" w:styleId="CommentReference">
    <w:name w:val="annotation reference"/>
    <w:semiHidden/>
    <w:rsid w:val="00B059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59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5995"/>
    <w:rPr>
      <w:b/>
      <w:bCs/>
    </w:rPr>
  </w:style>
  <w:style w:type="paragraph" w:styleId="ListParagraph">
    <w:name w:val="List Paragraph"/>
    <w:basedOn w:val="Normal"/>
    <w:uiPriority w:val="34"/>
    <w:qFormat/>
    <w:rsid w:val="0036739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term1">
    <w:name w:val="term1"/>
    <w:rsid w:val="00C81C82"/>
    <w:rPr>
      <w:b/>
      <w:bCs/>
    </w:rPr>
  </w:style>
  <w:style w:type="paragraph" w:styleId="Revision">
    <w:name w:val="Revision"/>
    <w:hidden/>
    <w:uiPriority w:val="99"/>
    <w:semiHidden/>
    <w:rsid w:val="0039132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966131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toc 3" w:uiPriority="39"/>
    <w:lsdException w:name="toc 4" w:uiPriority="39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0" w:unhideWhenUsed="0" w:qFormat="1"/>
    <w:lsdException w:name="FollowedHyperlink" w:uiPriority="0"/>
    <w:lsdException w:name="Strong" w:semiHidden="0" w:uiPriority="2" w:unhideWhenUsed="0" w:qFormat="1"/>
    <w:lsdException w:name="Emphasis" w:semiHidden="0" w:uiPriority="2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19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F83A19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F83A19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F83A19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F83A19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F83A19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F83A19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link w:val="Heading1"/>
    <w:rsid w:val="00A643FD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A643FD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A643FD"/>
    <w:rPr>
      <w:rFonts w:ascii="Arial" w:eastAsia="Times New Roman" w:hAnsi="Arial" w:cs="Arial"/>
      <w:b/>
      <w:color w:val="000000"/>
      <w:sz w:val="32"/>
    </w:rPr>
  </w:style>
  <w:style w:type="character" w:customStyle="1" w:styleId="Heading4Char">
    <w:name w:val="Heading 4 Char"/>
    <w:aliases w:val="Map Title Char"/>
    <w:link w:val="Heading4"/>
    <w:rsid w:val="00A643FD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A643FD"/>
    <w:rPr>
      <w:rFonts w:ascii="Times New Roman" w:eastAsia="Times New Roman" w:hAnsi="Times New Roman"/>
      <w:b/>
      <w:color w:val="000000"/>
      <w:sz w:val="22"/>
    </w:rPr>
  </w:style>
  <w:style w:type="character" w:customStyle="1" w:styleId="Heading6Char">
    <w:name w:val="Heading 6 Char"/>
    <w:aliases w:val="Sub Label Char"/>
    <w:link w:val="Heading6"/>
    <w:rsid w:val="00A643FD"/>
    <w:rPr>
      <w:rFonts w:ascii="Times New Roman" w:eastAsia="Times New Roman" w:hAnsi="Times New Roman"/>
      <w:b/>
      <w:i/>
      <w:color w:val="000000"/>
      <w:sz w:val="22"/>
    </w:rPr>
  </w:style>
  <w:style w:type="paragraph" w:styleId="BalloonText">
    <w:name w:val="Balloon Text"/>
    <w:basedOn w:val="Normal"/>
    <w:link w:val="BalloonTextChar"/>
    <w:semiHidden/>
    <w:rsid w:val="00F83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643FD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Line">
    <w:name w:val="Block Line"/>
    <w:basedOn w:val="Normal"/>
    <w:next w:val="Normal"/>
    <w:rsid w:val="00F83A19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F83A19"/>
  </w:style>
  <w:style w:type="paragraph" w:customStyle="1" w:styleId="BulletText1">
    <w:name w:val="Bullet Text 1"/>
    <w:basedOn w:val="Normal"/>
    <w:qFormat/>
    <w:rsid w:val="00F83A19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F83A19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F83A19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F83A19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F83A19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F83A19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F83A19"/>
    <w:rPr>
      <w:szCs w:val="20"/>
    </w:rPr>
  </w:style>
  <w:style w:type="character" w:styleId="HTMLAcronym">
    <w:name w:val="HTML Acronym"/>
    <w:basedOn w:val="DefaultParagraphFont"/>
    <w:rsid w:val="00F83A19"/>
  </w:style>
  <w:style w:type="paragraph" w:customStyle="1" w:styleId="IMTOC">
    <w:name w:val="IMTOC"/>
    <w:rsid w:val="00F83A19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F83A19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F83A19"/>
  </w:style>
  <w:style w:type="paragraph" w:customStyle="1" w:styleId="NoteText">
    <w:name w:val="Note Text"/>
    <w:basedOn w:val="Normal"/>
    <w:rsid w:val="00F83A19"/>
    <w:rPr>
      <w:szCs w:val="20"/>
    </w:rPr>
  </w:style>
  <w:style w:type="paragraph" w:customStyle="1" w:styleId="PublicationTitle">
    <w:name w:val="Publication Title"/>
    <w:basedOn w:val="Normal"/>
    <w:next w:val="Heading4"/>
    <w:rsid w:val="00F83A19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F83A1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Text">
    <w:name w:val="Table Header Text"/>
    <w:basedOn w:val="Normal"/>
    <w:rsid w:val="00F83A1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F83A19"/>
    <w:rPr>
      <w:szCs w:val="20"/>
    </w:rPr>
  </w:style>
  <w:style w:type="paragraph" w:customStyle="1" w:styleId="TOCTitle">
    <w:name w:val="TOC Title"/>
    <w:basedOn w:val="Normal"/>
    <w:rsid w:val="00F83A19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83A19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83A19"/>
    <w:rPr>
      <w:szCs w:val="20"/>
    </w:rPr>
  </w:style>
  <w:style w:type="character" w:styleId="Hyperlink">
    <w:name w:val="Hyperlink"/>
    <w:uiPriority w:val="99"/>
    <w:rsid w:val="00F83A19"/>
    <w:rPr>
      <w:color w:val="0000FF"/>
      <w:u w:val="single"/>
    </w:rPr>
  </w:style>
  <w:style w:type="paragraph" w:styleId="Header">
    <w:name w:val="header"/>
    <w:basedOn w:val="Normal"/>
    <w:link w:val="HeaderChar"/>
    <w:rsid w:val="00F83A19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F83A1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F83A19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F83A1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FollowedHyperlink">
    <w:name w:val="FollowedHyperlink"/>
    <w:rsid w:val="00F83A19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F83A1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F83A19"/>
    <w:pPr>
      <w:ind w:left="720"/>
    </w:pPr>
  </w:style>
  <w:style w:type="character" w:styleId="PageNumber">
    <w:name w:val="page number"/>
    <w:basedOn w:val="DefaultParagraphFont"/>
    <w:rsid w:val="00A643FD"/>
  </w:style>
  <w:style w:type="character" w:styleId="CommentReference">
    <w:name w:val="annotation reference"/>
    <w:semiHidden/>
    <w:rsid w:val="00B059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59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5995"/>
    <w:rPr>
      <w:b/>
      <w:bCs/>
    </w:rPr>
  </w:style>
  <w:style w:type="paragraph" w:styleId="ListParagraph">
    <w:name w:val="List Paragraph"/>
    <w:basedOn w:val="Normal"/>
    <w:uiPriority w:val="34"/>
    <w:qFormat/>
    <w:rsid w:val="0036739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term1">
    <w:name w:val="term1"/>
    <w:rsid w:val="00C81C82"/>
    <w:rPr>
      <w:b/>
      <w:bCs/>
    </w:rPr>
  </w:style>
  <w:style w:type="paragraph" w:styleId="Revision">
    <w:name w:val="Revision"/>
    <w:hidden/>
    <w:uiPriority w:val="99"/>
    <w:semiHidden/>
    <w:rsid w:val="0039132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966131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ecfr.gov/cgi-bin/text-idx?SID=016d915589a753ddbf28cacafbe7471e&amp;node=se38.1.3_1655&amp;rgn=div8" TargetMode="External"/><Relationship Id="rId18" Type="http://schemas.openxmlformats.org/officeDocument/2006/relationships/hyperlink" Target="http://www.ecfr.gov/cgi-bin/text-idx?SID=016d915589a753ddbf28cacafbe7471e&amp;node=se38.1.3_1655&amp;rgn=div8" TargetMode="External"/><Relationship Id="rId26" Type="http://schemas.openxmlformats.org/officeDocument/2006/relationships/hyperlink" Target="http://www.ecfr.gov/cgi-bin/text-idx?SID=016d915589a753ddbf28cacafbe7471e&amp;node=se38.1.3_1105&amp;rgn=div8" TargetMode="External"/><Relationship Id="rId39" Type="http://schemas.openxmlformats.org/officeDocument/2006/relationships/hyperlink" Target="http://www.ecfr.gov/cgi-bin/text-idx?SID=b48183cdf37b555e5e7eadadf3c2314e&amp;node=se38.1.3_1105&amp;rgn=div8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://www.ecfr.gov/cgi-bin/text-idx?SID=016d915589a753ddbf28cacafbe7471e&amp;node=se38.1.3_1105&amp;rgn=div8" TargetMode="External"/><Relationship Id="rId34" Type="http://schemas.openxmlformats.org/officeDocument/2006/relationships/hyperlink" Target="http://www.ecfr.gov/cgi-bin/text-idx?SID=016d915589a753ddbf28cacafbe7471e&amp;node=se38.1.3_1105&amp;rgn=div8" TargetMode="External"/><Relationship Id="rId42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ecfr.gov/cgi-bin/text-idx?SID=016d915589a753ddbf28cacafbe7471e&amp;node=se38.1.3_1655&amp;rgn=div8" TargetMode="External"/><Relationship Id="rId25" Type="http://schemas.openxmlformats.org/officeDocument/2006/relationships/hyperlink" Target="http://www.ecfr.gov/cgi-bin/text-idx?SID=f21293705785d67dca2ae25f621da739&amp;mc=true&amp;node=se38.1.3_1957&amp;rgn=div8" TargetMode="External"/><Relationship Id="rId33" Type="http://schemas.openxmlformats.org/officeDocument/2006/relationships/hyperlink" Target="http://www.ecfr.gov/cgi-bin/text-idx?SID=b48183cdf37b555e5e7eadadf3c2314e&amp;node=se38.1.3_1103&amp;rgn=div8" TargetMode="External"/><Relationship Id="rId38" Type="http://schemas.openxmlformats.org/officeDocument/2006/relationships/hyperlink" Target="http://www.ecfr.gov/cgi-bin/text-idx?SID=b48183cdf37b555e5e7eadadf3c2314e&amp;node=se38.1.3_1105&amp;rgn=div8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vbaw.vba.va.gov/bl/21/Advisory/CAVCDAD.htm" TargetMode="External"/><Relationship Id="rId20" Type="http://schemas.openxmlformats.org/officeDocument/2006/relationships/hyperlink" Target="https://www.law.cornell.edu/uscode/text/38/7111" TargetMode="External"/><Relationship Id="rId29" Type="http://schemas.openxmlformats.org/officeDocument/2006/relationships/hyperlink" Target="http://www.ecfr.gov/cgi-bin/text-idx?SID=016d915589a753ddbf28cacafbe7471e&amp;node=se38.1.3_1105&amp;rgn=div8" TargetMode="External"/><Relationship Id="rId41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ecfr.gov/cgi-bin/text-idx?SID=f21293705785d67dca2ae25f621da739&amp;mc=true&amp;node=se38.1.3_1114&amp;rgn=div8" TargetMode="External"/><Relationship Id="rId32" Type="http://schemas.openxmlformats.org/officeDocument/2006/relationships/hyperlink" Target="http://www.ecfr.gov/cgi-bin/text-idx?SID=dc6e272766026dae521eafc4c6778fca&amp;node=se38.1.3_1500&amp;rgn=div8" TargetMode="External"/><Relationship Id="rId37" Type="http://schemas.openxmlformats.org/officeDocument/2006/relationships/hyperlink" Target="http://vbaw.vba.va.gov/bl/21/advisory/CAVCDAD.htm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http://www.ecfr.gov/cgi-bin/text-idx?SID=047865a889fe9d0b18ed61feb8342e21&amp;node=se38.1.3_1957&amp;rgn=div8" TargetMode="External"/><Relationship Id="rId23" Type="http://schemas.openxmlformats.org/officeDocument/2006/relationships/hyperlink" Target="http://www.ecfr.gov/cgi-bin/text-idx?SID=016d915589a753ddbf28cacafbe7471e&amp;node=se38.1.3_1105&amp;rgn=div8" TargetMode="External"/><Relationship Id="rId28" Type="http://schemas.openxmlformats.org/officeDocument/2006/relationships/hyperlink" Target="http://vbaw.vba.va.gov/bl/21/advisory/CAVCDAD.htm" TargetMode="External"/><Relationship Id="rId36" Type="http://schemas.openxmlformats.org/officeDocument/2006/relationships/hyperlink" Target="http://vbaw.vba.va.gov/bl/21/advisory/CAVCDAD.ht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ecfr.gov/cgi-bin/text-idx?SID=016d915589a753ddbf28cacafbe7471e&amp;node=se38.1.3_1324&amp;rgn=div8" TargetMode="External"/><Relationship Id="rId31" Type="http://schemas.openxmlformats.org/officeDocument/2006/relationships/hyperlink" Target="http://www.ecfr.gov/cgi-bin/text-idx?SID=016d915589a753ddbf28cacafbe7471e&amp;node=se38.1.3_1105&amp;rgn=div8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ecfr.gov/cgi-bin/text-idx?SID=f0e9c482b557c237095744c488c4a30b&amp;node=se38.1.3_1951&amp;rgn=div8" TargetMode="External"/><Relationship Id="rId22" Type="http://schemas.openxmlformats.org/officeDocument/2006/relationships/hyperlink" Target="http://www.ecfr.gov/cgi-bin/text-idx?SID=016d915589a753ddbf28cacafbe7471e&amp;node=se38.1.3_1105&amp;rgn=div8" TargetMode="External"/><Relationship Id="rId27" Type="http://schemas.openxmlformats.org/officeDocument/2006/relationships/hyperlink" Target="http://vbaw.vba.va.gov/bl/21/advisory/CAVCDAD.htm" TargetMode="External"/><Relationship Id="rId30" Type="http://schemas.openxmlformats.org/officeDocument/2006/relationships/hyperlink" Target="http://www.law.cornell.edu/uscode/html/uscode38/usc_sec_38_00001702----000-.html" TargetMode="External"/><Relationship Id="rId35" Type="http://schemas.openxmlformats.org/officeDocument/2006/relationships/hyperlink" Target="http://vbaw.vba.va.gov/bl/21/advisory/CAVCDAD.htm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4.3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33456AE7FA448DA46FC8B0DE36C6" ma:contentTypeVersion="0" ma:contentTypeDescription="Create a new document." ma:contentTypeScope="" ma:versionID="30abaf4608bd1772e6e1e5255f8e1f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BFD7-7A96-4096-B752-2CCD6092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82665-F8AA-474F-9B2A-A6B2AE48F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1F957-97ED-4746-B7BF-EB84D6D77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BCFE15-493C-473A-96D6-1BC9A186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5553</TotalTime>
  <Pages>12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</Company>
  <LinksUpToDate>false</LinksUpToDate>
  <CharactersWithSpaces>20343</CharactersWithSpaces>
  <SharedDoc>false</SharedDoc>
  <HLinks>
    <vt:vector size="198" baseType="variant">
      <vt:variant>
        <vt:i4>131172</vt:i4>
      </vt:variant>
      <vt:variant>
        <vt:i4>111</vt:i4>
      </vt:variant>
      <vt:variant>
        <vt:i4>0</vt:i4>
      </vt:variant>
      <vt:variant>
        <vt:i4>5</vt:i4>
      </vt:variant>
      <vt:variant>
        <vt:lpwstr>http://www.benefits.va.gov/warms/docs/regs/38CFR/BOOKB/PART3/S3_105.DOC</vt:lpwstr>
      </vt:variant>
      <vt:variant>
        <vt:lpwstr/>
      </vt:variant>
      <vt:variant>
        <vt:i4>131172</vt:i4>
      </vt:variant>
      <vt:variant>
        <vt:i4>108</vt:i4>
      </vt:variant>
      <vt:variant>
        <vt:i4>0</vt:i4>
      </vt:variant>
      <vt:variant>
        <vt:i4>5</vt:i4>
      </vt:variant>
      <vt:variant>
        <vt:lpwstr>http://www.benefits.va.gov/warms/docs/regs/38CFR/BOOKB/PART3/S3_105.DOC</vt:lpwstr>
      </vt:variant>
      <vt:variant>
        <vt:lpwstr/>
      </vt:variant>
      <vt:variant>
        <vt:i4>6750266</vt:i4>
      </vt:variant>
      <vt:variant>
        <vt:i4>105</vt:i4>
      </vt:variant>
      <vt:variant>
        <vt:i4>0</vt:i4>
      </vt:variant>
      <vt:variant>
        <vt:i4>5</vt:i4>
      </vt:variant>
      <vt:variant>
        <vt:lpwstr>imi-internal:M21-1MRIV.ii.3.A.2</vt:lpwstr>
      </vt:variant>
      <vt:variant>
        <vt:lpwstr/>
      </vt:variant>
      <vt:variant>
        <vt:i4>4128864</vt:i4>
      </vt:variant>
      <vt:variant>
        <vt:i4>102</vt:i4>
      </vt:variant>
      <vt:variant>
        <vt:i4>0</vt:i4>
      </vt:variant>
      <vt:variant>
        <vt:i4>5</vt:i4>
      </vt:variant>
      <vt:variant>
        <vt:lpwstr>imi-internal:M21-1MRIII.v.1.A.2</vt:lpwstr>
      </vt:variant>
      <vt:variant>
        <vt:lpwstr/>
      </vt:variant>
      <vt:variant>
        <vt:i4>1114113</vt:i4>
      </vt:variant>
      <vt:variant>
        <vt:i4>99</vt:i4>
      </vt:variant>
      <vt:variant>
        <vt:i4>0</vt:i4>
      </vt:variant>
      <vt:variant>
        <vt:i4>5</vt:i4>
      </vt:variant>
      <vt:variant>
        <vt:lpwstr>imi-internal:M21-1MRIII.v.1.D</vt:lpwstr>
      </vt:variant>
      <vt:variant>
        <vt:lpwstr/>
      </vt:variant>
      <vt:variant>
        <vt:i4>393300</vt:i4>
      </vt:variant>
      <vt:variant>
        <vt:i4>96</vt:i4>
      </vt:variant>
      <vt:variant>
        <vt:i4>0</vt:i4>
      </vt:variant>
      <vt:variant>
        <vt:i4>5</vt:i4>
      </vt:variant>
      <vt:variant>
        <vt:lpwstr>imi-internal:M21-1MRIII.v.1.D.19</vt:lpwstr>
      </vt:variant>
      <vt:variant>
        <vt:lpwstr/>
      </vt:variant>
      <vt:variant>
        <vt:i4>1114113</vt:i4>
      </vt:variant>
      <vt:variant>
        <vt:i4>93</vt:i4>
      </vt:variant>
      <vt:variant>
        <vt:i4>0</vt:i4>
      </vt:variant>
      <vt:variant>
        <vt:i4>5</vt:i4>
      </vt:variant>
      <vt:variant>
        <vt:lpwstr>imi-internal:M21-1MRIII.v.1.B</vt:lpwstr>
      </vt:variant>
      <vt:variant>
        <vt:lpwstr/>
      </vt:variant>
      <vt:variant>
        <vt:i4>4128870</vt:i4>
      </vt:variant>
      <vt:variant>
        <vt:i4>90</vt:i4>
      </vt:variant>
      <vt:variant>
        <vt:i4>0</vt:i4>
      </vt:variant>
      <vt:variant>
        <vt:i4>5</vt:i4>
      </vt:variant>
      <vt:variant>
        <vt:lpwstr>http://vbaw.vba.va.gov/bl/21/advisory/CAVCDAD.htm</vt:lpwstr>
      </vt:variant>
      <vt:variant>
        <vt:lpwstr>bmv</vt:lpwstr>
      </vt:variant>
      <vt:variant>
        <vt:i4>4128870</vt:i4>
      </vt:variant>
      <vt:variant>
        <vt:i4>87</vt:i4>
      </vt:variant>
      <vt:variant>
        <vt:i4>0</vt:i4>
      </vt:variant>
      <vt:variant>
        <vt:i4>5</vt:i4>
      </vt:variant>
      <vt:variant>
        <vt:lpwstr>http://vbaw.vba.va.gov/bl/21/advisory/CAVCDAD.htm</vt:lpwstr>
      </vt:variant>
      <vt:variant>
        <vt:lpwstr>bms</vt:lpwstr>
      </vt:variant>
      <vt:variant>
        <vt:i4>4128870</vt:i4>
      </vt:variant>
      <vt:variant>
        <vt:i4>84</vt:i4>
      </vt:variant>
      <vt:variant>
        <vt:i4>0</vt:i4>
      </vt:variant>
      <vt:variant>
        <vt:i4>5</vt:i4>
      </vt:variant>
      <vt:variant>
        <vt:lpwstr>http://vbaw.vba.va.gov/bl/21/advisory/CAVCDAD.htm</vt:lpwstr>
      </vt:variant>
      <vt:variant>
        <vt:lpwstr>bma</vt:lpwstr>
      </vt:variant>
      <vt:variant>
        <vt:i4>131170</vt:i4>
      </vt:variant>
      <vt:variant>
        <vt:i4>81</vt:i4>
      </vt:variant>
      <vt:variant>
        <vt:i4>0</vt:i4>
      </vt:variant>
      <vt:variant>
        <vt:i4>5</vt:i4>
      </vt:variant>
      <vt:variant>
        <vt:lpwstr>http://www.benefits.va.gov/warms/docs/regs/38CFR/BOOKB/PART3/S3_103.DOC</vt:lpwstr>
      </vt:variant>
      <vt:variant>
        <vt:lpwstr/>
      </vt:variant>
      <vt:variant>
        <vt:i4>131172</vt:i4>
      </vt:variant>
      <vt:variant>
        <vt:i4>78</vt:i4>
      </vt:variant>
      <vt:variant>
        <vt:i4>0</vt:i4>
      </vt:variant>
      <vt:variant>
        <vt:i4>5</vt:i4>
      </vt:variant>
      <vt:variant>
        <vt:lpwstr>http://www.benefits.va.gov/warms/docs/regs/38CFR/BOOKB/PART3/S3_105.DOC</vt:lpwstr>
      </vt:variant>
      <vt:variant>
        <vt:lpwstr/>
      </vt:variant>
      <vt:variant>
        <vt:i4>131173</vt:i4>
      </vt:variant>
      <vt:variant>
        <vt:i4>72</vt:i4>
      </vt:variant>
      <vt:variant>
        <vt:i4>0</vt:i4>
      </vt:variant>
      <vt:variant>
        <vt:i4>5</vt:i4>
      </vt:variant>
      <vt:variant>
        <vt:lpwstr>http://www.benefits.va.gov/warms/docs/regs/38CFR/BOOKB/PART3/S3_500.DOC</vt:lpwstr>
      </vt:variant>
      <vt:variant>
        <vt:lpwstr/>
      </vt:variant>
      <vt:variant>
        <vt:i4>6750266</vt:i4>
      </vt:variant>
      <vt:variant>
        <vt:i4>69</vt:i4>
      </vt:variant>
      <vt:variant>
        <vt:i4>0</vt:i4>
      </vt:variant>
      <vt:variant>
        <vt:i4>5</vt:i4>
      </vt:variant>
      <vt:variant>
        <vt:lpwstr>imi-internal:M21-1MRIV.ii.3.A.2</vt:lpwstr>
      </vt:variant>
      <vt:variant>
        <vt:lpwstr/>
      </vt:variant>
      <vt:variant>
        <vt:i4>131172</vt:i4>
      </vt:variant>
      <vt:variant>
        <vt:i4>63</vt:i4>
      </vt:variant>
      <vt:variant>
        <vt:i4>0</vt:i4>
      </vt:variant>
      <vt:variant>
        <vt:i4>5</vt:i4>
      </vt:variant>
      <vt:variant>
        <vt:lpwstr>http://www.benefits.va.gov/warms/docs/regs/38CFR/BOOKB/PART3/S3_105.DOC</vt:lpwstr>
      </vt:variant>
      <vt:variant>
        <vt:lpwstr/>
      </vt:variant>
      <vt:variant>
        <vt:i4>655474</vt:i4>
      </vt:variant>
      <vt:variant>
        <vt:i4>60</vt:i4>
      </vt:variant>
      <vt:variant>
        <vt:i4>0</vt:i4>
      </vt:variant>
      <vt:variant>
        <vt:i4>5</vt:i4>
      </vt:variant>
      <vt:variant>
        <vt:lpwstr>http://www.law.cornell.edu/uscode/html/uscode38/usc_sec_38_00001702----000-.html</vt:lpwstr>
      </vt:variant>
      <vt:variant>
        <vt:lpwstr/>
      </vt:variant>
      <vt:variant>
        <vt:i4>131172</vt:i4>
      </vt:variant>
      <vt:variant>
        <vt:i4>57</vt:i4>
      </vt:variant>
      <vt:variant>
        <vt:i4>0</vt:i4>
      </vt:variant>
      <vt:variant>
        <vt:i4>5</vt:i4>
      </vt:variant>
      <vt:variant>
        <vt:lpwstr>http://www.benefits.va.gov/warms/docs/regs/38CFR/BOOKB/PART3/S3_105.DOC</vt:lpwstr>
      </vt:variant>
      <vt:variant>
        <vt:lpwstr/>
      </vt:variant>
      <vt:variant>
        <vt:i4>2424886</vt:i4>
      </vt:variant>
      <vt:variant>
        <vt:i4>51</vt:i4>
      </vt:variant>
      <vt:variant>
        <vt:i4>0</vt:i4>
      </vt:variant>
      <vt:variant>
        <vt:i4>5</vt:i4>
      </vt:variant>
      <vt:variant>
        <vt:lpwstr>imi-internal:M21-1MRIII.iv.8.E.17.i</vt:lpwstr>
      </vt:variant>
      <vt:variant>
        <vt:lpwstr/>
      </vt:variant>
      <vt:variant>
        <vt:i4>327681</vt:i4>
      </vt:variant>
      <vt:variant>
        <vt:i4>48</vt:i4>
      </vt:variant>
      <vt:variant>
        <vt:i4>0</vt:i4>
      </vt:variant>
      <vt:variant>
        <vt:i4>5</vt:i4>
      </vt:variant>
      <vt:variant>
        <vt:lpwstr>imi-internal:M21-1MRIII.iv.8.C.9</vt:lpwstr>
      </vt:variant>
      <vt:variant>
        <vt:lpwstr/>
      </vt:variant>
      <vt:variant>
        <vt:i4>4128870</vt:i4>
      </vt:variant>
      <vt:variant>
        <vt:i4>45</vt:i4>
      </vt:variant>
      <vt:variant>
        <vt:i4>0</vt:i4>
      </vt:variant>
      <vt:variant>
        <vt:i4>5</vt:i4>
      </vt:variant>
      <vt:variant>
        <vt:lpwstr>http://vbaw.vba.va.gov/bl/21/advisory/CAVCDAD.htm</vt:lpwstr>
      </vt:variant>
      <vt:variant>
        <vt:lpwstr>bma</vt:lpwstr>
      </vt:variant>
      <vt:variant>
        <vt:i4>131172</vt:i4>
      </vt:variant>
      <vt:variant>
        <vt:i4>42</vt:i4>
      </vt:variant>
      <vt:variant>
        <vt:i4>0</vt:i4>
      </vt:variant>
      <vt:variant>
        <vt:i4>5</vt:i4>
      </vt:variant>
      <vt:variant>
        <vt:lpwstr>http://www.benefits.va.gov/warms/docs/regs/38CFR/BOOKB/PART3/S3_105.DOC</vt:lpwstr>
      </vt:variant>
      <vt:variant>
        <vt:lpwstr/>
      </vt:variant>
      <vt:variant>
        <vt:i4>131172</vt:i4>
      </vt:variant>
      <vt:variant>
        <vt:i4>39</vt:i4>
      </vt:variant>
      <vt:variant>
        <vt:i4>0</vt:i4>
      </vt:variant>
      <vt:variant>
        <vt:i4>5</vt:i4>
      </vt:variant>
      <vt:variant>
        <vt:lpwstr>http://www.benefits.va.gov/warms/docs/regs/38CFR/BOOKB/PART3/S3_105.DOC</vt:lpwstr>
      </vt:variant>
      <vt:variant>
        <vt:lpwstr/>
      </vt:variant>
      <vt:variant>
        <vt:i4>131172</vt:i4>
      </vt:variant>
      <vt:variant>
        <vt:i4>36</vt:i4>
      </vt:variant>
      <vt:variant>
        <vt:i4>0</vt:i4>
      </vt:variant>
      <vt:variant>
        <vt:i4>5</vt:i4>
      </vt:variant>
      <vt:variant>
        <vt:lpwstr>http://www.benefits.va.gov/warms/docs/regs/38CFR/BOOKB/PART3/S3_105.DOC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http://www.benefits.va.gov/warms/docs/regs/38CFR/BOOKB/PART3/S3_323.DOC</vt:lpwstr>
      </vt:variant>
      <vt:variant>
        <vt:lpwstr/>
      </vt:variant>
      <vt:variant>
        <vt:i4>458851</vt:i4>
      </vt:variant>
      <vt:variant>
        <vt:i4>30</vt:i4>
      </vt:variant>
      <vt:variant>
        <vt:i4>0</vt:i4>
      </vt:variant>
      <vt:variant>
        <vt:i4>5</vt:i4>
      </vt:variant>
      <vt:variant>
        <vt:lpwstr>http://www.benefits.va.gov/warms/docs/regs/38CFR/BOOKB/PART3/S3_655.DOC</vt:lpwstr>
      </vt:variant>
      <vt:variant>
        <vt:lpwstr/>
      </vt:variant>
      <vt:variant>
        <vt:i4>4784219</vt:i4>
      </vt:variant>
      <vt:variant>
        <vt:i4>27</vt:i4>
      </vt:variant>
      <vt:variant>
        <vt:i4>0</vt:i4>
      </vt:variant>
      <vt:variant>
        <vt:i4>5</vt:i4>
      </vt:variant>
      <vt:variant>
        <vt:lpwstr>imi-internal:M21-1MRIV.ii.3.B</vt:lpwstr>
      </vt:variant>
      <vt:variant>
        <vt:lpwstr/>
      </vt:variant>
      <vt:variant>
        <vt:i4>2424887</vt:i4>
      </vt:variant>
      <vt:variant>
        <vt:i4>24</vt:i4>
      </vt:variant>
      <vt:variant>
        <vt:i4>0</vt:i4>
      </vt:variant>
      <vt:variant>
        <vt:i4>5</vt:i4>
      </vt:variant>
      <vt:variant>
        <vt:lpwstr>imi-internal:M21-1MRIII.iv.8.E.16.b</vt:lpwstr>
      </vt:variant>
      <vt:variant>
        <vt:lpwstr/>
      </vt:variant>
      <vt:variant>
        <vt:i4>458851</vt:i4>
      </vt:variant>
      <vt:variant>
        <vt:i4>18</vt:i4>
      </vt:variant>
      <vt:variant>
        <vt:i4>0</vt:i4>
      </vt:variant>
      <vt:variant>
        <vt:i4>5</vt:i4>
      </vt:variant>
      <vt:variant>
        <vt:lpwstr>http://www.benefits.va.gov/warms/docs/regs/38CFR/BOOKB/PART3/S3_655.DOC</vt:lpwstr>
      </vt:variant>
      <vt:variant>
        <vt:lpwstr/>
      </vt:variant>
      <vt:variant>
        <vt:i4>2687028</vt:i4>
      </vt:variant>
      <vt:variant>
        <vt:i4>15</vt:i4>
      </vt:variant>
      <vt:variant>
        <vt:i4>0</vt:i4>
      </vt:variant>
      <vt:variant>
        <vt:i4>5</vt:i4>
      </vt:variant>
      <vt:variant>
        <vt:lpwstr>imi-internal:M21-1MRIII.iv.3.B.15.e</vt:lpwstr>
      </vt:variant>
      <vt:variant>
        <vt:lpwstr/>
      </vt:variant>
      <vt:variant>
        <vt:i4>458859</vt:i4>
      </vt:variant>
      <vt:variant>
        <vt:i4>12</vt:i4>
      </vt:variant>
      <vt:variant>
        <vt:i4>0</vt:i4>
      </vt:variant>
      <vt:variant>
        <vt:i4>5</vt:i4>
      </vt:variant>
      <vt:variant>
        <vt:lpwstr>http://www.benefits.va.gov/warms/docs/regs/38CFR/BOOKB/PART3/S3_952.DOC</vt:lpwstr>
      </vt:variant>
      <vt:variant>
        <vt:lpwstr/>
      </vt:variant>
      <vt:variant>
        <vt:i4>458857</vt:i4>
      </vt:variant>
      <vt:variant>
        <vt:i4>9</vt:i4>
      </vt:variant>
      <vt:variant>
        <vt:i4>0</vt:i4>
      </vt:variant>
      <vt:variant>
        <vt:i4>5</vt:i4>
      </vt:variant>
      <vt:variant>
        <vt:lpwstr>http://www.benefits.va.gov/warms/docs/regs/38CFR/BOOKB/PART3/S3_950.DOC</vt:lpwstr>
      </vt:variant>
      <vt:variant>
        <vt:lpwstr/>
      </vt:variant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http://vbaw.vba.va.gov/bl/21/Advisory/CAVCDAD.htm</vt:lpwstr>
      </vt:variant>
      <vt:variant>
        <vt:lpwstr>bmk</vt:lpwstr>
      </vt:variant>
      <vt:variant>
        <vt:i4>2687028</vt:i4>
      </vt:variant>
      <vt:variant>
        <vt:i4>0</vt:i4>
      </vt:variant>
      <vt:variant>
        <vt:i4>0</vt:i4>
      </vt:variant>
      <vt:variant>
        <vt:i4>5</vt:i4>
      </vt:variant>
      <vt:variant>
        <vt:lpwstr>imi-internal:M21-1MRIII.iv.3.B.15.e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Rating Due Process Issues</dc:subject>
  <dc:creator>Department of Veterans Affairs</dc:creator>
  <cp:keywords>Failure, Report, Examination, Good Cause, Severance, Character, Discharge, Line, Duty, Willful, Misconduct</cp:keywords>
  <cp:lastModifiedBy>Mazar, Leah B., VBAVACO</cp:lastModifiedBy>
  <cp:revision>14</cp:revision>
  <cp:lastPrinted>2012-06-05T13:29:00Z</cp:lastPrinted>
  <dcterms:created xsi:type="dcterms:W3CDTF">2015-02-03T15:29:00Z</dcterms:created>
  <dcterms:modified xsi:type="dcterms:W3CDTF">2015-08-24T18:08:00Z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Created">
    <vt:lpwstr>20040420</vt:lpwstr>
  </property>
  <property fmtid="{D5CDD505-2E9C-101B-9397-08002B2CF9AE}" pid="3" name="DateReviewed">
    <vt:lpwstr>20140814</vt:lpwstr>
  </property>
  <property fmtid="{D5CDD505-2E9C-101B-9397-08002B2CF9AE}" pid="4" name="Language">
    <vt:lpwstr>en</vt:lpwstr>
  </property>
  <property fmtid="{D5CDD505-2E9C-101B-9397-08002B2CF9AE}" pid="5" name="type">
    <vt:lpwstr>manual</vt:lpwstr>
  </property>
  <property fmtid="{D5CDD505-2E9C-101B-9397-08002B2CF9AE}" pid="6" name="Creator">
    <vt:lpwstr>Department of Veterans Affairs</vt:lpwstr>
  </property>
  <property fmtid="{D5CDD505-2E9C-101B-9397-08002B2CF9AE}" pid="7" name="ContentTypeId">
    <vt:lpwstr>0x010100ABF033456AE7FA448DA46FC8B0DE36C6</vt:lpwstr>
  </property>
  <property fmtid="{D5CDD505-2E9C-101B-9397-08002B2CF9AE}" pid="8" name="Order0">
    <vt:r8>1</vt:r8>
  </property>
</Properties>
</file>