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6B374" w14:textId="138B0A25" w:rsidR="00504F80" w:rsidRPr="00B90B70" w:rsidRDefault="00504F80" w:rsidP="00504F80">
      <w:pPr>
        <w:pStyle w:val="Heading4"/>
        <w:tabs>
          <w:tab w:val="left" w:pos="6840"/>
        </w:tabs>
        <w:spacing w:after="0"/>
        <w:ind w:right="-720"/>
        <w:rPr>
          <w:rFonts w:ascii="Times New Roman" w:hAnsi="Times New Roman"/>
          <w:sz w:val="20"/>
        </w:rPr>
      </w:pPr>
      <w:r w:rsidRPr="00B90B70">
        <w:rPr>
          <w:rFonts w:ascii="Times New Roman" w:hAnsi="Times New Roman"/>
          <w:sz w:val="20"/>
        </w:rPr>
        <w:t>Department of Veterans Affairs</w:t>
      </w:r>
      <w:r w:rsidRPr="00B90B70">
        <w:rPr>
          <w:rFonts w:ascii="Times New Roman" w:hAnsi="Times New Roman"/>
          <w:sz w:val="20"/>
        </w:rPr>
        <w:tab/>
      </w:r>
      <w:r w:rsidR="00B90B70" w:rsidRPr="00B90B70">
        <w:rPr>
          <w:rFonts w:ascii="Times New Roman" w:hAnsi="Times New Roman"/>
          <w:sz w:val="20"/>
        </w:rPr>
        <w:t xml:space="preserve">    </w:t>
      </w:r>
      <w:r w:rsidRPr="00B90B70">
        <w:rPr>
          <w:rFonts w:ascii="Times New Roman" w:hAnsi="Times New Roman"/>
          <w:sz w:val="20"/>
        </w:rPr>
        <w:t xml:space="preserve">M21-1, Part </w:t>
      </w:r>
      <w:r w:rsidR="00945950" w:rsidRPr="00B90B70">
        <w:rPr>
          <w:rFonts w:ascii="Times New Roman" w:hAnsi="Times New Roman"/>
          <w:sz w:val="20"/>
        </w:rPr>
        <w:t>III</w:t>
      </w:r>
      <w:r w:rsidRPr="00B90B70">
        <w:rPr>
          <w:rFonts w:ascii="Times New Roman" w:hAnsi="Times New Roman"/>
          <w:sz w:val="20"/>
        </w:rPr>
        <w:t xml:space="preserve">, Subpart </w:t>
      </w:r>
      <w:proofErr w:type="gramStart"/>
      <w:r w:rsidR="008D3122" w:rsidRPr="00B90B70">
        <w:rPr>
          <w:rFonts w:ascii="Times New Roman" w:hAnsi="Times New Roman"/>
          <w:sz w:val="20"/>
        </w:rPr>
        <w:t>iv</w:t>
      </w:r>
      <w:proofErr w:type="gramEnd"/>
    </w:p>
    <w:p w14:paraId="44BF2BC0" w14:textId="7C7E4787" w:rsidR="00504F80" w:rsidRPr="00B90B70" w:rsidRDefault="00504F80" w:rsidP="00504F80">
      <w:pPr>
        <w:rPr>
          <w:b/>
          <w:bCs/>
          <w:sz w:val="20"/>
        </w:rPr>
      </w:pPr>
      <w:r w:rsidRPr="00B90B70">
        <w:rPr>
          <w:b/>
          <w:bCs/>
          <w:sz w:val="20"/>
        </w:rPr>
        <w:t>Veterans Benefits Administration</w:t>
      </w:r>
      <w:r w:rsidRPr="00B90B70">
        <w:rPr>
          <w:b/>
          <w:bCs/>
          <w:sz w:val="20"/>
        </w:rPr>
        <w:tab/>
      </w:r>
      <w:r w:rsidRPr="00B90B70">
        <w:rPr>
          <w:b/>
          <w:bCs/>
          <w:sz w:val="20"/>
        </w:rPr>
        <w:tab/>
      </w:r>
      <w:r w:rsidRPr="00B90B70">
        <w:rPr>
          <w:b/>
          <w:bCs/>
          <w:sz w:val="20"/>
        </w:rPr>
        <w:tab/>
      </w:r>
      <w:r w:rsidRPr="00B90B70">
        <w:rPr>
          <w:b/>
          <w:bCs/>
          <w:sz w:val="20"/>
        </w:rPr>
        <w:tab/>
      </w:r>
      <w:r w:rsidRPr="00B90B70">
        <w:rPr>
          <w:b/>
          <w:bCs/>
          <w:sz w:val="20"/>
        </w:rPr>
        <w:tab/>
      </w:r>
      <w:r w:rsidRPr="00B90B70">
        <w:rPr>
          <w:b/>
          <w:bCs/>
          <w:sz w:val="20"/>
        </w:rPr>
        <w:tab/>
      </w:r>
      <w:r w:rsidR="00B90B70" w:rsidRPr="00B90B70">
        <w:rPr>
          <w:b/>
          <w:bCs/>
          <w:sz w:val="20"/>
        </w:rPr>
        <w:tab/>
      </w:r>
      <w:r w:rsidR="00B90B70" w:rsidRPr="00B90B70">
        <w:rPr>
          <w:b/>
          <w:bCs/>
          <w:sz w:val="20"/>
        </w:rPr>
        <w:tab/>
        <w:t xml:space="preserve">     June 30, 2015</w:t>
      </w:r>
      <w:r w:rsidRPr="00B90B70">
        <w:rPr>
          <w:b/>
          <w:bCs/>
          <w:sz w:val="20"/>
        </w:rPr>
        <w:tab/>
      </w:r>
    </w:p>
    <w:p w14:paraId="74FE50F2" w14:textId="77777777" w:rsidR="00504F80" w:rsidRPr="00B90B70" w:rsidRDefault="00504F80" w:rsidP="00504F80">
      <w:pPr>
        <w:rPr>
          <w:b/>
          <w:bCs/>
          <w:sz w:val="20"/>
        </w:rPr>
      </w:pPr>
      <w:r w:rsidRPr="00B90B70">
        <w:rPr>
          <w:b/>
          <w:bCs/>
          <w:sz w:val="20"/>
        </w:rPr>
        <w:t>Washington, DC  20420</w:t>
      </w:r>
    </w:p>
    <w:p w14:paraId="5B74444E" w14:textId="77777777" w:rsidR="00504F80" w:rsidRPr="00B90B70" w:rsidRDefault="00504F80" w:rsidP="00504F80">
      <w:pPr>
        <w:rPr>
          <w:b/>
          <w:bCs/>
          <w:sz w:val="20"/>
        </w:rPr>
      </w:pPr>
    </w:p>
    <w:p w14:paraId="166D4FDC" w14:textId="77777777" w:rsidR="00504F80" w:rsidRPr="00B90B70" w:rsidRDefault="00504F80" w:rsidP="00504F80">
      <w:pPr>
        <w:pStyle w:val="Heading4"/>
      </w:pPr>
      <w:r w:rsidRPr="00B90B70">
        <w:t xml:space="preserve">Transmittal Sheet </w:t>
      </w:r>
    </w:p>
    <w:p w14:paraId="7A9D777F" w14:textId="77777777" w:rsidR="00504F80" w:rsidRPr="00B90B70" w:rsidRDefault="00504F80" w:rsidP="00504F80">
      <w:pPr>
        <w:pStyle w:val="BlockLine"/>
      </w:pPr>
      <w:r w:rsidRPr="00B90B70">
        <w:t xml:space="preserve"> </w:t>
      </w:r>
    </w:p>
    <w:tbl>
      <w:tblPr>
        <w:tblW w:w="9468" w:type="dxa"/>
        <w:tblLayout w:type="fixed"/>
        <w:tblLook w:val="0000" w:firstRow="0" w:lastRow="0" w:firstColumn="0" w:lastColumn="0" w:noHBand="0" w:noVBand="0"/>
      </w:tblPr>
      <w:tblGrid>
        <w:gridCol w:w="1728"/>
        <w:gridCol w:w="7740"/>
      </w:tblGrid>
      <w:tr w:rsidR="00504F80" w:rsidRPr="00B90B70" w14:paraId="3F8B141C" w14:textId="77777777" w:rsidTr="00C24D50">
        <w:tc>
          <w:tcPr>
            <w:tcW w:w="1728" w:type="dxa"/>
          </w:tcPr>
          <w:p w14:paraId="05FE3568" w14:textId="77777777" w:rsidR="00504F80" w:rsidRPr="00B90B70" w:rsidRDefault="00504F80" w:rsidP="00237C22">
            <w:pPr>
              <w:pStyle w:val="Heading5"/>
            </w:pPr>
            <w:r w:rsidRPr="00B90B70">
              <w:t>Changes Included in This Revision</w:t>
            </w:r>
          </w:p>
        </w:tc>
        <w:tc>
          <w:tcPr>
            <w:tcW w:w="7740" w:type="dxa"/>
          </w:tcPr>
          <w:p w14:paraId="04538A69" w14:textId="77777777" w:rsidR="00504F80" w:rsidRPr="00B90B70" w:rsidRDefault="00504F80" w:rsidP="00237C22">
            <w:pPr>
              <w:pStyle w:val="BlockText"/>
            </w:pPr>
            <w:r w:rsidRPr="00B90B70">
              <w:t xml:space="preserve">The table below describes the changes included in this revision of Veterans Benefits Manual M21-1, Part </w:t>
            </w:r>
            <w:r w:rsidR="00BB3345" w:rsidRPr="00B90B70">
              <w:t>III</w:t>
            </w:r>
            <w:r w:rsidRPr="00B90B70">
              <w:t>, “</w:t>
            </w:r>
            <w:r w:rsidR="00BB3345" w:rsidRPr="00B90B70">
              <w:t>General Claims Process</w:t>
            </w:r>
            <w:r w:rsidRPr="00B90B70">
              <w:t xml:space="preserve">,” Subpart </w:t>
            </w:r>
            <w:r w:rsidR="008D3122" w:rsidRPr="00B90B70">
              <w:t>iv</w:t>
            </w:r>
            <w:r w:rsidRPr="00B90B70">
              <w:t>, “</w:t>
            </w:r>
            <w:r w:rsidR="00BB3345" w:rsidRPr="00B90B70">
              <w:t xml:space="preserve">General </w:t>
            </w:r>
            <w:r w:rsidR="008D3122" w:rsidRPr="00B90B70">
              <w:t>Rating Process</w:t>
            </w:r>
            <w:r w:rsidRPr="00B90B70">
              <w:t>.”</w:t>
            </w:r>
          </w:p>
          <w:p w14:paraId="13F19765" w14:textId="77777777" w:rsidR="00504F80" w:rsidRPr="00B90B70" w:rsidRDefault="00504F80" w:rsidP="00237C22">
            <w:pPr>
              <w:pStyle w:val="BulletText1"/>
              <w:numPr>
                <w:ilvl w:val="0"/>
                <w:numId w:val="0"/>
              </w:numPr>
            </w:pPr>
          </w:p>
          <w:p w14:paraId="3649A87A" w14:textId="77777777" w:rsidR="00504F80" w:rsidRPr="00B90B70" w:rsidRDefault="00504F80" w:rsidP="00237C22">
            <w:pPr>
              <w:pStyle w:val="BulletText1"/>
              <w:numPr>
                <w:ilvl w:val="0"/>
                <w:numId w:val="0"/>
              </w:numPr>
            </w:pPr>
            <w:r w:rsidRPr="00B90B70">
              <w:rPr>
                <w:b/>
                <w:i/>
              </w:rPr>
              <w:t>Notes</w:t>
            </w:r>
            <w:r w:rsidRPr="00B90B70">
              <w:t xml:space="preserve">:  </w:t>
            </w:r>
          </w:p>
          <w:p w14:paraId="3E440CF1" w14:textId="46DA5627" w:rsidR="006C0D51" w:rsidRPr="00B90B70" w:rsidRDefault="006C0D51" w:rsidP="006C0D51">
            <w:pPr>
              <w:pStyle w:val="BulletText1"/>
            </w:pPr>
            <w:r w:rsidRPr="00B90B70">
              <w:t>The term Veterans Service Center Manager (VSCM) also includes Pension Management Center Manager (PMCM), where appropriate.</w:t>
            </w:r>
          </w:p>
          <w:p w14:paraId="03E3F1EC" w14:textId="77777777" w:rsidR="0027298D" w:rsidRPr="00B90B70" w:rsidRDefault="0027298D" w:rsidP="00237C22">
            <w:pPr>
              <w:pStyle w:val="BulletText1"/>
            </w:pPr>
            <w:r w:rsidRPr="00B90B70">
              <w:t xml:space="preserve">Unless otherwise noted, the term “claims folder” refers to </w:t>
            </w:r>
            <w:r w:rsidR="004A0832" w:rsidRPr="00B90B70">
              <w:t>the</w:t>
            </w:r>
            <w:r w:rsidR="000E320F" w:rsidRPr="00B90B70">
              <w:t xml:space="preserve"> official, numbered,</w:t>
            </w:r>
            <w:r w:rsidR="00A2703B" w:rsidRPr="00B90B70">
              <w:t xml:space="preserve"> Department of Veterans Affairs (VA)</w:t>
            </w:r>
            <w:r w:rsidRPr="00B90B70">
              <w:t xml:space="preserve"> </w:t>
            </w:r>
            <w:r w:rsidR="000E320F" w:rsidRPr="00B90B70">
              <w:t>repository – whether paper or electronic – for all</w:t>
            </w:r>
            <w:r w:rsidR="004A0832" w:rsidRPr="00B90B70">
              <w:t xml:space="preserve"> documentation </w:t>
            </w:r>
            <w:r w:rsidR="000E320F" w:rsidRPr="00B90B70">
              <w:t xml:space="preserve">relating to claims that a Veteran and/or his/her </w:t>
            </w:r>
            <w:r w:rsidR="00AC43CF" w:rsidRPr="00B90B70">
              <w:t>survivors</w:t>
            </w:r>
            <w:r w:rsidR="000E320F" w:rsidRPr="00B90B70">
              <w:t xml:space="preserve"> file with VA</w:t>
            </w:r>
            <w:r w:rsidR="004A0832" w:rsidRPr="00B90B70">
              <w:t>.</w:t>
            </w:r>
          </w:p>
          <w:p w14:paraId="5AC4A900" w14:textId="77777777" w:rsidR="00504F80" w:rsidRPr="00B90B70" w:rsidRDefault="00504F80" w:rsidP="00C24D50">
            <w:pPr>
              <w:pStyle w:val="BulletText1"/>
            </w:pPr>
            <w:r w:rsidRPr="00B90B70">
              <w:t xml:space="preserve">Minor editorial changes have also been made to </w:t>
            </w:r>
          </w:p>
          <w:p w14:paraId="45943CAB" w14:textId="77777777" w:rsidR="00504F80" w:rsidRPr="00B90B70" w:rsidRDefault="00504F80" w:rsidP="00237C22">
            <w:pPr>
              <w:pStyle w:val="BulletText2"/>
              <w:tabs>
                <w:tab w:val="num" w:pos="547"/>
              </w:tabs>
            </w:pPr>
            <w:r w:rsidRPr="00B90B70">
              <w:t>update incorrect or obsolete references</w:t>
            </w:r>
          </w:p>
          <w:p w14:paraId="41CBB787" w14:textId="77777777" w:rsidR="00504F80" w:rsidRPr="00B90B70" w:rsidRDefault="00504F80" w:rsidP="00237C22">
            <w:pPr>
              <w:pStyle w:val="BulletText2"/>
              <w:tabs>
                <w:tab w:val="num" w:pos="547"/>
              </w:tabs>
            </w:pPr>
            <w:r w:rsidRPr="00B90B70">
              <w:t>update obsolete terminology, where appropriate</w:t>
            </w:r>
          </w:p>
          <w:p w14:paraId="746E3BF1" w14:textId="77777777" w:rsidR="00271962" w:rsidRPr="00B90B70" w:rsidRDefault="00F87F72" w:rsidP="00237C22">
            <w:pPr>
              <w:pStyle w:val="BulletText2"/>
              <w:tabs>
                <w:tab w:val="num" w:pos="547"/>
              </w:tabs>
            </w:pPr>
            <w:r w:rsidRPr="00B90B70">
              <w:t xml:space="preserve">renumber </w:t>
            </w:r>
            <w:r w:rsidR="00437647" w:rsidRPr="00B90B70">
              <w:t xml:space="preserve">each </w:t>
            </w:r>
            <w:r w:rsidR="00526F0E" w:rsidRPr="00B90B70">
              <w:t>topic</w:t>
            </w:r>
            <w:r w:rsidR="00437647" w:rsidRPr="00B90B70">
              <w:t xml:space="preserve"> based on the standard that the first topic in each section is Topic 1</w:t>
            </w:r>
          </w:p>
          <w:p w14:paraId="43FE8D21" w14:textId="77777777" w:rsidR="003E2CA2" w:rsidRPr="00B90B70" w:rsidRDefault="003E2CA2" w:rsidP="00237C22">
            <w:pPr>
              <w:pStyle w:val="BulletText2"/>
              <w:tabs>
                <w:tab w:val="num" w:pos="547"/>
              </w:tabs>
            </w:pPr>
            <w:r w:rsidRPr="00B90B70">
              <w:t>reassign alphabetical designations to individual blocks, where necessary, to account for new and/or deleted blocks within a topic</w:t>
            </w:r>
          </w:p>
          <w:p w14:paraId="16FA9EDD" w14:textId="77777777" w:rsidR="00504F80" w:rsidRPr="00B90B70" w:rsidRDefault="00504F80" w:rsidP="00237C22">
            <w:pPr>
              <w:pStyle w:val="BulletText2"/>
              <w:tabs>
                <w:tab w:val="num" w:pos="547"/>
              </w:tabs>
            </w:pPr>
            <w:r w:rsidRPr="00B90B70">
              <w:t xml:space="preserve">clarify </w:t>
            </w:r>
            <w:r w:rsidR="002041BE" w:rsidRPr="00B90B70">
              <w:t>b</w:t>
            </w:r>
            <w:r w:rsidR="00D61497" w:rsidRPr="00B90B70">
              <w:t xml:space="preserve">lock labels and/or </w:t>
            </w:r>
            <w:r w:rsidR="002041BE" w:rsidRPr="00B90B70">
              <w:t>b</w:t>
            </w:r>
            <w:r w:rsidRPr="00B90B70">
              <w:t xml:space="preserve">lock text, and </w:t>
            </w:r>
          </w:p>
          <w:p w14:paraId="27AD5463" w14:textId="77777777" w:rsidR="00504F80" w:rsidRPr="00B90B70" w:rsidRDefault="00504F80" w:rsidP="00120103">
            <w:pPr>
              <w:pStyle w:val="BulletText2"/>
            </w:pPr>
            <w:proofErr w:type="gramStart"/>
            <w:r w:rsidRPr="00B90B70">
              <w:t>bring</w:t>
            </w:r>
            <w:proofErr w:type="gramEnd"/>
            <w:r w:rsidRPr="00B90B70">
              <w:t xml:space="preserve"> the document into conformance with M21-1 standards.</w:t>
            </w:r>
          </w:p>
        </w:tc>
      </w:tr>
    </w:tbl>
    <w:p w14:paraId="558F4E36" w14:textId="77777777" w:rsidR="00C24D50" w:rsidRPr="00B90B7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rsidRPr="00B90B70" w14:paraId="3FCD9EDE" w14:textId="77777777" w:rsidTr="00401FC0">
        <w:trPr>
          <w:trHeight w:val="180"/>
        </w:trPr>
        <w:tc>
          <w:tcPr>
            <w:tcW w:w="3750" w:type="pct"/>
            <w:shd w:val="clear" w:color="auto" w:fill="auto"/>
          </w:tcPr>
          <w:p w14:paraId="75B857DD" w14:textId="77777777" w:rsidR="002A1D3E" w:rsidRPr="00B90B70" w:rsidRDefault="002A1D3E" w:rsidP="002F7397">
            <w:pPr>
              <w:pStyle w:val="TableHeaderText"/>
            </w:pPr>
            <w:r w:rsidRPr="00B90B70">
              <w:t>Reason(s) for the Change</w:t>
            </w:r>
          </w:p>
        </w:tc>
        <w:tc>
          <w:tcPr>
            <w:tcW w:w="1250" w:type="pct"/>
            <w:shd w:val="clear" w:color="auto" w:fill="auto"/>
          </w:tcPr>
          <w:p w14:paraId="3C0FA8DB" w14:textId="77777777" w:rsidR="002A1D3E" w:rsidRPr="00B90B70" w:rsidRDefault="002A1D3E" w:rsidP="002F7397">
            <w:pPr>
              <w:pStyle w:val="TableHeaderText"/>
            </w:pPr>
            <w:r w:rsidRPr="00B90B70">
              <w:t>Citation</w:t>
            </w:r>
          </w:p>
        </w:tc>
      </w:tr>
      <w:tr w:rsidR="00631FF5" w:rsidRPr="00B90B70" w14:paraId="6B6FF1B6" w14:textId="77777777" w:rsidTr="00401FC0">
        <w:trPr>
          <w:trHeight w:val="180"/>
        </w:trPr>
        <w:tc>
          <w:tcPr>
            <w:tcW w:w="3750" w:type="pct"/>
            <w:shd w:val="clear" w:color="auto" w:fill="auto"/>
          </w:tcPr>
          <w:p w14:paraId="1E69E5D0" w14:textId="06DF6FD6" w:rsidR="00631FF5" w:rsidRPr="00B90B70" w:rsidRDefault="003B6D27" w:rsidP="009D0E49">
            <w:pPr>
              <w:pStyle w:val="TableText"/>
            </w:pPr>
            <w:r w:rsidRPr="00B90B70">
              <w:t>To add a new Block b to relocate</w:t>
            </w:r>
            <w:r w:rsidR="00631FF5" w:rsidRPr="00B90B70">
              <w:t xml:space="preserve"> definition</w:t>
            </w:r>
            <w:r w:rsidR="009D0E49" w:rsidRPr="00B90B70">
              <w:t xml:space="preserve"> and example</w:t>
            </w:r>
            <w:r w:rsidR="00631FF5" w:rsidRPr="00B90B70">
              <w:t xml:space="preserve"> of</w:t>
            </w:r>
            <w:r w:rsidR="009D0E49" w:rsidRPr="00B90B70">
              <w:t xml:space="preserve"> an</w:t>
            </w:r>
            <w:r w:rsidR="00631FF5" w:rsidRPr="00B90B70">
              <w:t xml:space="preserve"> expressly claimed</w:t>
            </w:r>
            <w:r w:rsidR="009D0E49" w:rsidRPr="00B90B70">
              <w:t xml:space="preserve"> issue.</w:t>
            </w:r>
            <w:r w:rsidR="00631FF5" w:rsidRPr="00B90B70">
              <w:t xml:space="preserve"> </w:t>
            </w:r>
          </w:p>
        </w:tc>
        <w:tc>
          <w:tcPr>
            <w:tcW w:w="1250" w:type="pct"/>
            <w:shd w:val="clear" w:color="auto" w:fill="auto"/>
          </w:tcPr>
          <w:p w14:paraId="252D20E4" w14:textId="4F53941B" w:rsidR="003418D3" w:rsidRPr="00B90B70" w:rsidRDefault="003418D3" w:rsidP="002F7397">
            <w:pPr>
              <w:pStyle w:val="TableText"/>
            </w:pPr>
            <w:r w:rsidRPr="00B90B70">
              <w:t>M21-1, Part III, Subpart iv, Chapter 6, Section B, Topic 1, Block b</w:t>
            </w:r>
          </w:p>
          <w:p w14:paraId="5FA22B9C" w14:textId="5EDEAC4C" w:rsidR="00631FF5" w:rsidRPr="00B90B70" w:rsidRDefault="003418D3" w:rsidP="002F7397">
            <w:pPr>
              <w:pStyle w:val="TableText"/>
            </w:pPr>
            <w:r w:rsidRPr="00B90B70">
              <w:t>(</w:t>
            </w:r>
            <w:r w:rsidR="00631FF5" w:rsidRPr="00B90B70">
              <w:t>III.iv.6.B.1.b</w:t>
            </w:r>
            <w:r w:rsidRPr="00B90B70">
              <w:t>)</w:t>
            </w:r>
          </w:p>
        </w:tc>
      </w:tr>
      <w:tr w:rsidR="00631FF5" w:rsidRPr="00B90B70" w14:paraId="78C05246" w14:textId="77777777" w:rsidTr="00401FC0">
        <w:trPr>
          <w:trHeight w:val="180"/>
        </w:trPr>
        <w:tc>
          <w:tcPr>
            <w:tcW w:w="3750" w:type="pct"/>
            <w:shd w:val="clear" w:color="auto" w:fill="auto"/>
          </w:tcPr>
          <w:p w14:paraId="0FEFF98E" w14:textId="10943475" w:rsidR="00631FF5" w:rsidRPr="00B90B70" w:rsidRDefault="00631FF5" w:rsidP="009D0E49">
            <w:pPr>
              <w:pStyle w:val="TableText"/>
            </w:pPr>
            <w:r w:rsidRPr="00B90B70">
              <w:t>To</w:t>
            </w:r>
            <w:r w:rsidR="009D0E49" w:rsidRPr="00B90B70">
              <w:t xml:space="preserve"> add a new Block c and</w:t>
            </w:r>
            <w:r w:rsidRPr="00B90B70">
              <w:t xml:space="preserve"> provide</w:t>
            </w:r>
            <w:r w:rsidR="009D0E49" w:rsidRPr="00B90B70">
              <w:t xml:space="preserve"> a definition and</w:t>
            </w:r>
            <w:r w:rsidRPr="00B90B70">
              <w:t xml:space="preserve"> example</w:t>
            </w:r>
            <w:r w:rsidR="009D0E49" w:rsidRPr="00B90B70">
              <w:t>s</w:t>
            </w:r>
            <w:r w:rsidRPr="00B90B70">
              <w:t xml:space="preserve"> of a reasonably-raised</w:t>
            </w:r>
            <w:r w:rsidR="009D0E49" w:rsidRPr="00B90B70">
              <w:t xml:space="preserve"> claim</w:t>
            </w:r>
            <w:r w:rsidRPr="00B90B70">
              <w:t xml:space="preserve">. </w:t>
            </w:r>
          </w:p>
        </w:tc>
        <w:tc>
          <w:tcPr>
            <w:tcW w:w="1250" w:type="pct"/>
            <w:shd w:val="clear" w:color="auto" w:fill="auto"/>
          </w:tcPr>
          <w:p w14:paraId="04457C5B" w14:textId="05212F82" w:rsidR="00631FF5" w:rsidRPr="00B90B70" w:rsidRDefault="00631FF5" w:rsidP="002F7397">
            <w:pPr>
              <w:pStyle w:val="TableText"/>
            </w:pPr>
            <w:r w:rsidRPr="00B90B70">
              <w:t>III.iv.6.B.1.c</w:t>
            </w:r>
            <w:bookmarkStart w:id="0" w:name="_GoBack"/>
            <w:bookmarkEnd w:id="0"/>
          </w:p>
        </w:tc>
      </w:tr>
      <w:tr w:rsidR="009D0E49" w:rsidRPr="00B90B70" w14:paraId="7383BD85" w14:textId="77777777" w:rsidTr="00401FC0">
        <w:trPr>
          <w:trHeight w:val="180"/>
        </w:trPr>
        <w:tc>
          <w:tcPr>
            <w:tcW w:w="3750" w:type="pct"/>
            <w:shd w:val="clear" w:color="auto" w:fill="auto"/>
          </w:tcPr>
          <w:p w14:paraId="6690AC99" w14:textId="298BAD03" w:rsidR="009D0E49" w:rsidRPr="00B90B70" w:rsidRDefault="009D0E49" w:rsidP="004836EA">
            <w:pPr>
              <w:pStyle w:val="TableText"/>
            </w:pPr>
            <w:r w:rsidRPr="00B90B70">
              <w:t xml:space="preserve">To add a new Block d and provide a definition and example of an unclaimed subordinate issue. </w:t>
            </w:r>
          </w:p>
        </w:tc>
        <w:tc>
          <w:tcPr>
            <w:tcW w:w="1250" w:type="pct"/>
            <w:shd w:val="clear" w:color="auto" w:fill="auto"/>
          </w:tcPr>
          <w:p w14:paraId="573A52B5" w14:textId="200A9A5E" w:rsidR="009D0E49" w:rsidRPr="00B90B70" w:rsidDel="004836EA" w:rsidRDefault="009D0E49" w:rsidP="002F7397">
            <w:pPr>
              <w:pStyle w:val="TableText"/>
            </w:pPr>
            <w:r w:rsidRPr="00B90B70">
              <w:t>III.iv.6.B.1.d</w:t>
            </w:r>
          </w:p>
        </w:tc>
      </w:tr>
      <w:tr w:rsidR="009D0E49" w:rsidRPr="00B90B70" w14:paraId="095A33A4" w14:textId="77777777" w:rsidTr="00401FC0">
        <w:trPr>
          <w:trHeight w:val="180"/>
        </w:trPr>
        <w:tc>
          <w:tcPr>
            <w:tcW w:w="3750" w:type="pct"/>
            <w:shd w:val="clear" w:color="auto" w:fill="auto"/>
          </w:tcPr>
          <w:p w14:paraId="4BB5887B" w14:textId="7B12F279" w:rsidR="009D0E49" w:rsidRPr="00B90B70" w:rsidRDefault="009D0E49" w:rsidP="004836EA">
            <w:pPr>
              <w:pStyle w:val="TableText"/>
            </w:pPr>
            <w:r w:rsidRPr="00B90B70">
              <w:t>To add a new Block e and provide a definition and example of an ancillary benefit.</w:t>
            </w:r>
          </w:p>
        </w:tc>
        <w:tc>
          <w:tcPr>
            <w:tcW w:w="1250" w:type="pct"/>
            <w:shd w:val="clear" w:color="auto" w:fill="auto"/>
          </w:tcPr>
          <w:p w14:paraId="0E41B219" w14:textId="647BC3C9" w:rsidR="009D0E49" w:rsidRPr="00B90B70" w:rsidRDefault="009D0E49" w:rsidP="002F7397">
            <w:pPr>
              <w:pStyle w:val="TableText"/>
            </w:pPr>
            <w:r w:rsidRPr="00B90B70">
              <w:t>III.iv.6.B.1.e</w:t>
            </w:r>
          </w:p>
        </w:tc>
      </w:tr>
      <w:tr w:rsidR="00631FF5" w:rsidRPr="00B90B70" w14:paraId="0C135304" w14:textId="77777777" w:rsidTr="00401FC0">
        <w:trPr>
          <w:trHeight w:val="180"/>
        </w:trPr>
        <w:tc>
          <w:tcPr>
            <w:tcW w:w="3750" w:type="pct"/>
            <w:shd w:val="clear" w:color="auto" w:fill="auto"/>
          </w:tcPr>
          <w:p w14:paraId="405302C5" w14:textId="30488879" w:rsidR="00631FF5" w:rsidRPr="00B90B70" w:rsidRDefault="00631FF5" w:rsidP="004836EA">
            <w:pPr>
              <w:pStyle w:val="TableText"/>
            </w:pPr>
            <w:r w:rsidRPr="00B90B70">
              <w:t xml:space="preserve">To remove old </w:t>
            </w:r>
            <w:r w:rsidR="004836EA" w:rsidRPr="00B90B70">
              <w:t xml:space="preserve">III.iv.6.B.2.a </w:t>
            </w:r>
            <w:r w:rsidRPr="00B90B70">
              <w:t xml:space="preserve">related to the definition of subordinate issues as this information </w:t>
            </w:r>
            <w:r w:rsidR="004836EA" w:rsidRPr="00B90B70">
              <w:t>was moved to Topic 1</w:t>
            </w:r>
            <w:r w:rsidRPr="00B90B70">
              <w:t>.</w:t>
            </w:r>
          </w:p>
        </w:tc>
        <w:tc>
          <w:tcPr>
            <w:tcW w:w="1250" w:type="pct"/>
            <w:shd w:val="clear" w:color="auto" w:fill="auto"/>
          </w:tcPr>
          <w:p w14:paraId="4B9E1EE0" w14:textId="69A854F5" w:rsidR="00631FF5" w:rsidRPr="00B90B70" w:rsidRDefault="004836EA" w:rsidP="002F7397">
            <w:pPr>
              <w:pStyle w:val="TableText"/>
            </w:pPr>
            <w:r w:rsidRPr="00B90B70">
              <w:t>--</w:t>
            </w:r>
          </w:p>
        </w:tc>
      </w:tr>
      <w:tr w:rsidR="00631FF5" w:rsidRPr="00B90B70" w14:paraId="03D81B5E" w14:textId="77777777" w:rsidTr="00401FC0">
        <w:trPr>
          <w:trHeight w:val="180"/>
        </w:trPr>
        <w:tc>
          <w:tcPr>
            <w:tcW w:w="3750" w:type="pct"/>
            <w:shd w:val="clear" w:color="auto" w:fill="auto"/>
          </w:tcPr>
          <w:p w14:paraId="1B3A8A32" w14:textId="43769DB2" w:rsidR="00631FF5" w:rsidRPr="00B90B70" w:rsidRDefault="00631FF5" w:rsidP="004836EA">
            <w:pPr>
              <w:pStyle w:val="TableText"/>
            </w:pPr>
            <w:r w:rsidRPr="00B90B70">
              <w:t xml:space="preserve">To remove old </w:t>
            </w:r>
            <w:proofErr w:type="gramStart"/>
            <w:r w:rsidR="004836EA" w:rsidRPr="00B90B70">
              <w:t xml:space="preserve">III.iv.6.B.2.b </w:t>
            </w:r>
            <w:r w:rsidRPr="00B90B70">
              <w:t xml:space="preserve"> related</w:t>
            </w:r>
            <w:proofErr w:type="gramEnd"/>
            <w:r w:rsidRPr="00B90B70">
              <w:t xml:space="preserve"> to definition of ancillary benefits as this information </w:t>
            </w:r>
            <w:r w:rsidR="004836EA" w:rsidRPr="00B90B70">
              <w:t>was moved to Topic 1</w:t>
            </w:r>
            <w:r w:rsidRPr="00B90B70">
              <w:t>.</w:t>
            </w:r>
          </w:p>
        </w:tc>
        <w:tc>
          <w:tcPr>
            <w:tcW w:w="1250" w:type="pct"/>
            <w:shd w:val="clear" w:color="auto" w:fill="auto"/>
          </w:tcPr>
          <w:p w14:paraId="2FD46FF7" w14:textId="388C8683" w:rsidR="00631FF5" w:rsidRPr="00B90B70" w:rsidRDefault="004836EA" w:rsidP="002F7397">
            <w:pPr>
              <w:pStyle w:val="TableText"/>
            </w:pPr>
            <w:r w:rsidRPr="00B90B70">
              <w:t>--</w:t>
            </w:r>
          </w:p>
        </w:tc>
      </w:tr>
      <w:tr w:rsidR="002A1D3E" w:rsidRPr="00B90B70" w14:paraId="4874C2E3" w14:textId="77777777" w:rsidTr="00401FC0">
        <w:trPr>
          <w:trHeight w:val="180"/>
        </w:trPr>
        <w:tc>
          <w:tcPr>
            <w:tcW w:w="3750" w:type="pct"/>
            <w:shd w:val="clear" w:color="auto" w:fill="auto"/>
          </w:tcPr>
          <w:p w14:paraId="2C9DB994" w14:textId="25390F97" w:rsidR="000A4084" w:rsidRPr="00B90B70" w:rsidRDefault="00C8308B" w:rsidP="00F75DB8">
            <w:pPr>
              <w:pStyle w:val="ListParagraph"/>
              <w:numPr>
                <w:ilvl w:val="0"/>
                <w:numId w:val="11"/>
              </w:numPr>
              <w:ind w:left="158" w:hanging="187"/>
            </w:pPr>
            <w:r w:rsidRPr="00B90B70">
              <w:t>To incorporate re</w:t>
            </w:r>
            <w:r w:rsidR="000A4084" w:rsidRPr="00B90B70">
              <w:t xml:space="preserve">gulatory change under 38 CFR 3.808 that allows a severe </w:t>
            </w:r>
            <w:proofErr w:type="gramStart"/>
            <w:r w:rsidR="000A4084" w:rsidRPr="00B90B70">
              <w:t>burn  injury</w:t>
            </w:r>
            <w:proofErr w:type="gramEnd"/>
            <w:r w:rsidR="000A4084" w:rsidRPr="00B90B70">
              <w:t xml:space="preserve"> to qualify for entitlement to automobile allowance and adaptive equipment</w:t>
            </w:r>
            <w:r w:rsidR="004836EA" w:rsidRPr="00B90B70">
              <w:t>.</w:t>
            </w:r>
          </w:p>
          <w:p w14:paraId="4160C846" w14:textId="0211290F" w:rsidR="00F75DB8" w:rsidRPr="00B90B70" w:rsidRDefault="00F75DB8" w:rsidP="00F75DB8">
            <w:pPr>
              <w:pStyle w:val="ListParagraph"/>
              <w:numPr>
                <w:ilvl w:val="0"/>
                <w:numId w:val="12"/>
              </w:numPr>
              <w:ind w:left="158" w:hanging="187"/>
            </w:pPr>
            <w:r w:rsidRPr="00B90B70">
              <w:t xml:space="preserve">To provide guidance on addressing Aid and Attendance (A&amp;A) </w:t>
            </w:r>
            <w:r w:rsidRPr="00B90B70">
              <w:lastRenderedPageBreak/>
              <w:t>benefits when a single 100</w:t>
            </w:r>
            <w:r w:rsidR="004836EA" w:rsidRPr="00B90B70">
              <w:t>-</w:t>
            </w:r>
            <w:r w:rsidRPr="00B90B70">
              <w:t>percent evaluation is assigned.</w:t>
            </w:r>
          </w:p>
          <w:p w14:paraId="6803BCC1" w14:textId="77777777" w:rsidR="00F75DB8" w:rsidRPr="00B90B70" w:rsidRDefault="00F75DB8" w:rsidP="00F75DB8">
            <w:pPr>
              <w:pStyle w:val="ListParagraph"/>
              <w:numPr>
                <w:ilvl w:val="0"/>
                <w:numId w:val="13"/>
              </w:numPr>
              <w:ind w:left="158" w:hanging="187"/>
            </w:pPr>
            <w:r w:rsidRPr="00B90B70">
              <w:t xml:space="preserve">To provide guidance regarding the allowance of Civilian Health and Medical Program of the Department of Veterans Affairs (CHAMPVA) and Dependents Educational Assistance (DEA) benefits if Dependency Indemnity Compensation (DIC) under 38 U.S.C. 1318 is awarded.  </w:t>
            </w:r>
          </w:p>
          <w:p w14:paraId="120B4BDF" w14:textId="726D2F8C" w:rsidR="00F75DB8" w:rsidRPr="00B90B70" w:rsidRDefault="00F75DB8" w:rsidP="00F75DB8">
            <w:pPr>
              <w:pStyle w:val="ListParagraph"/>
              <w:numPr>
                <w:ilvl w:val="0"/>
                <w:numId w:val="13"/>
              </w:numPr>
              <w:ind w:left="158" w:hanging="187"/>
            </w:pPr>
            <w:r w:rsidRPr="00B90B70">
              <w:t>To provide guidance on when to address hypertension as secondary to diabetes mellitus or diabetic nephropathy.</w:t>
            </w:r>
          </w:p>
        </w:tc>
        <w:tc>
          <w:tcPr>
            <w:tcW w:w="1250" w:type="pct"/>
            <w:shd w:val="clear" w:color="auto" w:fill="auto"/>
          </w:tcPr>
          <w:p w14:paraId="566A5612" w14:textId="3E0C62CB" w:rsidR="002A1D3E" w:rsidRPr="00B90B70" w:rsidRDefault="00631FF5" w:rsidP="002F7397">
            <w:pPr>
              <w:pStyle w:val="TableText"/>
            </w:pPr>
            <w:r w:rsidRPr="00B90B70">
              <w:lastRenderedPageBreak/>
              <w:t>III.iv.6.B.2</w:t>
            </w:r>
            <w:r w:rsidR="000A4084" w:rsidRPr="00B90B70">
              <w:t>.b</w:t>
            </w:r>
          </w:p>
        </w:tc>
      </w:tr>
      <w:tr w:rsidR="00F75DB8" w:rsidRPr="00B90B70" w14:paraId="46725024" w14:textId="77777777" w:rsidTr="00401FC0">
        <w:trPr>
          <w:trHeight w:val="180"/>
        </w:trPr>
        <w:tc>
          <w:tcPr>
            <w:tcW w:w="3750" w:type="pct"/>
            <w:shd w:val="clear" w:color="auto" w:fill="auto"/>
          </w:tcPr>
          <w:p w14:paraId="1B33D555" w14:textId="089638CB" w:rsidR="00F75DB8" w:rsidRPr="00B90B70" w:rsidRDefault="00F75DB8" w:rsidP="009D0E49">
            <w:pPr>
              <w:pStyle w:val="TableText"/>
            </w:pPr>
            <w:r w:rsidRPr="00B90B70">
              <w:lastRenderedPageBreak/>
              <w:t>To provide guidance</w:t>
            </w:r>
            <w:r w:rsidR="009D0E49" w:rsidRPr="00B90B70">
              <w:t xml:space="preserve"> on instances in which it is appropriate to submit a compensation claim to Compensation Service for extra-</w:t>
            </w:r>
            <w:proofErr w:type="spellStart"/>
            <w:r w:rsidR="009D0E49" w:rsidRPr="00B90B70">
              <w:t>schedular</w:t>
            </w:r>
            <w:proofErr w:type="spellEnd"/>
            <w:r w:rsidR="009D0E49" w:rsidRPr="00B90B70">
              <w:t xml:space="preserve"> </w:t>
            </w:r>
            <w:proofErr w:type="gramStart"/>
            <w:r w:rsidR="009D0E49" w:rsidRPr="00B90B70">
              <w:t xml:space="preserve">consideration </w:t>
            </w:r>
            <w:r w:rsidRPr="00B90B70">
              <w:t xml:space="preserve"> pursuant</w:t>
            </w:r>
            <w:proofErr w:type="gramEnd"/>
            <w:r w:rsidRPr="00B90B70">
              <w:t xml:space="preserve"> to </w:t>
            </w:r>
            <w:r w:rsidRPr="00B90B70">
              <w:rPr>
                <w:i/>
              </w:rPr>
              <w:t>Johnson v. McDonald</w:t>
            </w:r>
            <w:r w:rsidRPr="00B90B70">
              <w:t>.</w:t>
            </w:r>
          </w:p>
        </w:tc>
        <w:tc>
          <w:tcPr>
            <w:tcW w:w="1250" w:type="pct"/>
            <w:shd w:val="clear" w:color="auto" w:fill="auto"/>
          </w:tcPr>
          <w:p w14:paraId="2E8BDB8C" w14:textId="2A795D74" w:rsidR="00F75DB8" w:rsidRPr="00B90B70" w:rsidRDefault="00F75DB8" w:rsidP="00933BDB">
            <w:pPr>
              <w:pStyle w:val="TableText"/>
            </w:pPr>
            <w:r w:rsidRPr="00B90B70">
              <w:t>III.iv.6.B.4.c</w:t>
            </w:r>
          </w:p>
        </w:tc>
      </w:tr>
      <w:tr w:rsidR="009D0E49" w:rsidRPr="00B90B70" w14:paraId="1FF300E9" w14:textId="77777777" w:rsidTr="00401FC0">
        <w:trPr>
          <w:trHeight w:val="180"/>
        </w:trPr>
        <w:tc>
          <w:tcPr>
            <w:tcW w:w="3750" w:type="pct"/>
            <w:shd w:val="clear" w:color="auto" w:fill="auto"/>
          </w:tcPr>
          <w:p w14:paraId="1363D462" w14:textId="2C5BD3E8" w:rsidR="009D0E49" w:rsidRPr="00B90B70" w:rsidRDefault="009D0E49" w:rsidP="00DF7CAB">
            <w:r w:rsidRPr="00B90B70">
              <w:t>To add a new Block d with further guidance on determining the collective impact of multiple disabilities with example.</w:t>
            </w:r>
          </w:p>
        </w:tc>
        <w:tc>
          <w:tcPr>
            <w:tcW w:w="1250" w:type="pct"/>
            <w:shd w:val="clear" w:color="auto" w:fill="auto"/>
          </w:tcPr>
          <w:p w14:paraId="77D776BC" w14:textId="4876B2CD" w:rsidR="009D0E49" w:rsidRPr="00B90B70" w:rsidRDefault="009D0E49" w:rsidP="00933BDB">
            <w:pPr>
              <w:pStyle w:val="TableText"/>
            </w:pPr>
            <w:r w:rsidRPr="00B90B70">
              <w:t>III.iv.6.B.4.d</w:t>
            </w:r>
          </w:p>
        </w:tc>
      </w:tr>
      <w:tr w:rsidR="002A1D3E" w:rsidRPr="00B90B70" w14:paraId="3F5DD243" w14:textId="77777777" w:rsidTr="00401FC0">
        <w:trPr>
          <w:trHeight w:val="180"/>
        </w:trPr>
        <w:tc>
          <w:tcPr>
            <w:tcW w:w="3750" w:type="pct"/>
            <w:shd w:val="clear" w:color="auto" w:fill="auto"/>
          </w:tcPr>
          <w:p w14:paraId="122CC816" w14:textId="4F10A6F4" w:rsidR="002A1D3E" w:rsidRPr="00B90B70" w:rsidRDefault="00C8308B" w:rsidP="00A635A8">
            <w:pPr>
              <w:pStyle w:val="ListParagraph"/>
              <w:numPr>
                <w:ilvl w:val="0"/>
                <w:numId w:val="14"/>
              </w:numPr>
              <w:ind w:left="158" w:hanging="187"/>
            </w:pPr>
            <w:r w:rsidRPr="00B90B70">
              <w:t>To provide i</w:t>
            </w:r>
            <w:r w:rsidR="005207A3" w:rsidRPr="00B90B70">
              <w:t xml:space="preserve">nstruction not to solicit a claim for 1151 compensation even if evidence of record exists that may </w:t>
            </w:r>
            <w:r w:rsidR="009D0E49" w:rsidRPr="00B90B70">
              <w:t>suggest or raise the possibility that 38 U.S.C. 1151 may be applicable</w:t>
            </w:r>
            <w:r w:rsidR="005207A3" w:rsidRPr="00B90B70">
              <w:t xml:space="preserve">.  </w:t>
            </w:r>
          </w:p>
          <w:p w14:paraId="342D4848" w14:textId="77777777" w:rsidR="00F75DB8" w:rsidRPr="00B90B70" w:rsidRDefault="00F75DB8" w:rsidP="00A635A8">
            <w:pPr>
              <w:pStyle w:val="ListParagraph"/>
              <w:numPr>
                <w:ilvl w:val="0"/>
                <w:numId w:val="15"/>
              </w:numPr>
              <w:ind w:left="158" w:hanging="187"/>
            </w:pPr>
            <w:r w:rsidRPr="00B90B70">
              <w:t>To provide instruction on when 38 CFR 4.7 applies</w:t>
            </w:r>
            <w:r w:rsidR="00A635A8" w:rsidRPr="00B90B70">
              <w:t>.</w:t>
            </w:r>
          </w:p>
          <w:p w14:paraId="18DC1258" w14:textId="77777777" w:rsidR="00A635A8" w:rsidRPr="00B90B70" w:rsidRDefault="00A635A8" w:rsidP="00A635A8">
            <w:pPr>
              <w:pStyle w:val="ListParagraph"/>
              <w:numPr>
                <w:ilvl w:val="0"/>
                <w:numId w:val="16"/>
              </w:numPr>
              <w:ind w:left="158" w:hanging="187"/>
            </w:pPr>
            <w:r w:rsidRPr="00B90B70">
              <w:t>To provide guidance to evaluate a claim for a temporary total evaluation under 38 CFR 4.29 or 4.30 as part of a claim for increased evaluation for the underlying disability.</w:t>
            </w:r>
          </w:p>
          <w:p w14:paraId="5AD36F64" w14:textId="77777777" w:rsidR="00A635A8" w:rsidRPr="00B90B70" w:rsidRDefault="00A635A8" w:rsidP="00A635A8">
            <w:pPr>
              <w:pStyle w:val="ListParagraph"/>
              <w:numPr>
                <w:ilvl w:val="0"/>
                <w:numId w:val="17"/>
              </w:numPr>
              <w:ind w:left="158" w:hanging="187"/>
            </w:pPr>
            <w:r w:rsidRPr="00B90B70">
              <w:t xml:space="preserve">To provide guidance in evaluating disabilities based upon </w:t>
            </w:r>
            <w:r w:rsidRPr="00B90B70">
              <w:rPr>
                <w:i/>
              </w:rPr>
              <w:t>Tatum</w:t>
            </w:r>
            <w:r w:rsidRPr="00B90B70">
              <w:t xml:space="preserve"> and </w:t>
            </w:r>
            <w:r w:rsidRPr="00B90B70">
              <w:rPr>
                <w:i/>
              </w:rPr>
              <w:t>Camacho</w:t>
            </w:r>
            <w:r w:rsidRPr="00B90B70">
              <w:t xml:space="preserve"> case law.</w:t>
            </w:r>
          </w:p>
          <w:p w14:paraId="212D9B02" w14:textId="1E5F89AD" w:rsidR="00A50520" w:rsidRPr="00B90B70" w:rsidRDefault="00A50520" w:rsidP="00A635A8">
            <w:pPr>
              <w:pStyle w:val="ListParagraph"/>
              <w:numPr>
                <w:ilvl w:val="0"/>
                <w:numId w:val="17"/>
              </w:numPr>
              <w:ind w:left="158" w:hanging="187"/>
            </w:pPr>
            <w:r w:rsidRPr="00B90B70">
              <w:t>To add survivor applications that would require consideration of accrued benefits if a disability claim was pending at the time of death.</w:t>
            </w:r>
          </w:p>
        </w:tc>
        <w:tc>
          <w:tcPr>
            <w:tcW w:w="1250" w:type="pct"/>
            <w:shd w:val="clear" w:color="auto" w:fill="auto"/>
          </w:tcPr>
          <w:p w14:paraId="6DA072B7" w14:textId="4B2A3AA8" w:rsidR="002A1D3E" w:rsidRPr="00B90B70" w:rsidRDefault="005207A3" w:rsidP="00933BDB">
            <w:pPr>
              <w:pStyle w:val="TableText"/>
            </w:pPr>
            <w:r w:rsidRPr="00B90B70">
              <w:t>III.iv.6.B.5</w:t>
            </w:r>
            <w:r w:rsidR="00F75DB8" w:rsidRPr="00B90B70">
              <w:t xml:space="preserve">.a </w:t>
            </w:r>
          </w:p>
        </w:tc>
      </w:tr>
    </w:tbl>
    <w:p w14:paraId="13C5F04D" w14:textId="77777777" w:rsidR="00504F80" w:rsidRPr="00B90B7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90B70" w14:paraId="74FAF240" w14:textId="77777777" w:rsidTr="00237C22">
        <w:tc>
          <w:tcPr>
            <w:tcW w:w="1728" w:type="dxa"/>
          </w:tcPr>
          <w:p w14:paraId="2BA07A6A" w14:textId="77777777" w:rsidR="00504F80" w:rsidRPr="00B90B70" w:rsidRDefault="00504F80" w:rsidP="00237C22">
            <w:pPr>
              <w:pStyle w:val="Heading5"/>
              <w:rPr>
                <w:sz w:val="24"/>
              </w:rPr>
            </w:pPr>
            <w:r w:rsidRPr="00B90B70">
              <w:rPr>
                <w:sz w:val="24"/>
              </w:rPr>
              <w:t>Rescissions</w:t>
            </w:r>
          </w:p>
        </w:tc>
        <w:tc>
          <w:tcPr>
            <w:tcW w:w="7740" w:type="dxa"/>
          </w:tcPr>
          <w:p w14:paraId="4684F013" w14:textId="77777777" w:rsidR="00504F80" w:rsidRPr="00B90B70" w:rsidRDefault="00504F80" w:rsidP="00237C22">
            <w:pPr>
              <w:pStyle w:val="BlockText"/>
            </w:pPr>
            <w:r w:rsidRPr="00B90B70">
              <w:t>None</w:t>
            </w:r>
          </w:p>
        </w:tc>
      </w:tr>
    </w:tbl>
    <w:p w14:paraId="5A2C69EC" w14:textId="77777777" w:rsidR="00504F80" w:rsidRPr="00B90B70" w:rsidRDefault="00504F80" w:rsidP="00504F80">
      <w:pPr>
        <w:pStyle w:val="BlockLine"/>
      </w:pPr>
      <w:r w:rsidRPr="00B90B70">
        <w:t xml:space="preserve"> </w:t>
      </w:r>
    </w:p>
    <w:tbl>
      <w:tblPr>
        <w:tblW w:w="0" w:type="auto"/>
        <w:tblLayout w:type="fixed"/>
        <w:tblLook w:val="0000" w:firstRow="0" w:lastRow="0" w:firstColumn="0" w:lastColumn="0" w:noHBand="0" w:noVBand="0"/>
      </w:tblPr>
      <w:tblGrid>
        <w:gridCol w:w="1728"/>
        <w:gridCol w:w="7740"/>
      </w:tblGrid>
      <w:tr w:rsidR="00504F80" w:rsidRPr="00B90B70" w14:paraId="63766D16" w14:textId="77777777" w:rsidTr="00237C22">
        <w:tc>
          <w:tcPr>
            <w:tcW w:w="1728" w:type="dxa"/>
          </w:tcPr>
          <w:p w14:paraId="74E8797E" w14:textId="77777777" w:rsidR="00504F80" w:rsidRPr="00B90B70" w:rsidRDefault="00504F80" w:rsidP="00237C22">
            <w:pPr>
              <w:pStyle w:val="Heading5"/>
              <w:rPr>
                <w:sz w:val="24"/>
              </w:rPr>
            </w:pPr>
            <w:r w:rsidRPr="00B90B70">
              <w:rPr>
                <w:sz w:val="24"/>
              </w:rPr>
              <w:t>Authority</w:t>
            </w:r>
          </w:p>
        </w:tc>
        <w:tc>
          <w:tcPr>
            <w:tcW w:w="7740" w:type="dxa"/>
          </w:tcPr>
          <w:p w14:paraId="1589D328" w14:textId="77777777" w:rsidR="00504F80" w:rsidRPr="00B90B70" w:rsidRDefault="00504F80" w:rsidP="00237C22">
            <w:pPr>
              <w:pStyle w:val="BlockText"/>
            </w:pPr>
            <w:r w:rsidRPr="00B90B70">
              <w:t>By Direction of the Under Secretary for Benefits</w:t>
            </w:r>
          </w:p>
        </w:tc>
      </w:tr>
    </w:tbl>
    <w:p w14:paraId="5143D0BD" w14:textId="77777777" w:rsidR="00504F80" w:rsidRPr="00B90B70" w:rsidRDefault="00504F80" w:rsidP="00504F80">
      <w:pPr>
        <w:pStyle w:val="ContinuedOnNextPa"/>
      </w:pPr>
      <w:r w:rsidRPr="00B90B70">
        <w:t xml:space="preserve"> </w:t>
      </w:r>
    </w:p>
    <w:tbl>
      <w:tblPr>
        <w:tblW w:w="0" w:type="auto"/>
        <w:tblLayout w:type="fixed"/>
        <w:tblLook w:val="0000" w:firstRow="0" w:lastRow="0" w:firstColumn="0" w:lastColumn="0" w:noHBand="0" w:noVBand="0"/>
      </w:tblPr>
      <w:tblGrid>
        <w:gridCol w:w="1728"/>
        <w:gridCol w:w="7740"/>
      </w:tblGrid>
      <w:tr w:rsidR="00504F80" w:rsidRPr="00B90B70" w14:paraId="6F861FF6" w14:textId="77777777" w:rsidTr="00237C22">
        <w:tc>
          <w:tcPr>
            <w:tcW w:w="1728" w:type="dxa"/>
          </w:tcPr>
          <w:p w14:paraId="31ABC425" w14:textId="77777777" w:rsidR="00504F80" w:rsidRPr="00B90B70" w:rsidRDefault="00504F80" w:rsidP="00237C22">
            <w:pPr>
              <w:pStyle w:val="Heading5"/>
              <w:rPr>
                <w:sz w:val="24"/>
              </w:rPr>
            </w:pPr>
            <w:r w:rsidRPr="00B90B70">
              <w:rPr>
                <w:sz w:val="24"/>
              </w:rPr>
              <w:t>Signature</w:t>
            </w:r>
          </w:p>
        </w:tc>
        <w:tc>
          <w:tcPr>
            <w:tcW w:w="7740" w:type="dxa"/>
          </w:tcPr>
          <w:p w14:paraId="25907EFC" w14:textId="77777777" w:rsidR="00504F80" w:rsidRPr="00B90B70" w:rsidRDefault="00504F80" w:rsidP="00237C22">
            <w:pPr>
              <w:pStyle w:val="BlockText"/>
            </w:pPr>
          </w:p>
          <w:p w14:paraId="33643E39" w14:textId="77777777" w:rsidR="00504F80" w:rsidRPr="00B90B70" w:rsidRDefault="00504F80" w:rsidP="00237C22">
            <w:pPr>
              <w:pStyle w:val="MemoLine"/>
              <w:ind w:left="-18" w:right="612"/>
            </w:pPr>
          </w:p>
          <w:p w14:paraId="27B3DEC9" w14:textId="77777777" w:rsidR="00504F80" w:rsidRPr="00B90B70" w:rsidRDefault="00504F80" w:rsidP="00237C22">
            <w:pPr>
              <w:rPr>
                <w:szCs w:val="20"/>
              </w:rPr>
            </w:pPr>
            <w:r w:rsidRPr="00B90B70">
              <w:t>Thomas J. Murphy, Director</w:t>
            </w:r>
          </w:p>
          <w:p w14:paraId="3A7682D6" w14:textId="77777777" w:rsidR="00504F80" w:rsidRPr="00B90B70" w:rsidRDefault="00504F80" w:rsidP="00237C22">
            <w:pPr>
              <w:pStyle w:val="BlockText"/>
            </w:pPr>
            <w:r w:rsidRPr="00B90B70">
              <w:t>Compensation Service</w:t>
            </w:r>
          </w:p>
        </w:tc>
      </w:tr>
    </w:tbl>
    <w:p w14:paraId="07850081" w14:textId="77777777" w:rsidR="00504F80" w:rsidRPr="00B90B70" w:rsidRDefault="00504F80" w:rsidP="00504F80">
      <w:pPr>
        <w:pStyle w:val="BlockLine"/>
      </w:pPr>
      <w:r w:rsidRPr="00B90B70">
        <w:t xml:space="preserve"> </w:t>
      </w:r>
    </w:p>
    <w:tbl>
      <w:tblPr>
        <w:tblW w:w="0" w:type="auto"/>
        <w:tblLayout w:type="fixed"/>
        <w:tblLook w:val="0000" w:firstRow="0" w:lastRow="0" w:firstColumn="0" w:lastColumn="0" w:noHBand="0" w:noVBand="0"/>
      </w:tblPr>
      <w:tblGrid>
        <w:gridCol w:w="1728"/>
        <w:gridCol w:w="7740"/>
      </w:tblGrid>
      <w:tr w:rsidR="00504F80" w:rsidRPr="00B90B70" w14:paraId="183F4190" w14:textId="77777777" w:rsidTr="00237C22">
        <w:tc>
          <w:tcPr>
            <w:tcW w:w="1728" w:type="dxa"/>
          </w:tcPr>
          <w:p w14:paraId="14710A24" w14:textId="77777777" w:rsidR="00504F80" w:rsidRPr="00B90B70" w:rsidRDefault="00504F80" w:rsidP="00237C22">
            <w:pPr>
              <w:pStyle w:val="Heading5"/>
              <w:rPr>
                <w:sz w:val="24"/>
              </w:rPr>
            </w:pPr>
            <w:r w:rsidRPr="00B90B70">
              <w:rPr>
                <w:sz w:val="24"/>
              </w:rPr>
              <w:t>Distribution</w:t>
            </w:r>
          </w:p>
        </w:tc>
        <w:tc>
          <w:tcPr>
            <w:tcW w:w="7740" w:type="dxa"/>
          </w:tcPr>
          <w:p w14:paraId="4F9EC02C" w14:textId="77777777" w:rsidR="00504F80" w:rsidRPr="00B90B70" w:rsidRDefault="00504F80" w:rsidP="00237C22">
            <w:pPr>
              <w:pStyle w:val="BlockText"/>
              <w:jc w:val="center"/>
            </w:pPr>
            <w:r w:rsidRPr="00B90B70">
              <w:t>LOCAL REPRODUCTION AUTHORIZED</w:t>
            </w:r>
          </w:p>
        </w:tc>
      </w:tr>
    </w:tbl>
    <w:p w14:paraId="4DC2E22A" w14:textId="77777777" w:rsidR="00504F80" w:rsidRPr="00B90B70" w:rsidRDefault="00504F80" w:rsidP="00504F80">
      <w:pPr>
        <w:pStyle w:val="BlockLine"/>
      </w:pPr>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RgBvAG4AdABTAGUAdABGAG8AbgB0AFMAZQB0AGkAbQBpAHMAdAB5AGwAZQBzAC4AeABtAGwA
</w:fldData>
        </w:fldChar>
      </w:r>
      <w:r w:rsidRPr="00B90B70">
        <w:instrText xml:space="preserve"> ADDIN  \* MERGEFORMAT </w:instrText>
      </w:r>
      <w:r w:rsidRPr="00B90B70">
        <w:fldChar w:fldCharType="end"/>
      </w:r>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RgBvAG4AdABTAGUAdABGAG8AbgB0AFMAZQB0AEYAbwBuAHQAUwBlAHQAaQBtAGkAcwB0AHkAbABl
AHMALgB4AG0AbAA=
</w:fldData>
        </w:fldChar>
      </w:r>
      <w:r w:rsidRPr="00B90B70">
        <w:instrText xml:space="preserve"> ADDIN  \* MERGEFORMAT </w:instrText>
      </w:r>
      <w:r w:rsidRPr="00B90B70">
        <w:fldChar w:fldCharType="end"/>
      </w:r>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RgBvAG4AdABTAGUAdABGAG8AbgB0AFMAZQB0AEYAbwBuAHQAUwBlAHQARgBvAG4AdABTAGUAdABp
AG0AaQBzAHQAeQBsAGUAcwAuAHgAbQBsAA==
</w:fldData>
        </w:fldChar>
      </w:r>
      <w:r w:rsidRPr="00B90B70">
        <w:instrText xml:space="preserve"> ADDIN  \* MERGEFORMAT </w:instrText>
      </w:r>
      <w:r w:rsidRPr="00B90B70">
        <w:fldChar w:fldCharType="end"/>
      </w:r>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RgBvAG4AdABTAGUAdABGAG8AbgB0AFMAZQB0AEYAbwBuAHQAUwBlAHQARgBvAG4AdABTAGUAdABG
AG8AbgB0AFMAZQB0AGkAbQBpAHMAdAB5AGwAZQBzAC4AeABtAGwA
</w:fldData>
        </w:fldChar>
      </w:r>
      <w:r w:rsidRPr="00B90B70">
        <w:instrText xml:space="preserve"> ADDIN  \* MERGEFORMAT </w:instrText>
      </w:r>
      <w:r w:rsidRPr="00B90B70">
        <w:fldChar w:fldCharType="end"/>
      </w:r>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RgBvAG4AdABTAGUAdABGAG8AbgB0AFMAZQB0AEYAbwBuAHQAUwBlAHQARgBvAG4AdABTAGUAdABG
AG8AbgB0AFMAZQB0AEYAbwBuAHQAUwBlAHQAaQBtAGkAcwB0AHkAbABlAHMALgB4AG0AbAA=
</w:fldData>
        </w:fldChar>
      </w:r>
      <w:r w:rsidRPr="00B90B70">
        <w:instrText xml:space="preserve"> ADDIN  \* MERGEFORMAT </w:instrText>
      </w:r>
      <w:r w:rsidRPr="00B90B70">
        <w:fldChar w:fldCharType="end"/>
      </w:r>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RgBvAG4AdABTAGUAdABGAG8AbgB0AFMAZQB0AEYAbwBuAHQAUwBlAHQARgBvAG4AdABTAGUAdABG
AG8AbgB0AFMAZQB0AEYAbwBuAHQAUwBlAHQARgBvAG4AdABTAGUAdABpAG0AaQBzAHQAeQBsAGUA
cwAuAHgAbQBsAA==
</w:fldData>
        </w:fldChar>
      </w:r>
      <w:r w:rsidRPr="00B90B70">
        <w:instrText xml:space="preserve"> ADDIN  \* MERGEFORMAT </w:instrText>
      </w:r>
      <w:r w:rsidRPr="00B90B70">
        <w:fldChar w:fldCharType="end"/>
      </w:r>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RgBvAG4AdABTAGUAdABGAG8AbgB0AFMAZQB0AEYAbwBuAHQAUwBlAHQARgBvAG4AdABTAGUAdABG
AG8AbgB0AFMAZQB0AEYAbwBuAHQAUwBlAHQARgBvAG4AdABTAGUAdABGAG8AbgB0AFMAZQB0AGkA
bQBpAHMAdAB5AGwAZQBzAC4AeABtAGwA
</w:fldData>
        </w:fldChar>
      </w:r>
      <w:r w:rsidRPr="00B90B70">
        <w:instrText xml:space="preserve"> ADDIN  \* MERGEFORMAT </w:instrText>
      </w:r>
      <w:r w:rsidRPr="00B90B70">
        <w:fldChar w:fldCharType="end"/>
      </w:r>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Pr="00B90B70">
        <w:instrText xml:space="preserve"> ADDIN  \* MERGEFORMAT </w:instrText>
      </w:r>
      <w:r w:rsidRPr="00B90B70">
        <w:fldChar w:fldCharType="end"/>
      </w:r>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Pr="00B90B70">
        <w:instrText xml:space="preserve"> ADDIN  \* MERGEFORMAT </w:instrText>
      </w:r>
      <w:r w:rsidRPr="00B90B70">
        <w:fldChar w:fldCharType="end"/>
      </w:r>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Pr="00B90B70">
        <w:instrText xml:space="preserve"> ADDIN  \* MERGEFORMAT </w:instrText>
      </w:r>
      <w:r w:rsidRPr="00B90B70">
        <w:fldChar w:fldCharType="end"/>
      </w:r>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Pr="00B90B70">
        <w:instrText xml:space="preserve"> ADDIN  \* MERGEFORMAT </w:instrText>
      </w:r>
      <w:r w:rsidRPr="00B90B70">
        <w:fldChar w:fldCharType="end"/>
      </w:r>
    </w:p>
    <w:p w14:paraId="486B4F95" w14:textId="77777777" w:rsidR="007D5B97" w:rsidRDefault="00C24D50">
      <w:r w:rsidRPr="00B90B70">
        <w:fldChar w:fldCharType="begin">
          <w:fldData xml:space="preserve">RABvAGMAVABlAG0AcAAxAFYAYQByAFQAcgBhAGQAaQB0AGkAbwBuAGEAbAA=
</w:fldData>
        </w:fldChar>
      </w:r>
      <w:r w:rsidRPr="00B90B70">
        <w:instrText xml:space="preserve"> ADDIN  \* MERGEFORMAT </w:instrText>
      </w:r>
      <w:r w:rsidRPr="00B90B70">
        <w:fldChar w:fldCharType="end"/>
      </w:r>
      <w:r w:rsidRPr="00B90B70">
        <w:fldChar w:fldCharType="begin">
          <w:fldData xml:space="preserve">RgBvAG4AdABTAGUAdABpAG0AaQBzAHQAeQBsAGUAcwAuAHgAbQBsAA==
</w:fldData>
        </w:fldChar>
      </w:r>
      <w:r w:rsidRPr="00B90B70">
        <w:instrText xml:space="preserve"> ADDIN  \* MERGEFORMAT </w:instrText>
      </w:r>
      <w:r w:rsidRPr="00B90B70">
        <w:fldChar w:fldCharType="end"/>
      </w:r>
      <w:r w:rsidR="006D52FE" w:rsidRPr="00B90B70">
        <w:fldChar w:fldCharType="begin">
          <w:fldData xml:space="preserve">RABvAGMAVABlAG0AcAAxAFYAYQByAFQAcgBhAGQAaQB0AGkAbwBuAGEAbAA=
</w:fldData>
        </w:fldChar>
      </w:r>
      <w:r w:rsidR="006D52FE" w:rsidRPr="00B90B70">
        <w:instrText xml:space="preserve"> ADDIN  \* MERGEFORMAT </w:instrText>
      </w:r>
      <w:r w:rsidR="006D52FE" w:rsidRPr="00B90B70">
        <w:fldChar w:fldCharType="end"/>
      </w:r>
      <w:r w:rsidR="006D52FE" w:rsidRPr="00B90B70">
        <w:fldChar w:fldCharType="begin">
          <w:fldData xml:space="preserve">RgBvAG4AdABTAGUAdABGAG8AbgB0AFMAZQB0AGkAbQBpAHMAdAB5AGwAZQBzAC4AeABtAGwA
</w:fldData>
        </w:fldChar>
      </w:r>
      <w:r w:rsidR="006D52FE" w:rsidRPr="00B90B70">
        <w:instrText xml:space="preserve"> ADDIN  \* MERGEFORMAT </w:instrText>
      </w:r>
      <w:r w:rsidR="006D52FE" w:rsidRPr="00B90B70">
        <w:fldChar w:fldCharType="end"/>
      </w:r>
      <w:r w:rsidR="006D10E5" w:rsidRPr="00B90B70">
        <w:fldChar w:fldCharType="begin">
          <w:fldData xml:space="preserve">RABvAGMAVABlAG0AcAAxAFYAYQByAFQAcgBhAGQAaQB0AGkAbwBuAGEAbAA=
</w:fldData>
        </w:fldChar>
      </w:r>
      <w:r w:rsidR="006D10E5" w:rsidRPr="00B90B70">
        <w:instrText xml:space="preserve"> ADDIN  \* MERGEFORMAT </w:instrText>
      </w:r>
      <w:r w:rsidR="006D10E5" w:rsidRPr="00B90B70">
        <w:fldChar w:fldCharType="end"/>
      </w:r>
      <w:r w:rsidR="006D10E5" w:rsidRPr="00B90B70">
        <w:fldChar w:fldCharType="begin">
          <w:fldData xml:space="preserve">RgBvAG4AdABTAGUAdABGAG8AbgB0AFMAZQB0AEYAbwBuAHQAUwBlAHQAaQBtAGkAcwB0AHkAbABl
AHMALgB4AG0AbAA=
</w:fldData>
        </w:fldChar>
      </w:r>
      <w:r w:rsidR="006D10E5" w:rsidRPr="00B90B70">
        <w:instrText xml:space="preserve"> ADDIN  \* MERGEFORMAT </w:instrText>
      </w:r>
      <w:r w:rsidR="006D10E5" w:rsidRPr="00B90B70">
        <w:fldChar w:fldCharType="end"/>
      </w:r>
      <w:r w:rsidR="00600DC7" w:rsidRPr="00B90B70">
        <w:fldChar w:fldCharType="begin">
          <w:fldData xml:space="preserve">RABvAGMAVABlAG0AcAAxAFYAYQByAFQAcgBhAGQAaQB0AGkAbwBuAGEAbAA=
</w:fldData>
        </w:fldChar>
      </w:r>
      <w:r w:rsidR="00600DC7" w:rsidRPr="00B90B70">
        <w:instrText xml:space="preserve"> ADDIN  \* MERGEFORMAT </w:instrText>
      </w:r>
      <w:r w:rsidR="00600DC7" w:rsidRPr="00B90B70">
        <w:fldChar w:fldCharType="end"/>
      </w:r>
      <w:r w:rsidR="00600DC7" w:rsidRPr="00B90B70">
        <w:fldChar w:fldCharType="begin">
          <w:fldData xml:space="preserve">RgBvAG4AdABTAGUAdABGAG8AbgB0AFMAZQB0AEYAbwBuAHQAUwBlAHQARgBvAG4AdABTAGUAdABp
AG0AaQBzAHQAeQBsAGUAcwAuAHgAbQBsAA==
</w:fldData>
        </w:fldChar>
      </w:r>
      <w:r w:rsidR="00600DC7" w:rsidRPr="00B90B70">
        <w:instrText xml:space="preserve"> ADDIN  \* MERGEFORMAT </w:instrText>
      </w:r>
      <w:r w:rsidR="00600DC7" w:rsidRPr="00B90B70">
        <w:fldChar w:fldCharType="end"/>
      </w:r>
      <w:r w:rsidR="003F3021" w:rsidRPr="00B90B70">
        <w:fldChar w:fldCharType="begin">
          <w:fldData xml:space="preserve">RABvAGMAVABlAG0AcAAxAFYAYQByAFQAcgBhAGQAaQB0AGkAbwBuAGEAbAA=
</w:fldData>
        </w:fldChar>
      </w:r>
      <w:r w:rsidR="003F3021" w:rsidRPr="00B90B70">
        <w:instrText xml:space="preserve"> ADDIN  \* MERGEFORMAT </w:instrText>
      </w:r>
      <w:r w:rsidR="003F3021" w:rsidRPr="00B90B70">
        <w:fldChar w:fldCharType="end"/>
      </w:r>
      <w:r w:rsidR="003F3021" w:rsidRPr="00B90B70">
        <w:fldChar w:fldCharType="begin">
          <w:fldData xml:space="preserve">RgBvAG4AdABTAGUAdABpAG0AaQBzAHQAeQBsAGUAcwAuAHgAbQBsAA==
</w:fldData>
        </w:fldChar>
      </w:r>
      <w:r w:rsidR="003F3021" w:rsidRPr="00B90B70">
        <w:instrText xml:space="preserve"> ADDIN  \* MERGEFORMAT </w:instrText>
      </w:r>
      <w:r w:rsidR="003F3021" w:rsidRPr="00B90B70">
        <w:fldChar w:fldCharType="end"/>
      </w:r>
      <w:r w:rsidR="00D33A6E" w:rsidRPr="00B90B70">
        <w:fldChar w:fldCharType="begin">
          <w:fldData xml:space="preserve">RABvAGMAVABlAG0AcAAxAFYAYQByAFQAcgBhAGQAaQB0AGkAbwBuAGEAbAA=
</w:fldData>
        </w:fldChar>
      </w:r>
      <w:r w:rsidR="00D33A6E" w:rsidRPr="00B90B70">
        <w:instrText xml:space="preserve"> ADDIN  \* MERGEFORMAT </w:instrText>
      </w:r>
      <w:r w:rsidR="00D33A6E" w:rsidRPr="00B90B70">
        <w:fldChar w:fldCharType="end"/>
      </w:r>
      <w:r w:rsidR="00D33A6E" w:rsidRPr="00B90B70">
        <w:fldChar w:fldCharType="begin">
          <w:fldData xml:space="preserve">RgBvAG4AdABTAGUAdABpAG0AaQBzAHQAeQBsAGUAcwAuAHgAbQBsAA==
</w:fldData>
        </w:fldChar>
      </w:r>
      <w:r w:rsidR="00D33A6E" w:rsidRPr="00B90B70">
        <w:instrText xml:space="preserve"> ADDIN  \* MERGEFORMAT </w:instrText>
      </w:r>
      <w:r w:rsidR="00D33A6E" w:rsidRPr="00B90B70">
        <w:fldChar w:fldCharType="end"/>
      </w:r>
      <w:r w:rsidR="0055453E" w:rsidRPr="00B90B70">
        <w:fldChar w:fldCharType="begin">
          <w:fldData xml:space="preserve">RABvAGMAVABlAG0AcAAxAFYAYQByAFQAcgBhAGQAaQB0AGkAbwBuAGEAbAA=
</w:fldData>
        </w:fldChar>
      </w:r>
      <w:r w:rsidR="0055453E" w:rsidRPr="00B90B70">
        <w:instrText xml:space="preserve"> ADDIN  \* MERGEFORMAT </w:instrText>
      </w:r>
      <w:r w:rsidR="0055453E" w:rsidRPr="00B90B70">
        <w:fldChar w:fldCharType="end"/>
      </w:r>
      <w:r w:rsidR="0055453E" w:rsidRPr="00B90B70">
        <w:fldChar w:fldCharType="begin">
          <w:fldData xml:space="preserve">RgBvAG4AdABTAGUAdABpAG0AaQBzAHQAeQBsAGUAcwAuAHgAbQBsAA==
</w:fldData>
        </w:fldChar>
      </w:r>
      <w:r w:rsidR="0055453E" w:rsidRPr="00B90B70">
        <w:instrText xml:space="preserve"> ADDIN  \* MERGEFORMAT </w:instrText>
      </w:r>
      <w:r w:rsidR="0055453E" w:rsidRPr="00B90B70">
        <w:fldChar w:fldCharType="end"/>
      </w:r>
      <w:r w:rsidR="00E67135" w:rsidRPr="00B90B70">
        <w:fldChar w:fldCharType="begin">
          <w:fldData xml:space="preserve">RABvAGMAVABlAG0AcAAxAFYAYQByAFQAcgBhAGQAaQB0AGkAbwBuAGEAbAA=
</w:fldData>
        </w:fldChar>
      </w:r>
      <w:r w:rsidR="00E67135" w:rsidRPr="00B90B70">
        <w:instrText xml:space="preserve"> ADDIN  \* MERGEFORMAT </w:instrText>
      </w:r>
      <w:r w:rsidR="00E67135" w:rsidRPr="00B90B70">
        <w:fldChar w:fldCharType="end"/>
      </w:r>
      <w:r w:rsidR="00E67135" w:rsidRPr="00B90B70">
        <w:fldChar w:fldCharType="begin">
          <w:fldData xml:space="preserve">RgBvAG4AdABTAGUAdABpAG0AaQBzAHQAeQBsAGUAcwAuAHgAbQBsAA==
</w:fldData>
        </w:fldChar>
      </w:r>
      <w:r w:rsidR="00E67135" w:rsidRPr="00B90B70">
        <w:instrText xml:space="preserve"> ADDIN  \* MERGEFORMAT </w:instrText>
      </w:r>
      <w:r w:rsidR="00E67135" w:rsidRPr="00B90B70">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9B48D" w14:textId="77777777" w:rsidR="00527204" w:rsidRDefault="00527204" w:rsidP="00C765C7">
      <w:r>
        <w:separator/>
      </w:r>
    </w:p>
  </w:endnote>
  <w:endnote w:type="continuationSeparator" w:id="0">
    <w:p w14:paraId="6380444F" w14:textId="77777777" w:rsidR="00527204" w:rsidRDefault="00527204"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88C73"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0EBB3"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3A92"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B70">
      <w:rPr>
        <w:rStyle w:val="PageNumber"/>
        <w:noProof/>
      </w:rPr>
      <w:t>ii</w:t>
    </w:r>
    <w:r>
      <w:rPr>
        <w:rStyle w:val="PageNumber"/>
      </w:rPr>
      <w:fldChar w:fldCharType="end"/>
    </w:r>
  </w:p>
  <w:p w14:paraId="5B62A3A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DAC89" w14:textId="77777777" w:rsidR="00527204" w:rsidRDefault="00527204" w:rsidP="00C765C7">
      <w:r>
        <w:separator/>
      </w:r>
    </w:p>
  </w:footnote>
  <w:footnote w:type="continuationSeparator" w:id="0">
    <w:p w14:paraId="5D4106AB" w14:textId="77777777" w:rsidR="00527204" w:rsidRDefault="00527204"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C2891"/>
    <w:multiLevelType w:val="hybridMultilevel"/>
    <w:tmpl w:val="F79A6390"/>
    <w:lvl w:ilvl="0" w:tplc="200238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777D2"/>
    <w:multiLevelType w:val="hybridMultilevel"/>
    <w:tmpl w:val="1E725B3C"/>
    <w:lvl w:ilvl="0" w:tplc="200238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E7823"/>
    <w:multiLevelType w:val="hybridMultilevel"/>
    <w:tmpl w:val="3B14CE9A"/>
    <w:lvl w:ilvl="0" w:tplc="200238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47417"/>
    <w:multiLevelType w:val="hybridMultilevel"/>
    <w:tmpl w:val="C46CF3AA"/>
    <w:lvl w:ilvl="0" w:tplc="200238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7">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8">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9">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0">
    <w:nsid w:val="60317B2D"/>
    <w:multiLevelType w:val="hybridMultilevel"/>
    <w:tmpl w:val="6B029274"/>
    <w:lvl w:ilvl="0" w:tplc="200238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C106D0"/>
    <w:multiLevelType w:val="hybridMultilevel"/>
    <w:tmpl w:val="02A8292E"/>
    <w:lvl w:ilvl="0" w:tplc="200238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6">
    <w:nsid w:val="76C6508A"/>
    <w:multiLevelType w:val="hybridMultilevel"/>
    <w:tmpl w:val="FB300B9A"/>
    <w:lvl w:ilvl="0" w:tplc="200238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1"/>
  </w:num>
  <w:num w:numId="3">
    <w:abstractNumId w:val="0"/>
  </w:num>
  <w:num w:numId="4">
    <w:abstractNumId w:val="13"/>
  </w:num>
  <w:num w:numId="5">
    <w:abstractNumId w:val="8"/>
  </w:num>
  <w:num w:numId="6">
    <w:abstractNumId w:val="7"/>
  </w:num>
  <w:num w:numId="7">
    <w:abstractNumId w:val="15"/>
  </w:num>
  <w:num w:numId="8">
    <w:abstractNumId w:val="6"/>
  </w:num>
  <w:num w:numId="9">
    <w:abstractNumId w:val="5"/>
  </w:num>
  <w:num w:numId="10">
    <w:abstractNumId w:val="12"/>
  </w:num>
  <w:num w:numId="11">
    <w:abstractNumId w:val="14"/>
  </w:num>
  <w:num w:numId="12">
    <w:abstractNumId w:val="1"/>
  </w:num>
  <w:num w:numId="13">
    <w:abstractNumId w:val="2"/>
  </w:num>
  <w:num w:numId="14">
    <w:abstractNumId w:val="3"/>
  </w:num>
  <w:num w:numId="15">
    <w:abstractNumId w:val="4"/>
  </w:num>
  <w:num w:numId="16">
    <w:abstractNumId w:val="1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06A17"/>
    <w:rsid w:val="00014A89"/>
    <w:rsid w:val="000252C6"/>
    <w:rsid w:val="000256FB"/>
    <w:rsid w:val="00093228"/>
    <w:rsid w:val="000A4084"/>
    <w:rsid w:val="000A7776"/>
    <w:rsid w:val="000E320F"/>
    <w:rsid w:val="00100433"/>
    <w:rsid w:val="0010215F"/>
    <w:rsid w:val="00106EEF"/>
    <w:rsid w:val="00120103"/>
    <w:rsid w:val="00123973"/>
    <w:rsid w:val="001253ED"/>
    <w:rsid w:val="00135A8D"/>
    <w:rsid w:val="00147C45"/>
    <w:rsid w:val="00186D46"/>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8D3"/>
    <w:rsid w:val="00341981"/>
    <w:rsid w:val="00366D36"/>
    <w:rsid w:val="00386999"/>
    <w:rsid w:val="003B2927"/>
    <w:rsid w:val="003B6D27"/>
    <w:rsid w:val="003D47AF"/>
    <w:rsid w:val="003E2CA2"/>
    <w:rsid w:val="003F3021"/>
    <w:rsid w:val="003F6048"/>
    <w:rsid w:val="003F672A"/>
    <w:rsid w:val="00401EAD"/>
    <w:rsid w:val="00401FC0"/>
    <w:rsid w:val="0040351B"/>
    <w:rsid w:val="0041026E"/>
    <w:rsid w:val="00421403"/>
    <w:rsid w:val="00422836"/>
    <w:rsid w:val="00435BA5"/>
    <w:rsid w:val="00437647"/>
    <w:rsid w:val="00450FD6"/>
    <w:rsid w:val="00455EF7"/>
    <w:rsid w:val="004562CC"/>
    <w:rsid w:val="00471ECA"/>
    <w:rsid w:val="00482FA3"/>
    <w:rsid w:val="004836EA"/>
    <w:rsid w:val="0048559D"/>
    <w:rsid w:val="00494175"/>
    <w:rsid w:val="004A0832"/>
    <w:rsid w:val="004E3AF3"/>
    <w:rsid w:val="004F375E"/>
    <w:rsid w:val="00504F80"/>
    <w:rsid w:val="00506485"/>
    <w:rsid w:val="00513DA7"/>
    <w:rsid w:val="00516C82"/>
    <w:rsid w:val="005207A3"/>
    <w:rsid w:val="005238CB"/>
    <w:rsid w:val="00526F0E"/>
    <w:rsid w:val="00527204"/>
    <w:rsid w:val="0055453E"/>
    <w:rsid w:val="00594258"/>
    <w:rsid w:val="005E4363"/>
    <w:rsid w:val="00600DC7"/>
    <w:rsid w:val="0062068D"/>
    <w:rsid w:val="006317AA"/>
    <w:rsid w:val="00631FF5"/>
    <w:rsid w:val="00633119"/>
    <w:rsid w:val="006473C3"/>
    <w:rsid w:val="006708D7"/>
    <w:rsid w:val="006837E0"/>
    <w:rsid w:val="006B7262"/>
    <w:rsid w:val="006C0D51"/>
    <w:rsid w:val="006C3E5F"/>
    <w:rsid w:val="006C48FF"/>
    <w:rsid w:val="006D10E5"/>
    <w:rsid w:val="006D52FE"/>
    <w:rsid w:val="006F6D37"/>
    <w:rsid w:val="00724248"/>
    <w:rsid w:val="00732186"/>
    <w:rsid w:val="00737049"/>
    <w:rsid w:val="00767813"/>
    <w:rsid w:val="007A0C5F"/>
    <w:rsid w:val="007D5B97"/>
    <w:rsid w:val="007E5515"/>
    <w:rsid w:val="0080590C"/>
    <w:rsid w:val="008144E7"/>
    <w:rsid w:val="00822A16"/>
    <w:rsid w:val="00832D96"/>
    <w:rsid w:val="0086475B"/>
    <w:rsid w:val="00875AFA"/>
    <w:rsid w:val="0088609E"/>
    <w:rsid w:val="008B4CB5"/>
    <w:rsid w:val="008C723F"/>
    <w:rsid w:val="008D12C3"/>
    <w:rsid w:val="008D3122"/>
    <w:rsid w:val="008D458B"/>
    <w:rsid w:val="008E22CF"/>
    <w:rsid w:val="008E5824"/>
    <w:rsid w:val="008E589A"/>
    <w:rsid w:val="008F14EA"/>
    <w:rsid w:val="008F1D5B"/>
    <w:rsid w:val="00916AE6"/>
    <w:rsid w:val="00933BDB"/>
    <w:rsid w:val="00945950"/>
    <w:rsid w:val="009769CD"/>
    <w:rsid w:val="00997D98"/>
    <w:rsid w:val="009C22C8"/>
    <w:rsid w:val="009C6B2E"/>
    <w:rsid w:val="009D0E49"/>
    <w:rsid w:val="009E6E1A"/>
    <w:rsid w:val="00A2703B"/>
    <w:rsid w:val="00A315CB"/>
    <w:rsid w:val="00A3579D"/>
    <w:rsid w:val="00A50520"/>
    <w:rsid w:val="00A55356"/>
    <w:rsid w:val="00A557BB"/>
    <w:rsid w:val="00A635A8"/>
    <w:rsid w:val="00A71447"/>
    <w:rsid w:val="00A8520D"/>
    <w:rsid w:val="00AC2993"/>
    <w:rsid w:val="00AC43CF"/>
    <w:rsid w:val="00AD0EDC"/>
    <w:rsid w:val="00AF2CD6"/>
    <w:rsid w:val="00B0548B"/>
    <w:rsid w:val="00B30D2F"/>
    <w:rsid w:val="00B50AD7"/>
    <w:rsid w:val="00B64F2F"/>
    <w:rsid w:val="00B90B70"/>
    <w:rsid w:val="00B93A3C"/>
    <w:rsid w:val="00B96287"/>
    <w:rsid w:val="00BB3345"/>
    <w:rsid w:val="00BF7FE3"/>
    <w:rsid w:val="00C0404B"/>
    <w:rsid w:val="00C24D50"/>
    <w:rsid w:val="00C273AD"/>
    <w:rsid w:val="00C765C7"/>
    <w:rsid w:val="00C8308B"/>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DF7CAB"/>
    <w:rsid w:val="00E172AC"/>
    <w:rsid w:val="00E2529E"/>
    <w:rsid w:val="00E36906"/>
    <w:rsid w:val="00E648E9"/>
    <w:rsid w:val="00E67135"/>
    <w:rsid w:val="00E77596"/>
    <w:rsid w:val="00E964FD"/>
    <w:rsid w:val="00ED4D5E"/>
    <w:rsid w:val="00ED71C8"/>
    <w:rsid w:val="00F006B2"/>
    <w:rsid w:val="00F43DFA"/>
    <w:rsid w:val="00F75DB8"/>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F75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F75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b438dcf7-3998-4283-b7fc-0ec6fa8e430f"/>
    <ds:schemaRef ds:uri="http://schemas.microsoft.com/office/2006/metadata/properties"/>
  </ds:schemaRefs>
</ds:datastoreItem>
</file>

<file path=customXml/itemProps4.xml><?xml version="1.0" encoding="utf-8"?>
<ds:datastoreItem xmlns:ds="http://schemas.openxmlformats.org/officeDocument/2006/customXml" ds:itemID="{39D67FF3-FC53-4D54-93DA-1B929F27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94</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Kimberly Martin-Butler</cp:lastModifiedBy>
  <cp:revision>14</cp:revision>
  <dcterms:created xsi:type="dcterms:W3CDTF">2015-03-30T13:13:00Z</dcterms:created>
  <dcterms:modified xsi:type="dcterms:W3CDTF">2015-06-30T16:24:00Z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