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6D508" w14:textId="77777777" w:rsidR="00A60080" w:rsidRPr="00157F7C" w:rsidRDefault="00A60080">
      <w:pPr>
        <w:pStyle w:val="Heading2"/>
      </w:pPr>
      <w:proofErr w:type="gramStart"/>
      <w:r w:rsidRPr="00157F7C">
        <w:t>Section D.</w:t>
      </w:r>
      <w:proofErr w:type="gramEnd"/>
      <w:r w:rsidRPr="00157F7C">
        <w:t xml:space="preserve">  Respiratory Conditions</w:t>
      </w:r>
    </w:p>
    <w:p w14:paraId="0C46D509" w14:textId="77777777" w:rsidR="00A60080" w:rsidRPr="00157F7C" w:rsidRDefault="00A60080">
      <w:pPr>
        <w:pStyle w:val="Heading4"/>
      </w:pPr>
      <w:r w:rsidRPr="00157F7C">
        <w:fldChar w:fldCharType="begin"/>
      </w:r>
      <w:r w:rsidRPr="00157F7C">
        <w:instrText xml:space="preserve"> PRIVATE INFOTYPE="OTHER" </w:instrText>
      </w:r>
      <w:r w:rsidRPr="00157F7C">
        <w:fldChar w:fldCharType="end"/>
      </w:r>
      <w:r w:rsidRPr="00157F7C">
        <w:t>Overview</w:t>
      </w:r>
    </w:p>
    <w:p w14:paraId="0C46D50A" w14:textId="77777777" w:rsidR="00A60080" w:rsidRPr="00157F7C" w:rsidRDefault="00A60080">
      <w:pPr>
        <w:pStyle w:val="BlockLine"/>
      </w:pPr>
    </w:p>
    <w:tbl>
      <w:tblPr>
        <w:tblW w:w="0" w:type="auto"/>
        <w:tblLayout w:type="fixed"/>
        <w:tblLook w:val="0000" w:firstRow="0" w:lastRow="0" w:firstColumn="0" w:lastColumn="0" w:noHBand="0" w:noVBand="0"/>
      </w:tblPr>
      <w:tblGrid>
        <w:gridCol w:w="1728"/>
        <w:gridCol w:w="7740"/>
      </w:tblGrid>
      <w:tr w:rsidR="00A60080" w:rsidRPr="00157F7C" w14:paraId="0C46D50D" w14:textId="77777777">
        <w:trPr>
          <w:cantSplit/>
        </w:trPr>
        <w:tc>
          <w:tcPr>
            <w:tcW w:w="1728" w:type="dxa"/>
          </w:tcPr>
          <w:p w14:paraId="0C46D50B" w14:textId="77777777" w:rsidR="00A60080" w:rsidRPr="00157F7C" w:rsidRDefault="00A60080">
            <w:pPr>
              <w:pStyle w:val="Heading5"/>
            </w:pPr>
            <w:r w:rsidRPr="00157F7C">
              <w:t>In this Section</w:t>
            </w:r>
          </w:p>
        </w:tc>
        <w:tc>
          <w:tcPr>
            <w:tcW w:w="7740" w:type="dxa"/>
          </w:tcPr>
          <w:p w14:paraId="0C46D50C" w14:textId="77777777" w:rsidR="00A60080" w:rsidRPr="00157F7C" w:rsidRDefault="00A60080">
            <w:pPr>
              <w:pStyle w:val="BlockText"/>
            </w:pPr>
            <w:r w:rsidRPr="00157F7C">
              <w:t>This section contains the following topics:</w:t>
            </w:r>
          </w:p>
        </w:tc>
      </w:tr>
    </w:tbl>
    <w:p w14:paraId="0C46D50E" w14:textId="77777777" w:rsidR="00A60080" w:rsidRPr="00157F7C" w:rsidRDefault="00A60080"/>
    <w:tbl>
      <w:tblPr>
        <w:tblW w:w="0" w:type="auto"/>
        <w:tblInd w:w="1800" w:type="dxa"/>
        <w:tblLayout w:type="fixed"/>
        <w:tblCellMar>
          <w:left w:w="80" w:type="dxa"/>
          <w:right w:w="80" w:type="dxa"/>
        </w:tblCellMar>
        <w:tblLook w:val="0000" w:firstRow="0" w:lastRow="0" w:firstColumn="0" w:lastColumn="0" w:noHBand="0" w:noVBand="0"/>
      </w:tblPr>
      <w:tblGrid>
        <w:gridCol w:w="1296"/>
        <w:gridCol w:w="4968"/>
        <w:gridCol w:w="1296"/>
      </w:tblGrid>
      <w:tr w:rsidR="00A60080" w:rsidRPr="00157F7C" w14:paraId="0C46D512" w14:textId="77777777">
        <w:trPr>
          <w:cantSplit/>
        </w:trPr>
        <w:tc>
          <w:tcPr>
            <w:tcW w:w="1296" w:type="dxa"/>
            <w:tcBorders>
              <w:top w:val="single" w:sz="6" w:space="0" w:color="auto"/>
              <w:left w:val="single" w:sz="6" w:space="0" w:color="auto"/>
              <w:bottom w:val="single" w:sz="6" w:space="0" w:color="auto"/>
              <w:right w:val="single" w:sz="6" w:space="0" w:color="auto"/>
            </w:tcBorders>
          </w:tcPr>
          <w:p w14:paraId="0C46D50F" w14:textId="77777777" w:rsidR="00A60080" w:rsidRPr="00157F7C" w:rsidRDefault="00A60080">
            <w:pPr>
              <w:pStyle w:val="TableHeaderText"/>
            </w:pPr>
            <w:r w:rsidRPr="00157F7C">
              <w:t>Topic</w:t>
            </w:r>
          </w:p>
        </w:tc>
        <w:tc>
          <w:tcPr>
            <w:tcW w:w="4968" w:type="dxa"/>
            <w:tcBorders>
              <w:top w:val="single" w:sz="6" w:space="0" w:color="auto"/>
              <w:left w:val="single" w:sz="6" w:space="0" w:color="auto"/>
              <w:bottom w:val="single" w:sz="6" w:space="0" w:color="auto"/>
              <w:right w:val="single" w:sz="6" w:space="0" w:color="auto"/>
            </w:tcBorders>
          </w:tcPr>
          <w:p w14:paraId="0C46D510" w14:textId="77777777" w:rsidR="00A60080" w:rsidRPr="00157F7C" w:rsidRDefault="00A60080">
            <w:pPr>
              <w:pStyle w:val="TableHeaderText"/>
            </w:pPr>
            <w:r w:rsidRPr="00157F7C">
              <w:t>Topic Name</w:t>
            </w:r>
          </w:p>
        </w:tc>
        <w:tc>
          <w:tcPr>
            <w:tcW w:w="1296" w:type="dxa"/>
            <w:tcBorders>
              <w:top w:val="single" w:sz="6" w:space="0" w:color="auto"/>
              <w:left w:val="single" w:sz="6" w:space="0" w:color="auto"/>
              <w:bottom w:val="single" w:sz="6" w:space="0" w:color="auto"/>
              <w:right w:val="single" w:sz="6" w:space="0" w:color="auto"/>
            </w:tcBorders>
          </w:tcPr>
          <w:p w14:paraId="0C46D511" w14:textId="77777777" w:rsidR="00A60080" w:rsidRPr="00157F7C" w:rsidRDefault="00A60080">
            <w:pPr>
              <w:pStyle w:val="TableHeaderText"/>
            </w:pPr>
            <w:r w:rsidRPr="00157F7C">
              <w:t>See Page</w:t>
            </w:r>
          </w:p>
        </w:tc>
      </w:tr>
      <w:tr w:rsidR="00A60080" w:rsidRPr="00157F7C" w14:paraId="0C46D516" w14:textId="77777777">
        <w:trPr>
          <w:cantSplit/>
        </w:trPr>
        <w:tc>
          <w:tcPr>
            <w:tcW w:w="1296" w:type="dxa"/>
            <w:tcBorders>
              <w:top w:val="single" w:sz="6" w:space="0" w:color="auto"/>
              <w:left w:val="single" w:sz="6" w:space="0" w:color="auto"/>
              <w:bottom w:val="single" w:sz="6" w:space="0" w:color="auto"/>
              <w:right w:val="single" w:sz="6" w:space="0" w:color="auto"/>
            </w:tcBorders>
          </w:tcPr>
          <w:p w14:paraId="0C46D513" w14:textId="3B2C5D69" w:rsidR="00A60080" w:rsidRPr="00157F7C" w:rsidRDefault="00157F7C">
            <w:pPr>
              <w:pStyle w:val="TableText"/>
              <w:jc w:val="center"/>
            </w:pPr>
            <w:hyperlink w:anchor="Topic16" w:history="1">
              <w:r w:rsidR="00A60080" w:rsidRPr="00157F7C">
                <w:rPr>
                  <w:rStyle w:val="Hyperlink"/>
                </w:rPr>
                <w:t>16</w:t>
              </w:r>
            </w:hyperlink>
          </w:p>
        </w:tc>
        <w:tc>
          <w:tcPr>
            <w:tcW w:w="4968" w:type="dxa"/>
            <w:tcBorders>
              <w:top w:val="single" w:sz="6" w:space="0" w:color="auto"/>
              <w:left w:val="single" w:sz="6" w:space="0" w:color="auto"/>
              <w:bottom w:val="single" w:sz="6" w:space="0" w:color="auto"/>
              <w:right w:val="single" w:sz="6" w:space="0" w:color="auto"/>
            </w:tcBorders>
          </w:tcPr>
          <w:p w14:paraId="0C46D514" w14:textId="77777777" w:rsidR="00A60080" w:rsidRPr="00157F7C" w:rsidRDefault="00A60080">
            <w:pPr>
              <w:pStyle w:val="TableText"/>
            </w:pPr>
            <w:r w:rsidRPr="00157F7C">
              <w:t>General Information on Respiratory Conditions</w:t>
            </w:r>
          </w:p>
        </w:tc>
        <w:tc>
          <w:tcPr>
            <w:tcW w:w="1296" w:type="dxa"/>
            <w:tcBorders>
              <w:top w:val="single" w:sz="6" w:space="0" w:color="auto"/>
              <w:left w:val="single" w:sz="6" w:space="0" w:color="auto"/>
              <w:bottom w:val="single" w:sz="6" w:space="0" w:color="auto"/>
              <w:right w:val="single" w:sz="6" w:space="0" w:color="auto"/>
            </w:tcBorders>
          </w:tcPr>
          <w:p w14:paraId="0C46D515" w14:textId="77777777" w:rsidR="00A60080" w:rsidRPr="00157F7C" w:rsidRDefault="00A60080">
            <w:pPr>
              <w:pStyle w:val="TableText"/>
              <w:jc w:val="center"/>
            </w:pPr>
            <w:r w:rsidRPr="00157F7C">
              <w:t>4-D-2</w:t>
            </w:r>
          </w:p>
        </w:tc>
      </w:tr>
      <w:tr w:rsidR="00A60080" w:rsidRPr="00157F7C" w14:paraId="0C46D51A" w14:textId="77777777">
        <w:trPr>
          <w:cantSplit/>
        </w:trPr>
        <w:tc>
          <w:tcPr>
            <w:tcW w:w="1296" w:type="dxa"/>
            <w:tcBorders>
              <w:top w:val="single" w:sz="6" w:space="0" w:color="auto"/>
              <w:left w:val="single" w:sz="6" w:space="0" w:color="auto"/>
              <w:bottom w:val="single" w:sz="6" w:space="0" w:color="auto"/>
              <w:right w:val="single" w:sz="6" w:space="0" w:color="auto"/>
            </w:tcBorders>
          </w:tcPr>
          <w:p w14:paraId="0C46D517" w14:textId="3D7EBA16" w:rsidR="00A60080" w:rsidRPr="00157F7C" w:rsidRDefault="00157F7C">
            <w:pPr>
              <w:pStyle w:val="TableText"/>
              <w:jc w:val="center"/>
            </w:pPr>
            <w:hyperlink w:anchor="Topic17" w:history="1">
              <w:r w:rsidR="00A60080" w:rsidRPr="00157F7C">
                <w:rPr>
                  <w:rStyle w:val="Hyperlink"/>
                </w:rPr>
                <w:t>17</w:t>
              </w:r>
            </w:hyperlink>
          </w:p>
        </w:tc>
        <w:tc>
          <w:tcPr>
            <w:tcW w:w="4968" w:type="dxa"/>
            <w:tcBorders>
              <w:top w:val="single" w:sz="6" w:space="0" w:color="auto"/>
              <w:left w:val="single" w:sz="6" w:space="0" w:color="auto"/>
              <w:bottom w:val="single" w:sz="6" w:space="0" w:color="auto"/>
              <w:right w:val="single" w:sz="6" w:space="0" w:color="auto"/>
            </w:tcBorders>
          </w:tcPr>
          <w:p w14:paraId="0C46D518" w14:textId="77777777" w:rsidR="00A60080" w:rsidRPr="00157F7C" w:rsidRDefault="00A60080">
            <w:pPr>
              <w:pStyle w:val="TableText"/>
            </w:pPr>
            <w:r w:rsidRPr="00157F7C">
              <w:t>General Information on Tuberculosis</w:t>
            </w:r>
          </w:p>
        </w:tc>
        <w:tc>
          <w:tcPr>
            <w:tcW w:w="1296" w:type="dxa"/>
            <w:tcBorders>
              <w:top w:val="single" w:sz="6" w:space="0" w:color="auto"/>
              <w:left w:val="single" w:sz="6" w:space="0" w:color="auto"/>
              <w:bottom w:val="single" w:sz="6" w:space="0" w:color="auto"/>
              <w:right w:val="single" w:sz="6" w:space="0" w:color="auto"/>
            </w:tcBorders>
          </w:tcPr>
          <w:p w14:paraId="0C46D519" w14:textId="77777777" w:rsidR="00A60080" w:rsidRPr="00157F7C" w:rsidRDefault="00A60080" w:rsidP="00C83285">
            <w:pPr>
              <w:pStyle w:val="TableText"/>
              <w:jc w:val="center"/>
            </w:pPr>
            <w:r w:rsidRPr="00157F7C">
              <w:t>4-D-</w:t>
            </w:r>
            <w:r w:rsidR="00C83285" w:rsidRPr="00157F7C">
              <w:t>5</w:t>
            </w:r>
          </w:p>
        </w:tc>
      </w:tr>
      <w:tr w:rsidR="00A60080" w:rsidRPr="00157F7C" w14:paraId="0C46D51E" w14:textId="77777777">
        <w:trPr>
          <w:cantSplit/>
        </w:trPr>
        <w:tc>
          <w:tcPr>
            <w:tcW w:w="1296" w:type="dxa"/>
            <w:tcBorders>
              <w:top w:val="single" w:sz="6" w:space="0" w:color="auto"/>
              <w:left w:val="single" w:sz="6" w:space="0" w:color="auto"/>
              <w:bottom w:val="single" w:sz="6" w:space="0" w:color="auto"/>
              <w:right w:val="single" w:sz="6" w:space="0" w:color="auto"/>
            </w:tcBorders>
          </w:tcPr>
          <w:p w14:paraId="0C46D51B" w14:textId="1CD7093F" w:rsidR="00A60080" w:rsidRPr="00157F7C" w:rsidRDefault="00157F7C">
            <w:pPr>
              <w:pStyle w:val="TableText"/>
              <w:jc w:val="center"/>
            </w:pPr>
            <w:hyperlink w:anchor="Topic18" w:history="1">
              <w:r w:rsidR="00A60080" w:rsidRPr="00157F7C">
                <w:rPr>
                  <w:rStyle w:val="Hyperlink"/>
                </w:rPr>
                <w:t>18</w:t>
              </w:r>
            </w:hyperlink>
          </w:p>
        </w:tc>
        <w:tc>
          <w:tcPr>
            <w:tcW w:w="4968" w:type="dxa"/>
            <w:tcBorders>
              <w:top w:val="single" w:sz="6" w:space="0" w:color="auto"/>
              <w:left w:val="single" w:sz="6" w:space="0" w:color="auto"/>
              <w:bottom w:val="single" w:sz="6" w:space="0" w:color="auto"/>
              <w:right w:val="single" w:sz="6" w:space="0" w:color="auto"/>
            </w:tcBorders>
          </w:tcPr>
          <w:p w14:paraId="0C46D51C" w14:textId="77777777" w:rsidR="00A60080" w:rsidRPr="00157F7C" w:rsidRDefault="00A60080">
            <w:pPr>
              <w:pStyle w:val="TableText"/>
            </w:pPr>
            <w:r w:rsidRPr="00157F7C">
              <w:t>Arrested Tuberculosis</w:t>
            </w:r>
          </w:p>
        </w:tc>
        <w:tc>
          <w:tcPr>
            <w:tcW w:w="1296" w:type="dxa"/>
            <w:tcBorders>
              <w:top w:val="single" w:sz="6" w:space="0" w:color="auto"/>
              <w:left w:val="single" w:sz="6" w:space="0" w:color="auto"/>
              <w:bottom w:val="single" w:sz="6" w:space="0" w:color="auto"/>
              <w:right w:val="single" w:sz="6" w:space="0" w:color="auto"/>
            </w:tcBorders>
          </w:tcPr>
          <w:p w14:paraId="0C46D51D" w14:textId="77777777" w:rsidR="00A60080" w:rsidRPr="00157F7C" w:rsidRDefault="00A60080" w:rsidP="00C83285">
            <w:pPr>
              <w:pStyle w:val="TableText"/>
              <w:jc w:val="center"/>
            </w:pPr>
            <w:r w:rsidRPr="00157F7C">
              <w:t>4-D-</w:t>
            </w:r>
            <w:r w:rsidR="00C83285" w:rsidRPr="00157F7C">
              <w:t>8</w:t>
            </w:r>
          </w:p>
        </w:tc>
      </w:tr>
      <w:tr w:rsidR="00A60080" w:rsidRPr="00157F7C" w14:paraId="0C46D522" w14:textId="77777777">
        <w:trPr>
          <w:cantSplit/>
        </w:trPr>
        <w:tc>
          <w:tcPr>
            <w:tcW w:w="1296" w:type="dxa"/>
            <w:tcBorders>
              <w:top w:val="single" w:sz="6" w:space="0" w:color="auto"/>
              <w:left w:val="single" w:sz="6" w:space="0" w:color="auto"/>
              <w:bottom w:val="single" w:sz="6" w:space="0" w:color="auto"/>
              <w:right w:val="single" w:sz="6" w:space="0" w:color="auto"/>
            </w:tcBorders>
          </w:tcPr>
          <w:p w14:paraId="0C46D51F" w14:textId="0506BF97" w:rsidR="00A60080" w:rsidRPr="00157F7C" w:rsidRDefault="00157F7C">
            <w:pPr>
              <w:pStyle w:val="TableText"/>
              <w:jc w:val="center"/>
            </w:pPr>
            <w:hyperlink w:anchor="Topic19" w:history="1">
              <w:r w:rsidR="00A60080" w:rsidRPr="00157F7C">
                <w:rPr>
                  <w:rStyle w:val="Hyperlink"/>
                </w:rPr>
                <w:t>19</w:t>
              </w:r>
            </w:hyperlink>
          </w:p>
        </w:tc>
        <w:tc>
          <w:tcPr>
            <w:tcW w:w="4968" w:type="dxa"/>
            <w:tcBorders>
              <w:top w:val="single" w:sz="6" w:space="0" w:color="auto"/>
              <w:left w:val="single" w:sz="6" w:space="0" w:color="auto"/>
              <w:bottom w:val="single" w:sz="6" w:space="0" w:color="auto"/>
              <w:right w:val="single" w:sz="6" w:space="0" w:color="auto"/>
            </w:tcBorders>
          </w:tcPr>
          <w:p w14:paraId="0C46D520" w14:textId="77777777" w:rsidR="00A60080" w:rsidRPr="00157F7C" w:rsidRDefault="00A60080">
            <w:pPr>
              <w:pStyle w:val="TableText"/>
            </w:pPr>
            <w:r w:rsidRPr="00157F7C">
              <w:t>Exhibit 1:  Examples of Ratings for Arrested Tuberculosis</w:t>
            </w:r>
          </w:p>
        </w:tc>
        <w:tc>
          <w:tcPr>
            <w:tcW w:w="1296" w:type="dxa"/>
            <w:tcBorders>
              <w:top w:val="single" w:sz="6" w:space="0" w:color="auto"/>
              <w:left w:val="single" w:sz="6" w:space="0" w:color="auto"/>
              <w:bottom w:val="single" w:sz="6" w:space="0" w:color="auto"/>
              <w:right w:val="single" w:sz="6" w:space="0" w:color="auto"/>
            </w:tcBorders>
          </w:tcPr>
          <w:p w14:paraId="0C46D521" w14:textId="77777777" w:rsidR="00A60080" w:rsidRPr="00157F7C" w:rsidRDefault="00A60080" w:rsidP="00C83285">
            <w:pPr>
              <w:pStyle w:val="TableText"/>
              <w:jc w:val="center"/>
            </w:pPr>
            <w:r w:rsidRPr="00157F7C">
              <w:t>4-D-1</w:t>
            </w:r>
            <w:r w:rsidR="00C83285" w:rsidRPr="00157F7C">
              <w:t>1</w:t>
            </w:r>
          </w:p>
        </w:tc>
      </w:tr>
    </w:tbl>
    <w:p w14:paraId="0C46D523" w14:textId="77777777" w:rsidR="00A60080" w:rsidRPr="00157F7C" w:rsidRDefault="00A60080">
      <w:pPr>
        <w:pStyle w:val="BlockLine"/>
      </w:pPr>
    </w:p>
    <w:p w14:paraId="0C46D524" w14:textId="77777777" w:rsidR="00A60080" w:rsidRPr="00157F7C" w:rsidRDefault="00A60080">
      <w:pPr>
        <w:pStyle w:val="Heading4"/>
      </w:pPr>
      <w:bookmarkStart w:id="0" w:name="_16.__General"/>
      <w:bookmarkEnd w:id="0"/>
      <w:r w:rsidRPr="00157F7C">
        <w:br w:type="page"/>
      </w:r>
      <w:r w:rsidRPr="00157F7C">
        <w:lastRenderedPageBreak/>
        <w:t xml:space="preserve">16.  </w:t>
      </w:r>
      <w:bookmarkStart w:id="1" w:name="Topic16"/>
      <w:bookmarkEnd w:id="1"/>
      <w:r w:rsidRPr="00157F7C">
        <w:t>General Information on Respiratory Conditions</w:t>
      </w:r>
    </w:p>
    <w:p w14:paraId="0C46D525" w14:textId="77777777" w:rsidR="00A60080" w:rsidRPr="00157F7C" w:rsidRDefault="00A60080">
      <w:pPr>
        <w:pStyle w:val="BlockLine"/>
      </w:pPr>
      <w:r w:rsidRPr="00157F7C">
        <w:fldChar w:fldCharType="begin"/>
      </w:r>
      <w:r w:rsidRPr="00157F7C">
        <w:instrText xml:space="preserve"> PRIVATE INFOTYPE="OTHER" </w:instrText>
      </w:r>
      <w:r w:rsidRPr="00157F7C">
        <w:fldChar w:fldCharType="end"/>
      </w:r>
    </w:p>
    <w:tbl>
      <w:tblPr>
        <w:tblW w:w="0" w:type="auto"/>
        <w:tblLayout w:type="fixed"/>
        <w:tblLook w:val="0000" w:firstRow="0" w:lastRow="0" w:firstColumn="0" w:lastColumn="0" w:noHBand="0" w:noVBand="0"/>
      </w:tblPr>
      <w:tblGrid>
        <w:gridCol w:w="1728"/>
        <w:gridCol w:w="7740"/>
      </w:tblGrid>
      <w:tr w:rsidR="00A60080" w:rsidRPr="00157F7C" w14:paraId="0C46D530" w14:textId="77777777">
        <w:trPr>
          <w:cantSplit/>
        </w:trPr>
        <w:tc>
          <w:tcPr>
            <w:tcW w:w="1728" w:type="dxa"/>
          </w:tcPr>
          <w:p w14:paraId="0C46D526" w14:textId="77777777" w:rsidR="00A60080" w:rsidRPr="00157F7C" w:rsidRDefault="00A60080">
            <w:pPr>
              <w:pStyle w:val="Heading5"/>
            </w:pPr>
            <w:r w:rsidRPr="00157F7C">
              <w:t>Introduction</w:t>
            </w:r>
          </w:p>
        </w:tc>
        <w:tc>
          <w:tcPr>
            <w:tcW w:w="7740" w:type="dxa"/>
          </w:tcPr>
          <w:p w14:paraId="0C46D527" w14:textId="77777777" w:rsidR="00A60080" w:rsidRPr="00157F7C" w:rsidRDefault="00A60080">
            <w:pPr>
              <w:pStyle w:val="BlockText"/>
            </w:pPr>
            <w:r w:rsidRPr="00157F7C">
              <w:t>This topic contains general information about respiratory conditions, including</w:t>
            </w:r>
          </w:p>
          <w:p w14:paraId="0C46D528" w14:textId="77777777" w:rsidR="00A60080" w:rsidRPr="00157F7C" w:rsidRDefault="00A60080">
            <w:pPr>
              <w:pStyle w:val="BlockText"/>
            </w:pPr>
          </w:p>
          <w:p w14:paraId="0C46D529" w14:textId="73DFB591" w:rsidR="00A60080" w:rsidRPr="00157F7C" w:rsidRDefault="00157F7C">
            <w:pPr>
              <w:pStyle w:val="BulletText1"/>
            </w:pPr>
            <w:hyperlink w:anchor="_a.__Types" w:history="1">
              <w:r w:rsidR="00A60080" w:rsidRPr="00157F7C">
                <w:rPr>
                  <w:rStyle w:val="Hyperlink"/>
                </w:rPr>
                <w:t>the types of chronic upper air passage infections</w:t>
              </w:r>
            </w:hyperlink>
          </w:p>
          <w:p w14:paraId="0C46D52A" w14:textId="010B2BC9" w:rsidR="00A60080" w:rsidRPr="00157F7C" w:rsidRDefault="00157F7C">
            <w:pPr>
              <w:pStyle w:val="BulletText1"/>
            </w:pPr>
            <w:hyperlink w:anchor="_b.__Coexisting" w:history="1">
              <w:r w:rsidR="00A60080" w:rsidRPr="00157F7C">
                <w:rPr>
                  <w:rStyle w:val="Hyperlink"/>
                </w:rPr>
                <w:t>coexisting chronic upper air passage infections</w:t>
              </w:r>
            </w:hyperlink>
          </w:p>
          <w:p w14:paraId="0C46D52B" w14:textId="51A13CC2" w:rsidR="00A60080" w:rsidRPr="00157F7C" w:rsidRDefault="00157F7C">
            <w:pPr>
              <w:pStyle w:val="BulletText1"/>
            </w:pPr>
            <w:hyperlink w:anchor="_c.__Considering" w:history="1">
              <w:r w:rsidR="00A60080" w:rsidRPr="00157F7C">
                <w:rPr>
                  <w:rStyle w:val="Hyperlink"/>
                </w:rPr>
                <w:t>considering multiple upper respiratory tract infections</w:t>
              </w:r>
            </w:hyperlink>
          </w:p>
          <w:p w14:paraId="0C46D52C" w14:textId="600EB472" w:rsidR="00A60080" w:rsidRPr="00157F7C" w:rsidRDefault="00157F7C">
            <w:pPr>
              <w:pStyle w:val="BulletText1"/>
            </w:pPr>
            <w:hyperlink w:anchor="_d.__Considering" w:history="1">
              <w:r w:rsidR="00A60080" w:rsidRPr="00157F7C">
                <w:rPr>
                  <w:rStyle w:val="Hyperlink"/>
                </w:rPr>
                <w:t>considering lower respiratory tract infection</w:t>
              </w:r>
            </w:hyperlink>
          </w:p>
          <w:p w14:paraId="0C46D52D" w14:textId="2F2D7499" w:rsidR="00A60080" w:rsidRPr="00157F7C" w:rsidRDefault="00157F7C" w:rsidP="00B457E5">
            <w:pPr>
              <w:pStyle w:val="BulletText1"/>
            </w:pPr>
            <w:hyperlink w:anchor="_e.__Evaluating" w:history="1">
              <w:r w:rsidR="00A60080" w:rsidRPr="00157F7C">
                <w:rPr>
                  <w:rStyle w:val="Hyperlink"/>
                </w:rPr>
                <w:t>evaluating spontaneous pneumothorax</w:t>
              </w:r>
            </w:hyperlink>
          </w:p>
          <w:p w14:paraId="0C46D52E" w14:textId="2F272992" w:rsidR="00B457E5" w:rsidRPr="00157F7C" w:rsidRDefault="00157F7C" w:rsidP="00B457E5">
            <w:pPr>
              <w:pStyle w:val="BulletText1"/>
            </w:pPr>
            <w:hyperlink w:anchor="_f.__Assigning" w:history="1">
              <w:r w:rsidR="00B457E5" w:rsidRPr="00157F7C">
                <w:rPr>
                  <w:rStyle w:val="Hyperlink"/>
                </w:rPr>
                <w:t xml:space="preserve">assigning separate </w:t>
              </w:r>
              <w:proofErr w:type="spellStart"/>
              <w:r w:rsidR="00B457E5" w:rsidRPr="00157F7C">
                <w:rPr>
                  <w:rStyle w:val="Hyperlink"/>
                </w:rPr>
                <w:t>repiratory</w:t>
              </w:r>
              <w:proofErr w:type="spellEnd"/>
              <w:r w:rsidR="00B457E5" w:rsidRPr="00157F7C">
                <w:rPr>
                  <w:rStyle w:val="Hyperlink"/>
                </w:rPr>
                <w:t xml:space="preserve"> evaluations</w:t>
              </w:r>
            </w:hyperlink>
            <w:r w:rsidR="00B457E5" w:rsidRPr="00157F7C">
              <w:t xml:space="preserve">, and </w:t>
            </w:r>
          </w:p>
          <w:p w14:paraId="0C46D52F" w14:textId="5E7B8E0E" w:rsidR="00B457E5" w:rsidRPr="00157F7C" w:rsidRDefault="00157F7C" w:rsidP="00B457E5">
            <w:pPr>
              <w:pStyle w:val="BulletText1"/>
            </w:pPr>
            <w:hyperlink w:anchor="_g.__Sleep" w:history="1">
              <w:proofErr w:type="gramStart"/>
              <w:r w:rsidR="00B457E5" w:rsidRPr="00157F7C">
                <w:rPr>
                  <w:rStyle w:val="Hyperlink"/>
                </w:rPr>
                <w:t>sleep</w:t>
              </w:r>
              <w:proofErr w:type="gramEnd"/>
              <w:r w:rsidR="00B457E5" w:rsidRPr="00157F7C">
                <w:rPr>
                  <w:rStyle w:val="Hyperlink"/>
                </w:rPr>
                <w:t xml:space="preserve"> apnea and sleep studies</w:t>
              </w:r>
            </w:hyperlink>
            <w:r w:rsidR="00B457E5" w:rsidRPr="00157F7C">
              <w:t>.</w:t>
            </w:r>
          </w:p>
        </w:tc>
      </w:tr>
    </w:tbl>
    <w:p w14:paraId="0C46D531" w14:textId="77777777" w:rsidR="00A60080" w:rsidRPr="00157F7C" w:rsidRDefault="00A60080">
      <w:pPr>
        <w:pStyle w:val="BlockLine"/>
      </w:pPr>
    </w:p>
    <w:tbl>
      <w:tblPr>
        <w:tblW w:w="0" w:type="auto"/>
        <w:tblLayout w:type="fixed"/>
        <w:tblLook w:val="0000" w:firstRow="0" w:lastRow="0" w:firstColumn="0" w:lastColumn="0" w:noHBand="0" w:noVBand="0"/>
      </w:tblPr>
      <w:tblGrid>
        <w:gridCol w:w="1728"/>
        <w:gridCol w:w="7740"/>
      </w:tblGrid>
      <w:tr w:rsidR="00A60080" w:rsidRPr="00157F7C" w14:paraId="0C46D534" w14:textId="77777777">
        <w:trPr>
          <w:cantSplit/>
        </w:trPr>
        <w:tc>
          <w:tcPr>
            <w:tcW w:w="1728" w:type="dxa"/>
          </w:tcPr>
          <w:p w14:paraId="0C46D532" w14:textId="77777777" w:rsidR="00A60080" w:rsidRPr="00157F7C" w:rsidRDefault="00A60080">
            <w:pPr>
              <w:pStyle w:val="Heading5"/>
            </w:pPr>
            <w:r w:rsidRPr="00157F7C">
              <w:t>Change Date</w:t>
            </w:r>
          </w:p>
        </w:tc>
        <w:tc>
          <w:tcPr>
            <w:tcW w:w="7740" w:type="dxa"/>
          </w:tcPr>
          <w:p w14:paraId="0C46D533" w14:textId="02F322B6" w:rsidR="00A60080" w:rsidRPr="00157F7C" w:rsidRDefault="00157F7C">
            <w:pPr>
              <w:pStyle w:val="BlockText"/>
            </w:pPr>
            <w:r w:rsidRPr="00157F7C">
              <w:t>September 23, 2014</w:t>
            </w:r>
          </w:p>
        </w:tc>
      </w:tr>
    </w:tbl>
    <w:p w14:paraId="0C46D535" w14:textId="77777777" w:rsidR="00A60080" w:rsidRPr="00157F7C" w:rsidRDefault="00EB0F4F">
      <w:pPr>
        <w:pStyle w:val="BlockLine"/>
      </w:pPr>
      <w:r w:rsidRPr="00157F7C">
        <w:fldChar w:fldCharType="begin"/>
      </w:r>
      <w:r w:rsidRPr="00157F7C">
        <w:instrText xml:space="preserve"> PRIVATE INFOTYPE="CONCEPT" </w:instrText>
      </w:r>
      <w:r w:rsidRPr="00157F7C">
        <w:fldChar w:fldCharType="end"/>
      </w:r>
    </w:p>
    <w:tbl>
      <w:tblPr>
        <w:tblW w:w="0" w:type="auto"/>
        <w:tblLayout w:type="fixed"/>
        <w:tblLook w:val="0000" w:firstRow="0" w:lastRow="0" w:firstColumn="0" w:lastColumn="0" w:noHBand="0" w:noVBand="0"/>
      </w:tblPr>
      <w:tblGrid>
        <w:gridCol w:w="1728"/>
        <w:gridCol w:w="7740"/>
      </w:tblGrid>
      <w:tr w:rsidR="00A60080" w:rsidRPr="00157F7C" w14:paraId="0C46D53E" w14:textId="77777777">
        <w:trPr>
          <w:cantSplit/>
        </w:trPr>
        <w:tc>
          <w:tcPr>
            <w:tcW w:w="1728" w:type="dxa"/>
          </w:tcPr>
          <w:p w14:paraId="0C46D536" w14:textId="77777777" w:rsidR="00A60080" w:rsidRPr="00157F7C" w:rsidRDefault="00A60080">
            <w:pPr>
              <w:pStyle w:val="Heading5"/>
            </w:pPr>
            <w:bookmarkStart w:id="2" w:name="_a.__Types"/>
            <w:bookmarkEnd w:id="2"/>
            <w:proofErr w:type="gramStart"/>
            <w:r w:rsidRPr="00157F7C">
              <w:t xml:space="preserve">a.  </w:t>
            </w:r>
            <w:bookmarkStart w:id="3" w:name="a16"/>
            <w:bookmarkEnd w:id="3"/>
            <w:r w:rsidRPr="00157F7C">
              <w:t>Types</w:t>
            </w:r>
            <w:proofErr w:type="gramEnd"/>
            <w:r w:rsidRPr="00157F7C">
              <w:t xml:space="preserve"> of Chronic Upper Air Passage Infections</w:t>
            </w:r>
          </w:p>
        </w:tc>
        <w:tc>
          <w:tcPr>
            <w:tcW w:w="7740" w:type="dxa"/>
          </w:tcPr>
          <w:p w14:paraId="0C46D537" w14:textId="77777777" w:rsidR="00A60080" w:rsidRPr="00157F7C" w:rsidRDefault="00A60080">
            <w:pPr>
              <w:pStyle w:val="BlockText"/>
            </w:pPr>
            <w:r w:rsidRPr="00157F7C">
              <w:t>Chronic upper air passage infections include</w:t>
            </w:r>
          </w:p>
          <w:p w14:paraId="0C46D538" w14:textId="77777777" w:rsidR="00A60080" w:rsidRPr="00157F7C" w:rsidRDefault="00A60080">
            <w:pPr>
              <w:pStyle w:val="BlockText"/>
            </w:pPr>
          </w:p>
          <w:p w14:paraId="0C46D539" w14:textId="77777777" w:rsidR="00A60080" w:rsidRPr="00157F7C" w:rsidRDefault="00A60080">
            <w:pPr>
              <w:pStyle w:val="BulletText1"/>
            </w:pPr>
            <w:r w:rsidRPr="00157F7C">
              <w:t>chronic rhinitis</w:t>
            </w:r>
          </w:p>
          <w:p w14:paraId="0C46D53A" w14:textId="77777777" w:rsidR="00A60080" w:rsidRPr="00157F7C" w:rsidRDefault="00A60080">
            <w:pPr>
              <w:pStyle w:val="BulletText1"/>
            </w:pPr>
            <w:r w:rsidRPr="00157F7C">
              <w:t>chronic sinusitis</w:t>
            </w:r>
          </w:p>
          <w:p w14:paraId="0C46D53B" w14:textId="77777777" w:rsidR="00A60080" w:rsidRPr="00157F7C" w:rsidRDefault="00A60080">
            <w:pPr>
              <w:pStyle w:val="BulletText1"/>
            </w:pPr>
            <w:r w:rsidRPr="00157F7C">
              <w:t>chronic middle ear disease</w:t>
            </w:r>
          </w:p>
          <w:p w14:paraId="0C46D53C" w14:textId="77777777" w:rsidR="00A60080" w:rsidRPr="00157F7C" w:rsidRDefault="00A60080">
            <w:pPr>
              <w:pStyle w:val="BulletText1"/>
            </w:pPr>
            <w:r w:rsidRPr="00157F7C">
              <w:t xml:space="preserve">chronic tonsillitis, and </w:t>
            </w:r>
          </w:p>
          <w:p w14:paraId="0C46D53D" w14:textId="77777777" w:rsidR="00A60080" w:rsidRPr="00157F7C" w:rsidRDefault="00A60080">
            <w:pPr>
              <w:pStyle w:val="BulletText1"/>
            </w:pPr>
            <w:proofErr w:type="gramStart"/>
            <w:r w:rsidRPr="00157F7C">
              <w:t>chronic</w:t>
            </w:r>
            <w:proofErr w:type="gramEnd"/>
            <w:r w:rsidRPr="00157F7C">
              <w:t xml:space="preserve"> laryngitis.</w:t>
            </w:r>
          </w:p>
        </w:tc>
      </w:tr>
    </w:tbl>
    <w:p w14:paraId="0C46D53F" w14:textId="77777777" w:rsidR="00A60080" w:rsidRPr="00157F7C" w:rsidRDefault="00EB0F4F">
      <w:pPr>
        <w:pStyle w:val="BlockLine"/>
      </w:pPr>
      <w:r w:rsidRPr="00157F7C">
        <w:fldChar w:fldCharType="begin"/>
      </w:r>
      <w:r w:rsidRPr="00157F7C">
        <w:instrText xml:space="preserve"> PRIVATE INFOTYPE="PRINCIPLE" </w:instrText>
      </w:r>
      <w:r w:rsidRPr="00157F7C">
        <w:fldChar w:fldCharType="end"/>
      </w:r>
    </w:p>
    <w:tbl>
      <w:tblPr>
        <w:tblW w:w="0" w:type="auto"/>
        <w:tblLayout w:type="fixed"/>
        <w:tblLook w:val="0000" w:firstRow="0" w:lastRow="0" w:firstColumn="0" w:lastColumn="0" w:noHBand="0" w:noVBand="0"/>
      </w:tblPr>
      <w:tblGrid>
        <w:gridCol w:w="1728"/>
        <w:gridCol w:w="7740"/>
      </w:tblGrid>
      <w:tr w:rsidR="00A60080" w:rsidRPr="00157F7C" w14:paraId="0C46D542" w14:textId="77777777">
        <w:trPr>
          <w:cantSplit/>
        </w:trPr>
        <w:tc>
          <w:tcPr>
            <w:tcW w:w="1728" w:type="dxa"/>
          </w:tcPr>
          <w:p w14:paraId="0C46D540" w14:textId="77777777" w:rsidR="00A60080" w:rsidRPr="00157F7C" w:rsidRDefault="00A60080">
            <w:pPr>
              <w:pStyle w:val="Heading5"/>
            </w:pPr>
            <w:bookmarkStart w:id="4" w:name="_b.__Coexisting"/>
            <w:bookmarkEnd w:id="4"/>
            <w:proofErr w:type="gramStart"/>
            <w:r w:rsidRPr="00157F7C">
              <w:t xml:space="preserve">b.  </w:t>
            </w:r>
            <w:bookmarkStart w:id="5" w:name="b16"/>
            <w:bookmarkEnd w:id="5"/>
            <w:r w:rsidRPr="00157F7C">
              <w:t>Coexisting</w:t>
            </w:r>
            <w:proofErr w:type="gramEnd"/>
            <w:r w:rsidRPr="00157F7C">
              <w:t xml:space="preserve"> Chronic Upper Air Passage Infections</w:t>
            </w:r>
          </w:p>
        </w:tc>
        <w:tc>
          <w:tcPr>
            <w:tcW w:w="7740" w:type="dxa"/>
          </w:tcPr>
          <w:p w14:paraId="0C46D541" w14:textId="77777777" w:rsidR="00A60080" w:rsidRPr="00157F7C" w:rsidRDefault="00A60080">
            <w:pPr>
              <w:pStyle w:val="BlockText"/>
            </w:pPr>
            <w:r w:rsidRPr="00157F7C">
              <w:t>The cause of two or more coexisting chronic upper air passage infections is commonly the same infectious process.  However, if two or more chronic infections persist over a period of years, give the probability of causation by separate types of organisms due weight.</w:t>
            </w:r>
          </w:p>
        </w:tc>
      </w:tr>
    </w:tbl>
    <w:p w14:paraId="0C46D543" w14:textId="77777777" w:rsidR="00A60080" w:rsidRPr="00157F7C" w:rsidRDefault="00EB0F4F">
      <w:pPr>
        <w:pStyle w:val="BlockLine"/>
      </w:pPr>
      <w:r w:rsidRPr="00157F7C">
        <w:fldChar w:fldCharType="begin"/>
      </w:r>
      <w:r w:rsidRPr="00157F7C">
        <w:instrText xml:space="preserve"> PRIVATE INFOTYPE="PRINCIPLE" </w:instrText>
      </w:r>
      <w:r w:rsidRPr="00157F7C">
        <w:fldChar w:fldCharType="end"/>
      </w:r>
    </w:p>
    <w:tbl>
      <w:tblPr>
        <w:tblW w:w="0" w:type="auto"/>
        <w:tblLayout w:type="fixed"/>
        <w:tblLook w:val="0000" w:firstRow="0" w:lastRow="0" w:firstColumn="0" w:lastColumn="0" w:noHBand="0" w:noVBand="0"/>
      </w:tblPr>
      <w:tblGrid>
        <w:gridCol w:w="1728"/>
        <w:gridCol w:w="7740"/>
      </w:tblGrid>
      <w:tr w:rsidR="00A60080" w:rsidRPr="00157F7C" w14:paraId="0C46D548" w14:textId="77777777">
        <w:trPr>
          <w:cantSplit/>
        </w:trPr>
        <w:tc>
          <w:tcPr>
            <w:tcW w:w="1728" w:type="dxa"/>
          </w:tcPr>
          <w:p w14:paraId="0C46D544" w14:textId="77777777" w:rsidR="00A60080" w:rsidRPr="00157F7C" w:rsidRDefault="00A60080">
            <w:pPr>
              <w:pStyle w:val="Heading5"/>
            </w:pPr>
            <w:bookmarkStart w:id="6" w:name="_c.__Considering"/>
            <w:bookmarkEnd w:id="6"/>
            <w:proofErr w:type="gramStart"/>
            <w:r w:rsidRPr="00157F7C">
              <w:t>c.  Considering</w:t>
            </w:r>
            <w:proofErr w:type="gramEnd"/>
            <w:r w:rsidRPr="00157F7C">
              <w:t xml:space="preserve"> Multiple Upper Respiratory Tract Infections</w:t>
            </w:r>
          </w:p>
        </w:tc>
        <w:tc>
          <w:tcPr>
            <w:tcW w:w="7740" w:type="dxa"/>
          </w:tcPr>
          <w:p w14:paraId="0C46D545" w14:textId="77777777" w:rsidR="00A60080" w:rsidRPr="00157F7C" w:rsidRDefault="00A60080">
            <w:pPr>
              <w:pStyle w:val="BlockText"/>
            </w:pPr>
            <w:r w:rsidRPr="00157F7C">
              <w:t>If all conditions do not originate in service, there must be evidence of a fairly continuous infection in one or more parts of the upper respiratory tract to warrant service connection for other conditions first manifested after discharge.</w:t>
            </w:r>
          </w:p>
          <w:p w14:paraId="0C46D546" w14:textId="77777777" w:rsidR="00A60080" w:rsidRPr="00157F7C" w:rsidRDefault="00A60080">
            <w:pPr>
              <w:pStyle w:val="BlockText"/>
            </w:pPr>
          </w:p>
          <w:p w14:paraId="0C46D547" w14:textId="77777777" w:rsidR="00A60080" w:rsidRPr="00157F7C" w:rsidRDefault="00A60080">
            <w:pPr>
              <w:pStyle w:val="BlockText"/>
            </w:pPr>
            <w:r w:rsidRPr="00157F7C">
              <w:t>Carefully consider the character of the infection and possible intervening causes.</w:t>
            </w:r>
          </w:p>
        </w:tc>
      </w:tr>
    </w:tbl>
    <w:p w14:paraId="0C46D549" w14:textId="77777777" w:rsidR="00A60080" w:rsidRPr="00157F7C" w:rsidRDefault="00A60080">
      <w:pPr>
        <w:pStyle w:val="ContinuedOnNextPa"/>
      </w:pPr>
      <w:r w:rsidRPr="00157F7C">
        <w:t>Continued on next page</w:t>
      </w:r>
    </w:p>
    <w:p w14:paraId="0C46D54A" w14:textId="77777777" w:rsidR="00A60080" w:rsidRPr="00157F7C" w:rsidRDefault="00A60080">
      <w:pPr>
        <w:pStyle w:val="MapTitleContinued"/>
        <w:rPr>
          <w:b w:val="0"/>
          <w:sz w:val="24"/>
        </w:rPr>
      </w:pPr>
      <w:r w:rsidRPr="00157F7C">
        <w:br w:type="page"/>
      </w:r>
      <w:r w:rsidRPr="00157F7C">
        <w:lastRenderedPageBreak/>
        <w:fldChar w:fldCharType="begin"/>
      </w:r>
      <w:r w:rsidRPr="00157F7C">
        <w:instrText>styleref "Map Title"</w:instrText>
      </w:r>
      <w:r w:rsidRPr="00157F7C">
        <w:fldChar w:fldCharType="separate"/>
      </w:r>
      <w:r w:rsidR="0031250B" w:rsidRPr="00157F7C">
        <w:rPr>
          <w:noProof/>
        </w:rPr>
        <w:t>16.  General Information on Respiratory Conditions</w:t>
      </w:r>
      <w:r w:rsidRPr="00157F7C">
        <w:fldChar w:fldCharType="end"/>
      </w:r>
      <w:r w:rsidRPr="00157F7C">
        <w:t xml:space="preserve">, </w:t>
      </w:r>
      <w:r w:rsidRPr="00157F7C">
        <w:rPr>
          <w:b w:val="0"/>
          <w:sz w:val="24"/>
        </w:rPr>
        <w:t>Continued</w:t>
      </w:r>
    </w:p>
    <w:p w14:paraId="0C46D54B" w14:textId="77777777" w:rsidR="00A60080" w:rsidRPr="00157F7C" w:rsidRDefault="00EB0F4F">
      <w:pPr>
        <w:pStyle w:val="BlockLine"/>
      </w:pPr>
      <w:r w:rsidRPr="00157F7C">
        <w:fldChar w:fldCharType="begin"/>
      </w:r>
      <w:r w:rsidRPr="00157F7C">
        <w:instrText xml:space="preserve"> PRIVATE INFOTYPE="PRINCIPLE" </w:instrText>
      </w:r>
      <w:r w:rsidRPr="00157F7C">
        <w:fldChar w:fldCharType="end"/>
      </w:r>
    </w:p>
    <w:tbl>
      <w:tblPr>
        <w:tblW w:w="0" w:type="auto"/>
        <w:tblLayout w:type="fixed"/>
        <w:tblLook w:val="0000" w:firstRow="0" w:lastRow="0" w:firstColumn="0" w:lastColumn="0" w:noHBand="0" w:noVBand="0"/>
      </w:tblPr>
      <w:tblGrid>
        <w:gridCol w:w="1728"/>
        <w:gridCol w:w="7740"/>
      </w:tblGrid>
      <w:tr w:rsidR="00A60080" w:rsidRPr="00157F7C" w14:paraId="0C46D54E" w14:textId="77777777">
        <w:trPr>
          <w:cantSplit/>
        </w:trPr>
        <w:tc>
          <w:tcPr>
            <w:tcW w:w="1728" w:type="dxa"/>
          </w:tcPr>
          <w:p w14:paraId="0C46D54C" w14:textId="77777777" w:rsidR="00A60080" w:rsidRPr="00157F7C" w:rsidRDefault="00A60080">
            <w:pPr>
              <w:pStyle w:val="Heading5"/>
            </w:pPr>
            <w:bookmarkStart w:id="7" w:name="_d.__Considering"/>
            <w:bookmarkEnd w:id="7"/>
            <w:proofErr w:type="gramStart"/>
            <w:r w:rsidRPr="00157F7C">
              <w:t>d.  Considering</w:t>
            </w:r>
            <w:proofErr w:type="gramEnd"/>
            <w:r w:rsidRPr="00157F7C">
              <w:t xml:space="preserve"> Lower Respiratory Tract Infection</w:t>
            </w:r>
          </w:p>
        </w:tc>
        <w:tc>
          <w:tcPr>
            <w:tcW w:w="7740" w:type="dxa"/>
          </w:tcPr>
          <w:p w14:paraId="0C46D54D" w14:textId="77777777" w:rsidR="00A60080" w:rsidRPr="00157F7C" w:rsidRDefault="00A60080">
            <w:pPr>
              <w:pStyle w:val="BlockText"/>
            </w:pPr>
            <w:r w:rsidRPr="00157F7C">
              <w:t>There may be a close relationship between disease of the upper air passage and a subsequently developing chronic process in the lower respiratory tract, especially in the bronchi.</w:t>
            </w:r>
          </w:p>
        </w:tc>
      </w:tr>
    </w:tbl>
    <w:p w14:paraId="0C46D54F" w14:textId="77777777" w:rsidR="00A60080" w:rsidRPr="00157F7C" w:rsidRDefault="00EB0F4F">
      <w:pPr>
        <w:pStyle w:val="BlockLine"/>
      </w:pPr>
      <w:r w:rsidRPr="00157F7C">
        <w:fldChar w:fldCharType="begin"/>
      </w:r>
      <w:r w:rsidRPr="00157F7C">
        <w:instrText xml:space="preserve"> PRIVATE INFOTYPE="PRINCIPLE" </w:instrText>
      </w:r>
      <w:r w:rsidRPr="00157F7C">
        <w:fldChar w:fldCharType="end"/>
      </w:r>
    </w:p>
    <w:tbl>
      <w:tblPr>
        <w:tblW w:w="0" w:type="auto"/>
        <w:tblLayout w:type="fixed"/>
        <w:tblLook w:val="0000" w:firstRow="0" w:lastRow="0" w:firstColumn="0" w:lastColumn="0" w:noHBand="0" w:noVBand="0"/>
      </w:tblPr>
      <w:tblGrid>
        <w:gridCol w:w="1728"/>
        <w:gridCol w:w="7740"/>
      </w:tblGrid>
      <w:tr w:rsidR="00A60080" w:rsidRPr="00157F7C" w14:paraId="0C46D554" w14:textId="77777777">
        <w:trPr>
          <w:cantSplit/>
        </w:trPr>
        <w:tc>
          <w:tcPr>
            <w:tcW w:w="1728" w:type="dxa"/>
          </w:tcPr>
          <w:p w14:paraId="0C46D550" w14:textId="77777777" w:rsidR="00A60080" w:rsidRPr="00157F7C" w:rsidRDefault="00A60080">
            <w:pPr>
              <w:pStyle w:val="Heading5"/>
            </w:pPr>
            <w:bookmarkStart w:id="8" w:name="_e.__Evaluating"/>
            <w:bookmarkEnd w:id="8"/>
            <w:proofErr w:type="gramStart"/>
            <w:r w:rsidRPr="00157F7C">
              <w:t>e.  Evaluating</w:t>
            </w:r>
            <w:proofErr w:type="gramEnd"/>
            <w:r w:rsidRPr="00157F7C">
              <w:t xml:space="preserve"> Spontaneous Pneumothorax</w:t>
            </w:r>
          </w:p>
        </w:tc>
        <w:tc>
          <w:tcPr>
            <w:tcW w:w="7740" w:type="dxa"/>
          </w:tcPr>
          <w:p w14:paraId="0C46D551" w14:textId="77777777" w:rsidR="00CD7407" w:rsidRPr="00157F7C" w:rsidRDefault="00A60080" w:rsidP="00CD7407">
            <w:pPr>
              <w:pStyle w:val="BlockText"/>
            </w:pPr>
            <w:r w:rsidRPr="00157F7C">
              <w:t xml:space="preserve">Provide an evaluation of 100 percent following episodes of total spontaneous pneumothorax as of the date of hospital admission, continuing for three months from the first day of the month after hospital discharge.  </w:t>
            </w:r>
          </w:p>
          <w:p w14:paraId="0C46D552" w14:textId="77777777" w:rsidR="00CD7407" w:rsidRPr="00157F7C" w:rsidRDefault="00CD7407" w:rsidP="00CD7407">
            <w:pPr>
              <w:pStyle w:val="BlockText"/>
            </w:pPr>
          </w:p>
          <w:p w14:paraId="0C46D553" w14:textId="77777777" w:rsidR="00A60080" w:rsidRPr="00157F7C" w:rsidRDefault="00A60080" w:rsidP="00CD7407">
            <w:pPr>
              <w:pStyle w:val="BlockText"/>
            </w:pPr>
            <w:r w:rsidRPr="00157F7C">
              <w:t>Evaluate pneumothorax under diagnostic code (DC) 6843. (</w:t>
            </w:r>
            <w:hyperlink r:id="rId13" w:history="1">
              <w:r w:rsidR="00A235A9" w:rsidRPr="00157F7C">
                <w:rPr>
                  <w:rStyle w:val="Hyperlink"/>
                </w:rPr>
                <w:t xml:space="preserve">38 CFR </w:t>
              </w:r>
              <w:r w:rsidR="003F568B" w:rsidRPr="00157F7C">
                <w:rPr>
                  <w:rStyle w:val="Hyperlink"/>
                </w:rPr>
                <w:t>4</w:t>
              </w:r>
              <w:r w:rsidRPr="00157F7C">
                <w:rPr>
                  <w:rStyle w:val="Hyperlink"/>
                </w:rPr>
                <w:t>.97</w:t>
              </w:r>
            </w:hyperlink>
            <w:r w:rsidRPr="00157F7C">
              <w:t>)</w:t>
            </w:r>
          </w:p>
        </w:tc>
      </w:tr>
    </w:tbl>
    <w:p w14:paraId="0C46D555" w14:textId="77777777" w:rsidR="00A60080" w:rsidRPr="00157F7C" w:rsidRDefault="00EB0F4F" w:rsidP="005503E5">
      <w:pPr>
        <w:pStyle w:val="BlockLine"/>
      </w:pPr>
      <w:r w:rsidRPr="00157F7C">
        <w:fldChar w:fldCharType="begin"/>
      </w:r>
      <w:r w:rsidRPr="00157F7C">
        <w:instrText xml:space="preserve"> PRIVATE INFOTYPE="PRINCIPLE" </w:instrText>
      </w:r>
      <w:r w:rsidRPr="00157F7C">
        <w:fldChar w:fldCharType="end"/>
      </w:r>
    </w:p>
    <w:tbl>
      <w:tblPr>
        <w:tblW w:w="0" w:type="auto"/>
        <w:tblLayout w:type="fixed"/>
        <w:tblLook w:val="0000" w:firstRow="0" w:lastRow="0" w:firstColumn="0" w:lastColumn="0" w:noHBand="0" w:noVBand="0"/>
      </w:tblPr>
      <w:tblGrid>
        <w:gridCol w:w="1728"/>
        <w:gridCol w:w="7740"/>
      </w:tblGrid>
      <w:tr w:rsidR="005503E5" w:rsidRPr="00157F7C" w14:paraId="0C46D55F" w14:textId="77777777" w:rsidTr="005503E5">
        <w:tc>
          <w:tcPr>
            <w:tcW w:w="1728" w:type="dxa"/>
            <w:shd w:val="clear" w:color="auto" w:fill="auto"/>
          </w:tcPr>
          <w:p w14:paraId="0C46D556" w14:textId="77777777" w:rsidR="005503E5" w:rsidRPr="00157F7C" w:rsidRDefault="005503E5" w:rsidP="005503E5">
            <w:pPr>
              <w:pStyle w:val="Heading5"/>
            </w:pPr>
            <w:bookmarkStart w:id="9" w:name="_f.__Assigning"/>
            <w:bookmarkEnd w:id="9"/>
            <w:proofErr w:type="gramStart"/>
            <w:r w:rsidRPr="00157F7C">
              <w:t>f.  Assigning</w:t>
            </w:r>
            <w:proofErr w:type="gramEnd"/>
            <w:r w:rsidRPr="00157F7C">
              <w:t xml:space="preserve"> Separate </w:t>
            </w:r>
            <w:r w:rsidR="00B457E5" w:rsidRPr="00157F7C">
              <w:t>Respiratory</w:t>
            </w:r>
            <w:r w:rsidRPr="00157F7C">
              <w:t xml:space="preserve"> Evaluations</w:t>
            </w:r>
          </w:p>
        </w:tc>
        <w:tc>
          <w:tcPr>
            <w:tcW w:w="7740" w:type="dxa"/>
            <w:shd w:val="clear" w:color="auto" w:fill="auto"/>
          </w:tcPr>
          <w:p w14:paraId="0C46D557" w14:textId="11550E1B" w:rsidR="005503E5" w:rsidRPr="00157F7C" w:rsidRDefault="005503E5" w:rsidP="005503E5">
            <w:pPr>
              <w:pStyle w:val="BlockText"/>
            </w:pPr>
            <w:r w:rsidRPr="00157F7C">
              <w:t xml:space="preserve">The regulations involving the respiratory system include specific rules under </w:t>
            </w:r>
            <w:hyperlink r:id="rId14" w:history="1">
              <w:r w:rsidRPr="00157F7C">
                <w:rPr>
                  <w:rStyle w:val="Hyperlink"/>
                </w:rPr>
                <w:t>38 CFR 4.96(a)</w:t>
              </w:r>
            </w:hyperlink>
            <w:r w:rsidRPr="00157F7C">
              <w:t xml:space="preserve"> that </w:t>
            </w:r>
            <w:r w:rsidR="00B31096" w:rsidRPr="00157F7C">
              <w:t>prohibit the assignment of separate evaluations under</w:t>
            </w:r>
            <w:r w:rsidRPr="00157F7C">
              <w:t xml:space="preserve"> </w:t>
            </w:r>
            <w:proofErr w:type="spellStart"/>
            <w:r w:rsidRPr="00157F7C">
              <w:t>DC</w:t>
            </w:r>
            <w:r w:rsidR="00C83285" w:rsidRPr="00157F7C">
              <w:t>s</w:t>
            </w:r>
            <w:proofErr w:type="spellEnd"/>
            <w:r w:rsidRPr="00157F7C">
              <w:t xml:space="preserve"> 6600 through 6817 and 6822 through 6847. </w:t>
            </w:r>
            <w:r w:rsidR="00B31096" w:rsidRPr="00157F7C">
              <w:t xml:space="preserve"> </w:t>
            </w:r>
            <w:proofErr w:type="spellStart"/>
            <w:r w:rsidR="001A1204" w:rsidRPr="00157F7C">
              <w:t>Disabilties</w:t>
            </w:r>
            <w:proofErr w:type="spellEnd"/>
            <w:r w:rsidR="001A1204" w:rsidRPr="00157F7C">
              <w:t xml:space="preserve"> evaluated under</w:t>
            </w:r>
            <w:r w:rsidRPr="00157F7C">
              <w:t xml:space="preserve"> </w:t>
            </w:r>
            <w:proofErr w:type="spellStart"/>
            <w:r w:rsidRPr="00157F7C">
              <w:t>DCs</w:t>
            </w:r>
            <w:proofErr w:type="spellEnd"/>
            <w:r w:rsidRPr="00157F7C">
              <w:t xml:space="preserve"> 6819 and 6820 (malignant and benign neoplasms) </w:t>
            </w:r>
            <w:r w:rsidR="007845B0" w:rsidRPr="00157F7C">
              <w:t>are rated on residual</w:t>
            </w:r>
            <w:r w:rsidR="00C83285" w:rsidRPr="00157F7C">
              <w:t>s, including any residual disability of the respiratory system</w:t>
            </w:r>
            <w:r w:rsidR="007845B0" w:rsidRPr="00157F7C">
              <w:t xml:space="preserve">.  If these residuals are evaluated under the range of DCs noted in </w:t>
            </w:r>
            <w:hyperlink r:id="rId15" w:history="1">
              <w:r w:rsidR="007845B0" w:rsidRPr="00157F7C">
                <w:rPr>
                  <w:rStyle w:val="Hyperlink"/>
                </w:rPr>
                <w:t>4.96(a)</w:t>
              </w:r>
            </w:hyperlink>
            <w:r w:rsidR="007845B0" w:rsidRPr="00157F7C">
              <w:t xml:space="preserve">, </w:t>
            </w:r>
            <w:r w:rsidR="00C83285" w:rsidRPr="00157F7C">
              <w:t xml:space="preserve">separate evaluations </w:t>
            </w:r>
            <w:r w:rsidR="001A1204" w:rsidRPr="00157F7C">
              <w:t xml:space="preserve">for co-existing </w:t>
            </w:r>
            <w:r w:rsidR="00B267B0" w:rsidRPr="00157F7C">
              <w:t>service-connected (</w:t>
            </w:r>
            <w:r w:rsidR="001A1204" w:rsidRPr="00157F7C">
              <w:t>SC</w:t>
            </w:r>
            <w:r w:rsidR="00B267B0" w:rsidRPr="00157F7C">
              <w:t>)</w:t>
            </w:r>
            <w:r w:rsidR="001A1204" w:rsidRPr="00157F7C">
              <w:t xml:space="preserve"> disabilities </w:t>
            </w:r>
            <w:r w:rsidR="00C83285" w:rsidRPr="00157F7C">
              <w:t xml:space="preserve">under 6600 through 6817 and 6822 through 6847 </w:t>
            </w:r>
            <w:r w:rsidR="007845B0" w:rsidRPr="00157F7C">
              <w:t>are prohibited</w:t>
            </w:r>
            <w:r w:rsidRPr="00157F7C">
              <w:t>.</w:t>
            </w:r>
            <w:r w:rsidR="000127B3" w:rsidRPr="00157F7C">
              <w:t xml:space="preserve">  Under these provisions, a single rating will be assigned under the DC which reflects the predominant disability with elevation to the next higher evaluation</w:t>
            </w:r>
            <w:r w:rsidR="001A1204" w:rsidRPr="00157F7C">
              <w:t>, if warranted</w:t>
            </w:r>
            <w:r w:rsidR="000127B3" w:rsidRPr="00157F7C">
              <w:t>.</w:t>
            </w:r>
          </w:p>
          <w:p w14:paraId="0C46D558" w14:textId="77777777" w:rsidR="005503E5" w:rsidRPr="00157F7C" w:rsidRDefault="005503E5" w:rsidP="005503E5">
            <w:pPr>
              <w:pStyle w:val="BlockText"/>
            </w:pPr>
          </w:p>
          <w:p w14:paraId="0C46D559" w14:textId="77777777" w:rsidR="005503E5" w:rsidRPr="00157F7C" w:rsidRDefault="005503E5" w:rsidP="005503E5">
            <w:pPr>
              <w:pStyle w:val="BlockText"/>
            </w:pPr>
            <w:r w:rsidRPr="00157F7C">
              <w:rPr>
                <w:b/>
                <w:i/>
              </w:rPr>
              <w:t>Example</w:t>
            </w:r>
            <w:r w:rsidRPr="00157F7C">
              <w:t xml:space="preserve">:  </w:t>
            </w:r>
            <w:r w:rsidR="00B31096" w:rsidRPr="00157F7C">
              <w:t xml:space="preserve">A </w:t>
            </w:r>
            <w:r w:rsidRPr="00157F7C">
              <w:t>Veteran</w:t>
            </w:r>
            <w:r w:rsidR="00B31096" w:rsidRPr="00157F7C">
              <w:t xml:space="preserve"> who is SC</w:t>
            </w:r>
            <w:r w:rsidRPr="00157F7C">
              <w:t xml:space="preserve"> for emphysema and </w:t>
            </w:r>
            <w:r w:rsidR="00B31096" w:rsidRPr="00157F7C">
              <w:t>for a</w:t>
            </w:r>
            <w:r w:rsidRPr="00157F7C">
              <w:t xml:space="preserve"> chronic lung abscess would receive one evaluation under either DC 6603 or 6824</w:t>
            </w:r>
            <w:r w:rsidR="00B31096" w:rsidRPr="00157F7C">
              <w:t>, whichever would provide for the higher evaluation</w:t>
            </w:r>
            <w:r w:rsidRPr="00157F7C">
              <w:t xml:space="preserve">. </w:t>
            </w:r>
          </w:p>
          <w:p w14:paraId="0C46D55A" w14:textId="77777777" w:rsidR="00B31096" w:rsidRPr="00157F7C" w:rsidRDefault="00B31096" w:rsidP="005503E5">
            <w:pPr>
              <w:pStyle w:val="BlockText"/>
            </w:pPr>
          </w:p>
          <w:p w14:paraId="0C46D55B" w14:textId="4466118C" w:rsidR="00B31096" w:rsidRPr="00157F7C" w:rsidRDefault="00B31096" w:rsidP="005503E5">
            <w:pPr>
              <w:pStyle w:val="BlockText"/>
            </w:pPr>
            <w:r w:rsidRPr="00157F7C">
              <w:rPr>
                <w:b/>
                <w:i/>
              </w:rPr>
              <w:t>Note</w:t>
            </w:r>
            <w:r w:rsidRPr="00157F7C">
              <w:t xml:space="preserve">:  Note 3 under the </w:t>
            </w:r>
            <w:hyperlink r:id="rId16" w:history="1">
              <w:r w:rsidRPr="00157F7C">
                <w:rPr>
                  <w:rStyle w:val="Hyperlink"/>
                </w:rPr>
                <w:t>General Rating Formula for Restrictive Lung Disease</w:t>
              </w:r>
            </w:hyperlink>
            <w:r w:rsidRPr="00157F7C">
              <w:t>, which covers DCs 6840 through 6845, contains relevant instructions</w:t>
            </w:r>
            <w:r w:rsidR="001A1204" w:rsidRPr="00157F7C">
              <w:t xml:space="preserve"> when evaluating gunshot wounds (GSW) of Muscle Groups I to IV and XXI</w:t>
            </w:r>
            <w:r w:rsidRPr="00157F7C">
              <w:t xml:space="preserve">.  </w:t>
            </w:r>
            <w:r w:rsidR="00C83285" w:rsidRPr="00157F7C">
              <w:t xml:space="preserve">A GSW of </w:t>
            </w:r>
            <w:r w:rsidRPr="00157F7C">
              <w:t>Muscle Group XXI (</w:t>
            </w:r>
            <w:hyperlink r:id="rId17" w:history="1">
              <w:r w:rsidRPr="00157F7C">
                <w:rPr>
                  <w:rStyle w:val="Hyperlink"/>
                </w:rPr>
                <w:t>D</w:t>
              </w:r>
              <w:r w:rsidR="00C83285" w:rsidRPr="00157F7C">
                <w:rPr>
                  <w:rStyle w:val="Hyperlink"/>
                </w:rPr>
                <w:t>C</w:t>
              </w:r>
              <w:r w:rsidRPr="00157F7C">
                <w:rPr>
                  <w:rStyle w:val="Hyperlink"/>
                </w:rPr>
                <w:t xml:space="preserve"> 5321</w:t>
              </w:r>
            </w:hyperlink>
            <w:r w:rsidRPr="00157F7C">
              <w:t xml:space="preserve">) </w:t>
            </w:r>
            <w:proofErr w:type="gramStart"/>
            <w:r w:rsidRPr="00157F7C">
              <w:t xml:space="preserve">will not be separately </w:t>
            </w:r>
            <w:r w:rsidR="00C83285" w:rsidRPr="00157F7C">
              <w:t>evaluated</w:t>
            </w:r>
            <w:proofErr w:type="gramEnd"/>
            <w:r w:rsidRPr="00157F7C">
              <w:t xml:space="preserve"> </w:t>
            </w:r>
            <w:r w:rsidR="00077DE0" w:rsidRPr="00157F7C">
              <w:t>from</w:t>
            </w:r>
            <w:r w:rsidRPr="00157F7C">
              <w:t xml:space="preserve"> the respiratory disability</w:t>
            </w:r>
            <w:r w:rsidR="00077DE0" w:rsidRPr="00157F7C">
              <w:t xml:space="preserve"> under restrictive lung disease criteria</w:t>
            </w:r>
            <w:r w:rsidRPr="00157F7C">
              <w:t>.</w:t>
            </w:r>
            <w:r w:rsidR="00077DE0" w:rsidRPr="00157F7C">
              <w:t xml:space="preserve">  Assign a single evaluation for injury to M</w:t>
            </w:r>
            <w:r w:rsidR="00C03561" w:rsidRPr="00157F7C">
              <w:t xml:space="preserve">uscle </w:t>
            </w:r>
            <w:r w:rsidR="00077DE0" w:rsidRPr="00157F7C">
              <w:t>G</w:t>
            </w:r>
            <w:r w:rsidR="00C03561" w:rsidRPr="00157F7C">
              <w:t>roup</w:t>
            </w:r>
            <w:r w:rsidR="00077DE0" w:rsidRPr="00157F7C">
              <w:t xml:space="preserve"> XXI and any restrictive lung disease.</w:t>
            </w:r>
          </w:p>
          <w:p w14:paraId="0C46D55C" w14:textId="77777777" w:rsidR="005503E5" w:rsidRPr="00157F7C" w:rsidRDefault="005503E5" w:rsidP="003E4976">
            <w:pPr>
              <w:pStyle w:val="BlockText"/>
            </w:pPr>
            <w:r w:rsidRPr="00157F7C">
              <w:br/>
            </w:r>
            <w:r w:rsidRPr="00157F7C">
              <w:rPr>
                <w:b/>
                <w:i/>
              </w:rPr>
              <w:t>References</w:t>
            </w:r>
            <w:r w:rsidRPr="00157F7C">
              <w:t xml:space="preserve">:  </w:t>
            </w:r>
            <w:r w:rsidR="003E4976" w:rsidRPr="00157F7C">
              <w:t xml:space="preserve">For more information on pyramiding, see </w:t>
            </w:r>
          </w:p>
          <w:p w14:paraId="0C46D55D" w14:textId="77777777" w:rsidR="003E4976" w:rsidRPr="00157F7C" w:rsidRDefault="00157F7C" w:rsidP="003E4976">
            <w:pPr>
              <w:pStyle w:val="BulletText1"/>
            </w:pPr>
            <w:hyperlink r:id="rId18" w:history="1">
              <w:r w:rsidR="003E4976" w:rsidRPr="00157F7C">
                <w:rPr>
                  <w:rStyle w:val="Hyperlink"/>
                </w:rPr>
                <w:t>38 CFR 4.14</w:t>
              </w:r>
            </w:hyperlink>
            <w:r w:rsidR="003E4976" w:rsidRPr="00157F7C">
              <w:t xml:space="preserve">, and </w:t>
            </w:r>
          </w:p>
          <w:p w14:paraId="0C46D55E" w14:textId="77777777" w:rsidR="003E4976" w:rsidRPr="00157F7C" w:rsidRDefault="00157F7C" w:rsidP="003E4976">
            <w:pPr>
              <w:pStyle w:val="BulletText1"/>
            </w:pPr>
            <w:hyperlink r:id="rId19" w:anchor="bme" w:history="1">
              <w:r w:rsidR="003E4976" w:rsidRPr="00157F7C">
                <w:rPr>
                  <w:rStyle w:val="Hyperlink"/>
                  <w:i/>
                </w:rPr>
                <w:t>Esteban v. Brown</w:t>
              </w:r>
            </w:hyperlink>
            <w:r w:rsidR="003E4976" w:rsidRPr="00157F7C">
              <w:t xml:space="preserve">, 6 </w:t>
            </w:r>
            <w:proofErr w:type="spellStart"/>
            <w:r w:rsidR="003E4976" w:rsidRPr="00157F7C">
              <w:t>Vet.App</w:t>
            </w:r>
            <w:proofErr w:type="spellEnd"/>
            <w:proofErr w:type="gramStart"/>
            <w:r w:rsidR="003E4976" w:rsidRPr="00157F7C">
              <w:t xml:space="preserve">. </w:t>
            </w:r>
            <w:proofErr w:type="gramEnd"/>
            <w:r w:rsidR="003E4976" w:rsidRPr="00157F7C">
              <w:t>259 (1994)</w:t>
            </w:r>
          </w:p>
        </w:tc>
      </w:tr>
    </w:tbl>
    <w:p w14:paraId="0C46D560" w14:textId="77777777" w:rsidR="005503E5" w:rsidRPr="00157F7C" w:rsidRDefault="00EB0F4F" w:rsidP="00EB0F4F">
      <w:pPr>
        <w:pStyle w:val="ContinuedOnNextPa"/>
      </w:pPr>
      <w:r w:rsidRPr="00157F7C">
        <w:t>Continued on next page</w:t>
      </w:r>
    </w:p>
    <w:p w14:paraId="0C46D561" w14:textId="77777777" w:rsidR="00EB0F4F" w:rsidRPr="00157F7C" w:rsidRDefault="00EB0F4F">
      <w:r w:rsidRPr="00157F7C">
        <w:br w:type="page"/>
      </w:r>
    </w:p>
    <w:p w14:paraId="0C46D562" w14:textId="77777777" w:rsidR="00EB0F4F" w:rsidRPr="00157F7C" w:rsidRDefault="00157F7C" w:rsidP="00EB0F4F">
      <w:pPr>
        <w:pStyle w:val="MapTitleContinued"/>
        <w:rPr>
          <w:b w:val="0"/>
          <w:sz w:val="24"/>
        </w:rPr>
      </w:pPr>
      <w:r w:rsidRPr="00157F7C">
        <w:lastRenderedPageBreak/>
        <w:fldChar w:fldCharType="begin"/>
      </w:r>
      <w:r w:rsidRPr="00157F7C">
        <w:instrText xml:space="preserve"> STYLEREF "Map Title" </w:instrText>
      </w:r>
      <w:r w:rsidRPr="00157F7C">
        <w:fldChar w:fldCharType="separate"/>
      </w:r>
      <w:r w:rsidR="00EB0F4F" w:rsidRPr="00157F7C">
        <w:rPr>
          <w:noProof/>
        </w:rPr>
        <w:t>16.  General Information on Respiratory Conditions</w:t>
      </w:r>
      <w:r w:rsidRPr="00157F7C">
        <w:rPr>
          <w:noProof/>
        </w:rPr>
        <w:fldChar w:fldCharType="end"/>
      </w:r>
      <w:r w:rsidR="00EB0F4F" w:rsidRPr="00157F7C">
        <w:t xml:space="preserve">, </w:t>
      </w:r>
      <w:r w:rsidR="00EB0F4F" w:rsidRPr="00157F7C">
        <w:rPr>
          <w:b w:val="0"/>
          <w:sz w:val="24"/>
        </w:rPr>
        <w:t>Continued</w:t>
      </w:r>
    </w:p>
    <w:p w14:paraId="0C46D563" w14:textId="77777777" w:rsidR="00EB0F4F" w:rsidRPr="00157F7C" w:rsidRDefault="00EB0F4F" w:rsidP="00EB0F4F">
      <w:pPr>
        <w:pStyle w:val="BlockLine"/>
      </w:pPr>
      <w:r w:rsidRPr="00157F7C">
        <w:fldChar w:fldCharType="begin"/>
      </w:r>
      <w:r w:rsidRPr="00157F7C">
        <w:instrText xml:space="preserve"> PRIVATE INFOTYPE="PRINCIPLE" </w:instrText>
      </w:r>
      <w:r w:rsidRPr="00157F7C">
        <w:fldChar w:fldCharType="end"/>
      </w:r>
    </w:p>
    <w:tbl>
      <w:tblPr>
        <w:tblW w:w="0" w:type="auto"/>
        <w:tblLayout w:type="fixed"/>
        <w:tblLook w:val="0000" w:firstRow="0" w:lastRow="0" w:firstColumn="0" w:lastColumn="0" w:noHBand="0" w:noVBand="0"/>
      </w:tblPr>
      <w:tblGrid>
        <w:gridCol w:w="1728"/>
        <w:gridCol w:w="7740"/>
      </w:tblGrid>
      <w:tr w:rsidR="00147BA1" w:rsidRPr="00157F7C" w14:paraId="0C46D56A" w14:textId="77777777" w:rsidTr="00147BA1">
        <w:tc>
          <w:tcPr>
            <w:tcW w:w="1728" w:type="dxa"/>
            <w:shd w:val="clear" w:color="auto" w:fill="auto"/>
          </w:tcPr>
          <w:p w14:paraId="0C46D564" w14:textId="77777777" w:rsidR="00147BA1" w:rsidRPr="00157F7C" w:rsidRDefault="00147BA1" w:rsidP="00147BA1">
            <w:pPr>
              <w:pStyle w:val="Heading5"/>
            </w:pPr>
            <w:bookmarkStart w:id="10" w:name="_g.__Sleep"/>
            <w:bookmarkEnd w:id="10"/>
            <w:proofErr w:type="gramStart"/>
            <w:r w:rsidRPr="00157F7C">
              <w:t>g.  Sleep</w:t>
            </w:r>
            <w:proofErr w:type="gramEnd"/>
            <w:r w:rsidRPr="00157F7C">
              <w:t xml:space="preserve"> Apnea and Sleep Studies</w:t>
            </w:r>
          </w:p>
        </w:tc>
        <w:tc>
          <w:tcPr>
            <w:tcW w:w="7740" w:type="dxa"/>
            <w:shd w:val="clear" w:color="auto" w:fill="auto"/>
          </w:tcPr>
          <w:p w14:paraId="0C46D565" w14:textId="77777777" w:rsidR="002506DE" w:rsidRPr="00157F7C" w:rsidRDefault="002506DE" w:rsidP="002506DE">
            <w:pPr>
              <w:pStyle w:val="BlockText"/>
            </w:pPr>
            <w:r w:rsidRPr="00157F7C">
              <w:t xml:space="preserve">The diagnosis of sleep apnea must be confirmed by sleep study for compensation rating purposes.  Receipt of medical evidence disclosing a diagnosis of sleep apnea without confirmation by a sleep study is sufficient to trigger the duty to assist for scheduling an examination if the other provisions of </w:t>
            </w:r>
            <w:hyperlink r:id="rId20" w:history="1">
              <w:r w:rsidRPr="00157F7C">
                <w:rPr>
                  <w:rStyle w:val="Hyperlink"/>
                </w:rPr>
                <w:t>38 CFR 3.159(c)(4)</w:t>
              </w:r>
            </w:hyperlink>
            <w:r w:rsidRPr="00157F7C">
              <w:t xml:space="preserve"> have been satisfied.</w:t>
            </w:r>
          </w:p>
          <w:p w14:paraId="5E4450D2" w14:textId="77777777" w:rsidR="00EF327A" w:rsidRPr="00157F7C" w:rsidRDefault="00EF327A" w:rsidP="002506DE">
            <w:pPr>
              <w:pStyle w:val="BlockText"/>
            </w:pPr>
          </w:p>
          <w:p w14:paraId="0C46D566" w14:textId="37ED0EE6" w:rsidR="002506DE" w:rsidRPr="00157F7C" w:rsidRDefault="00EF327A" w:rsidP="002506DE">
            <w:pPr>
              <w:pStyle w:val="BlockText"/>
            </w:pPr>
            <w:r w:rsidRPr="00157F7C">
              <w:t xml:space="preserve">A home sleep study is only accepted if it has been clinically determined that the Veteran can be appropriately evaluated by a home sleep study.  </w:t>
            </w:r>
            <w:proofErr w:type="gramStart"/>
            <w:r w:rsidRPr="00157F7C">
              <w:t>The study’s results must be evaluated by a competent medical provider</w:t>
            </w:r>
            <w:proofErr w:type="gramEnd"/>
            <w:r w:rsidRPr="00157F7C">
              <w:t xml:space="preserve">. </w:t>
            </w:r>
          </w:p>
          <w:p w14:paraId="7DDD74EE" w14:textId="77777777" w:rsidR="00EF327A" w:rsidRPr="00157F7C" w:rsidRDefault="00EF327A" w:rsidP="002506DE">
            <w:pPr>
              <w:pStyle w:val="BlockText"/>
            </w:pPr>
          </w:p>
          <w:p w14:paraId="0C46D569" w14:textId="1ABBFE54" w:rsidR="00147BA1" w:rsidRPr="00157F7C" w:rsidRDefault="002506DE" w:rsidP="00EF327A">
            <w:pPr>
              <w:pStyle w:val="BlockText"/>
            </w:pPr>
            <w:r w:rsidRPr="00157F7C">
              <w:rPr>
                <w:b/>
                <w:i/>
              </w:rPr>
              <w:t>Important</w:t>
            </w:r>
            <w:r w:rsidRPr="00157F7C">
              <w:t>:  If service connection for sleep apnea has already been established without confirmation by a sleep study, an examination with sleep study should be conducted to clinically confirm the diagnosis of sleep apnea.  Such development is not necessary if the grant of service connection has been in effect for 10 years or more</w:t>
            </w:r>
            <w:r w:rsidR="00B267B0" w:rsidRPr="00157F7C">
              <w:t xml:space="preserve"> under</w:t>
            </w:r>
            <w:r w:rsidRPr="00157F7C">
              <w:t xml:space="preserve"> </w:t>
            </w:r>
            <w:hyperlink r:id="rId21" w:history="1">
              <w:r w:rsidRPr="00157F7C">
                <w:rPr>
                  <w:rStyle w:val="Hyperlink"/>
                </w:rPr>
                <w:t xml:space="preserve">38 </w:t>
              </w:r>
              <w:proofErr w:type="spellStart"/>
              <w:r w:rsidRPr="00157F7C">
                <w:rPr>
                  <w:rStyle w:val="Hyperlink"/>
                </w:rPr>
                <w:t>U.S.C</w:t>
              </w:r>
              <w:proofErr w:type="spellEnd"/>
              <w:r w:rsidRPr="00157F7C">
                <w:rPr>
                  <w:rStyle w:val="Hyperlink"/>
                </w:rPr>
                <w:t>. 1159</w:t>
              </w:r>
            </w:hyperlink>
            <w:r w:rsidRPr="00157F7C">
              <w:t xml:space="preserve">.  If the sleep study fails to verify the sleep apnea diagnosis, consider a proposal to sever service connection for sleep apnea with application of </w:t>
            </w:r>
            <w:hyperlink r:id="rId22" w:history="1">
              <w:r w:rsidRPr="00157F7C">
                <w:rPr>
                  <w:rStyle w:val="Hyperlink"/>
                </w:rPr>
                <w:t>38 CFR 3.105(d)</w:t>
              </w:r>
            </w:hyperlink>
            <w:r w:rsidRPr="00157F7C">
              <w:t>.</w:t>
            </w:r>
          </w:p>
        </w:tc>
      </w:tr>
    </w:tbl>
    <w:p w14:paraId="0C46D56B" w14:textId="77777777" w:rsidR="00147BA1" w:rsidRPr="00157F7C" w:rsidRDefault="00147BA1" w:rsidP="00147BA1">
      <w:pPr>
        <w:pStyle w:val="BlockLine"/>
      </w:pPr>
    </w:p>
    <w:p w14:paraId="0C46D56C" w14:textId="77777777" w:rsidR="00A60080" w:rsidRPr="00157F7C" w:rsidRDefault="00A60080">
      <w:pPr>
        <w:pStyle w:val="Heading4"/>
      </w:pPr>
      <w:bookmarkStart w:id="11" w:name="_17.__General"/>
      <w:bookmarkEnd w:id="11"/>
      <w:r w:rsidRPr="00157F7C">
        <w:br w:type="page"/>
      </w:r>
      <w:r w:rsidRPr="00157F7C">
        <w:lastRenderedPageBreak/>
        <w:t xml:space="preserve">17.  </w:t>
      </w:r>
      <w:bookmarkStart w:id="12" w:name="Topic17"/>
      <w:bookmarkEnd w:id="12"/>
      <w:r w:rsidRPr="00157F7C">
        <w:t>General Information on Tuberculosis</w:t>
      </w:r>
    </w:p>
    <w:p w14:paraId="0C46D56D" w14:textId="77777777" w:rsidR="00A60080" w:rsidRPr="00157F7C" w:rsidRDefault="00A60080">
      <w:pPr>
        <w:pStyle w:val="BlockLine"/>
      </w:pPr>
      <w:r w:rsidRPr="00157F7C">
        <w:fldChar w:fldCharType="begin"/>
      </w:r>
      <w:r w:rsidRPr="00157F7C">
        <w:instrText xml:space="preserve"> PRIVATE INFOTYPE="OTHER" </w:instrText>
      </w:r>
      <w:r w:rsidRPr="00157F7C">
        <w:fldChar w:fldCharType="end"/>
      </w:r>
    </w:p>
    <w:tbl>
      <w:tblPr>
        <w:tblW w:w="0" w:type="auto"/>
        <w:tblLayout w:type="fixed"/>
        <w:tblLook w:val="0000" w:firstRow="0" w:lastRow="0" w:firstColumn="0" w:lastColumn="0" w:noHBand="0" w:noVBand="0"/>
      </w:tblPr>
      <w:tblGrid>
        <w:gridCol w:w="1728"/>
        <w:gridCol w:w="7740"/>
      </w:tblGrid>
      <w:tr w:rsidR="00A60080" w:rsidRPr="00157F7C" w14:paraId="0C46D578" w14:textId="77777777">
        <w:trPr>
          <w:cantSplit/>
        </w:trPr>
        <w:tc>
          <w:tcPr>
            <w:tcW w:w="1728" w:type="dxa"/>
          </w:tcPr>
          <w:p w14:paraId="0C46D56E" w14:textId="77777777" w:rsidR="00A60080" w:rsidRPr="00157F7C" w:rsidRDefault="00A60080">
            <w:pPr>
              <w:pStyle w:val="Heading5"/>
            </w:pPr>
            <w:bookmarkStart w:id="13" w:name="_Introduction"/>
            <w:bookmarkEnd w:id="13"/>
            <w:r w:rsidRPr="00157F7C">
              <w:t>Introduction</w:t>
            </w:r>
          </w:p>
        </w:tc>
        <w:tc>
          <w:tcPr>
            <w:tcW w:w="7740" w:type="dxa"/>
          </w:tcPr>
          <w:p w14:paraId="0C46D56F" w14:textId="77777777" w:rsidR="00A60080" w:rsidRPr="00157F7C" w:rsidRDefault="00A60080">
            <w:pPr>
              <w:pStyle w:val="BlockText"/>
            </w:pPr>
            <w:r w:rsidRPr="00157F7C">
              <w:t>This topic contains general information about tuberculosis, including</w:t>
            </w:r>
          </w:p>
          <w:p w14:paraId="0C46D570" w14:textId="77777777" w:rsidR="00A60080" w:rsidRPr="00157F7C" w:rsidRDefault="00A60080">
            <w:pPr>
              <w:pStyle w:val="BlockText"/>
            </w:pPr>
          </w:p>
          <w:p w14:paraId="0C46D571" w14:textId="060993E8" w:rsidR="00A60080" w:rsidRPr="00157F7C" w:rsidRDefault="00157F7C">
            <w:pPr>
              <w:pStyle w:val="BulletText1"/>
            </w:pPr>
            <w:hyperlink w:anchor="_a.__Using" w:history="1">
              <w:r w:rsidR="00A60080" w:rsidRPr="00157F7C">
                <w:rPr>
                  <w:rStyle w:val="Hyperlink"/>
                </w:rPr>
                <w:t>using tuberculosis classification standards</w:t>
              </w:r>
            </w:hyperlink>
          </w:p>
          <w:p w14:paraId="0C46D572" w14:textId="5FAD5C84" w:rsidR="00A60080" w:rsidRPr="00157F7C" w:rsidRDefault="00157F7C">
            <w:pPr>
              <w:pStyle w:val="BulletText1"/>
            </w:pPr>
            <w:hyperlink w:anchor="_b.__Considering" w:history="1">
              <w:r w:rsidR="00A60080" w:rsidRPr="00157F7C">
                <w:rPr>
                  <w:rStyle w:val="Hyperlink"/>
                </w:rPr>
                <w:t>considering infection caused by other mycobacteria</w:t>
              </w:r>
            </w:hyperlink>
          </w:p>
          <w:p w14:paraId="0C46D573" w14:textId="37466B49" w:rsidR="00A60080" w:rsidRPr="00157F7C" w:rsidRDefault="00157F7C">
            <w:pPr>
              <w:pStyle w:val="BulletText1"/>
            </w:pPr>
            <w:hyperlink w:anchor="_c.__Diagnosing" w:history="1">
              <w:r w:rsidR="00A60080" w:rsidRPr="00157F7C">
                <w:rPr>
                  <w:rStyle w:val="Hyperlink"/>
                </w:rPr>
                <w:t>diagnosing infection caused by other mycobacteria</w:t>
              </w:r>
            </w:hyperlink>
          </w:p>
          <w:p w14:paraId="0C46D574" w14:textId="165AD87C" w:rsidR="00A60080" w:rsidRPr="00157F7C" w:rsidRDefault="00157F7C">
            <w:pPr>
              <w:pStyle w:val="BulletText1"/>
            </w:pPr>
            <w:hyperlink w:anchor="_d.__Classifying" w:history="1">
              <w:r w:rsidR="00A60080" w:rsidRPr="00157F7C">
                <w:rPr>
                  <w:rStyle w:val="Hyperlink"/>
                </w:rPr>
                <w:t>classifying disease caused by other mycobacteria</w:t>
              </w:r>
            </w:hyperlink>
          </w:p>
          <w:p w14:paraId="0C46D575" w14:textId="12C26697" w:rsidR="00A60080" w:rsidRPr="00157F7C" w:rsidRDefault="00157F7C" w:rsidP="003F568B">
            <w:pPr>
              <w:pStyle w:val="BulletText1"/>
            </w:pPr>
            <w:hyperlink w:anchor="_e.__Considering" w:history="1">
              <w:r w:rsidR="00A60080" w:rsidRPr="00157F7C">
                <w:rPr>
                  <w:rStyle w:val="Hyperlink"/>
                </w:rPr>
                <w:t xml:space="preserve">considering chest x-rays under 38 CFR 3.370 and </w:t>
              </w:r>
              <w:r w:rsidR="00A235A9" w:rsidRPr="00157F7C">
                <w:rPr>
                  <w:rStyle w:val="Hyperlink"/>
                </w:rPr>
                <w:t>38 CFR</w:t>
              </w:r>
              <w:r w:rsidR="003F568B" w:rsidRPr="00157F7C">
                <w:rPr>
                  <w:rStyle w:val="Hyperlink"/>
                </w:rPr>
                <w:t xml:space="preserve"> 3</w:t>
              </w:r>
              <w:r w:rsidR="00A60080" w:rsidRPr="00157F7C">
                <w:rPr>
                  <w:rStyle w:val="Hyperlink"/>
                </w:rPr>
                <w:t>.371</w:t>
              </w:r>
            </w:hyperlink>
          </w:p>
          <w:p w14:paraId="0C46D576" w14:textId="2C48EB45" w:rsidR="00A60080" w:rsidRPr="00157F7C" w:rsidRDefault="00157F7C" w:rsidP="003F568B">
            <w:pPr>
              <w:pStyle w:val="BulletText1"/>
            </w:pPr>
            <w:hyperlink w:anchor="_f.__Handling" w:history="1">
              <w:r w:rsidR="00A60080" w:rsidRPr="00157F7C">
                <w:rPr>
                  <w:rStyle w:val="Hyperlink"/>
                </w:rPr>
                <w:t xml:space="preserve">handling referrals for x-ray interpretation under </w:t>
              </w:r>
              <w:r w:rsidR="00A235A9" w:rsidRPr="00157F7C">
                <w:rPr>
                  <w:rStyle w:val="Hyperlink"/>
                </w:rPr>
                <w:t>38 CF.</w:t>
              </w:r>
              <w:r w:rsidR="003F568B" w:rsidRPr="00157F7C">
                <w:rPr>
                  <w:rStyle w:val="Hyperlink"/>
                </w:rPr>
                <w:t xml:space="preserve"> 3</w:t>
              </w:r>
              <w:r w:rsidR="00A60080" w:rsidRPr="00157F7C">
                <w:rPr>
                  <w:rStyle w:val="Hyperlink"/>
                </w:rPr>
                <w:t xml:space="preserve">.370 and </w:t>
              </w:r>
              <w:r w:rsidR="00A235A9" w:rsidRPr="00157F7C">
                <w:rPr>
                  <w:rStyle w:val="Hyperlink"/>
                </w:rPr>
                <w:t xml:space="preserve">38 CFR </w:t>
              </w:r>
              <w:r w:rsidR="003F568B" w:rsidRPr="00157F7C">
                <w:rPr>
                  <w:rStyle w:val="Hyperlink"/>
                </w:rPr>
                <w:t>3</w:t>
              </w:r>
              <w:r w:rsidR="00A60080" w:rsidRPr="00157F7C">
                <w:rPr>
                  <w:rStyle w:val="Hyperlink"/>
                </w:rPr>
                <w:t>.371</w:t>
              </w:r>
            </w:hyperlink>
            <w:r w:rsidR="00A60080" w:rsidRPr="00157F7C">
              <w:t>, and</w:t>
            </w:r>
          </w:p>
          <w:p w14:paraId="0C46D577" w14:textId="0284BD62" w:rsidR="00A60080" w:rsidRPr="00157F7C" w:rsidRDefault="00157F7C">
            <w:pPr>
              <w:pStyle w:val="BulletText1"/>
            </w:pPr>
            <w:hyperlink w:anchor="_g.__Handling" w:history="1">
              <w:proofErr w:type="gramStart"/>
              <w:r w:rsidR="00A60080" w:rsidRPr="00157F7C">
                <w:rPr>
                  <w:rStyle w:val="Hyperlink"/>
                </w:rPr>
                <w:t>handling</w:t>
              </w:r>
              <w:proofErr w:type="gramEnd"/>
              <w:r w:rsidR="00A60080" w:rsidRPr="00157F7C">
                <w:rPr>
                  <w:rStyle w:val="Hyperlink"/>
                </w:rPr>
                <w:t xml:space="preserve"> claims based on tuberculin reaction</w:t>
              </w:r>
            </w:hyperlink>
            <w:r w:rsidR="00A60080" w:rsidRPr="00157F7C">
              <w:t>.</w:t>
            </w:r>
          </w:p>
        </w:tc>
      </w:tr>
    </w:tbl>
    <w:p w14:paraId="0C46D579" w14:textId="77777777" w:rsidR="00A60080" w:rsidRPr="00157F7C" w:rsidRDefault="00A60080">
      <w:pPr>
        <w:pStyle w:val="BlockLine"/>
      </w:pPr>
    </w:p>
    <w:tbl>
      <w:tblPr>
        <w:tblW w:w="0" w:type="auto"/>
        <w:tblLayout w:type="fixed"/>
        <w:tblLook w:val="0000" w:firstRow="0" w:lastRow="0" w:firstColumn="0" w:lastColumn="0" w:noHBand="0" w:noVBand="0"/>
      </w:tblPr>
      <w:tblGrid>
        <w:gridCol w:w="1728"/>
        <w:gridCol w:w="7740"/>
      </w:tblGrid>
      <w:tr w:rsidR="00A60080" w:rsidRPr="00157F7C" w14:paraId="0C46D57C" w14:textId="77777777">
        <w:trPr>
          <w:cantSplit/>
        </w:trPr>
        <w:tc>
          <w:tcPr>
            <w:tcW w:w="1728" w:type="dxa"/>
          </w:tcPr>
          <w:p w14:paraId="0C46D57A" w14:textId="77777777" w:rsidR="00A60080" w:rsidRPr="00157F7C" w:rsidRDefault="00A60080">
            <w:pPr>
              <w:pStyle w:val="Heading5"/>
            </w:pPr>
            <w:r w:rsidRPr="00157F7C">
              <w:t>Change Date</w:t>
            </w:r>
          </w:p>
        </w:tc>
        <w:tc>
          <w:tcPr>
            <w:tcW w:w="7740" w:type="dxa"/>
          </w:tcPr>
          <w:p w14:paraId="0C46D57B" w14:textId="77777777" w:rsidR="00A60080" w:rsidRPr="00157F7C" w:rsidRDefault="00A60080">
            <w:pPr>
              <w:pStyle w:val="BlockText"/>
            </w:pPr>
            <w:r w:rsidRPr="00157F7C">
              <w:t>December 13, 2005</w:t>
            </w:r>
          </w:p>
        </w:tc>
      </w:tr>
    </w:tbl>
    <w:p w14:paraId="0C46D57D" w14:textId="77777777" w:rsidR="00A60080" w:rsidRPr="00157F7C" w:rsidRDefault="00FB3DC0">
      <w:pPr>
        <w:pStyle w:val="BlockLine"/>
      </w:pPr>
      <w:r w:rsidRPr="00157F7C">
        <w:fldChar w:fldCharType="begin"/>
      </w:r>
      <w:r w:rsidRPr="00157F7C">
        <w:instrText xml:space="preserve"> PRIVATE INFOTYPE="CONCEPT" </w:instrText>
      </w:r>
      <w:r w:rsidRPr="00157F7C">
        <w:fldChar w:fldCharType="end"/>
      </w:r>
    </w:p>
    <w:tbl>
      <w:tblPr>
        <w:tblW w:w="0" w:type="auto"/>
        <w:tblLayout w:type="fixed"/>
        <w:tblLook w:val="0000" w:firstRow="0" w:lastRow="0" w:firstColumn="0" w:lastColumn="0" w:noHBand="0" w:noVBand="0"/>
      </w:tblPr>
      <w:tblGrid>
        <w:gridCol w:w="1728"/>
        <w:gridCol w:w="7740"/>
      </w:tblGrid>
      <w:tr w:rsidR="00A60080" w:rsidRPr="00157F7C" w14:paraId="0C46D585" w14:textId="77777777">
        <w:trPr>
          <w:cantSplit/>
        </w:trPr>
        <w:tc>
          <w:tcPr>
            <w:tcW w:w="1728" w:type="dxa"/>
          </w:tcPr>
          <w:p w14:paraId="0C46D57E" w14:textId="77777777" w:rsidR="00A60080" w:rsidRPr="00157F7C" w:rsidRDefault="00A60080">
            <w:pPr>
              <w:pStyle w:val="Heading5"/>
            </w:pPr>
            <w:bookmarkStart w:id="14" w:name="_a.__Using"/>
            <w:bookmarkEnd w:id="14"/>
            <w:proofErr w:type="gramStart"/>
            <w:r w:rsidRPr="00157F7C">
              <w:t>a.  Using</w:t>
            </w:r>
            <w:proofErr w:type="gramEnd"/>
            <w:r w:rsidRPr="00157F7C">
              <w:t xml:space="preserve"> Tuberculosis Classification Standards</w:t>
            </w:r>
          </w:p>
        </w:tc>
        <w:tc>
          <w:tcPr>
            <w:tcW w:w="7740" w:type="dxa"/>
          </w:tcPr>
          <w:p w14:paraId="0C46D57F" w14:textId="77777777" w:rsidR="00A60080" w:rsidRPr="00157F7C" w:rsidRDefault="00A60080">
            <w:pPr>
              <w:pStyle w:val="BlockText"/>
            </w:pPr>
            <w:r w:rsidRPr="00157F7C">
              <w:t xml:space="preserve">Become familiar with the following classification standards adopted by the American Lung Association under </w:t>
            </w:r>
            <w:r w:rsidRPr="00157F7C">
              <w:rPr>
                <w:i/>
              </w:rPr>
              <w:t>The</w:t>
            </w:r>
            <w:r w:rsidRPr="00157F7C">
              <w:t xml:space="preserve"> </w:t>
            </w:r>
            <w:r w:rsidRPr="00157F7C">
              <w:rPr>
                <w:i/>
              </w:rPr>
              <w:t>Diagnostic Standards and Classification of Tuberculosis in Adults and Children</w:t>
            </w:r>
            <w:r w:rsidRPr="00157F7C">
              <w:t xml:space="preserve">, </w:t>
            </w:r>
            <w:r w:rsidRPr="00157F7C">
              <w:rPr>
                <w:i/>
              </w:rPr>
              <w:t>1999</w:t>
            </w:r>
            <w:r w:rsidRPr="00157F7C">
              <w:t>:</w:t>
            </w:r>
          </w:p>
          <w:p w14:paraId="0C46D580" w14:textId="77777777" w:rsidR="00A60080" w:rsidRPr="00157F7C" w:rsidRDefault="00A60080">
            <w:pPr>
              <w:pStyle w:val="BlockText"/>
            </w:pPr>
          </w:p>
          <w:p w14:paraId="0C46D581" w14:textId="77777777" w:rsidR="00A60080" w:rsidRPr="00157F7C" w:rsidRDefault="00A60080">
            <w:pPr>
              <w:pStyle w:val="BulletText1"/>
            </w:pPr>
            <w:r w:rsidRPr="00157F7C">
              <w:t>Classify an individual as “</w:t>
            </w:r>
            <w:r w:rsidRPr="00157F7C">
              <w:rPr>
                <w:i/>
              </w:rPr>
              <w:t>Tuberculosis Suspect</w:t>
            </w:r>
            <w:r w:rsidRPr="00157F7C">
              <w:rPr>
                <w:iCs/>
              </w:rPr>
              <w:t>”</w:t>
            </w:r>
            <w:r w:rsidRPr="00157F7C">
              <w:t xml:space="preserve"> until diagnostic procedures are complete.  (</w:t>
            </w:r>
            <w:r w:rsidRPr="00157F7C">
              <w:rPr>
                <w:b/>
                <w:i/>
              </w:rPr>
              <w:t>Note</w:t>
            </w:r>
            <w:r w:rsidRPr="00157F7C">
              <w:t>:  Do not use the classification “</w:t>
            </w:r>
            <w:r w:rsidRPr="00157F7C">
              <w:rPr>
                <w:i/>
              </w:rPr>
              <w:t>Tuberculosis Suspect</w:t>
            </w:r>
            <w:r w:rsidRPr="00157F7C">
              <w:rPr>
                <w:iCs/>
              </w:rPr>
              <w:t>”</w:t>
            </w:r>
            <w:r w:rsidRPr="00157F7C">
              <w:rPr>
                <w:i/>
              </w:rPr>
              <w:t xml:space="preserve"> </w:t>
            </w:r>
            <w:r w:rsidRPr="00157F7C">
              <w:t>for more than three months.)</w:t>
            </w:r>
          </w:p>
          <w:p w14:paraId="0C46D582" w14:textId="77777777" w:rsidR="00A60080" w:rsidRPr="00157F7C" w:rsidRDefault="00A60080">
            <w:pPr>
              <w:pStyle w:val="BulletText1"/>
            </w:pPr>
            <w:r w:rsidRPr="00157F7C">
              <w:t>Classify disease caused by other mycobacteria as “</w:t>
            </w:r>
            <w:r w:rsidRPr="00157F7C">
              <w:rPr>
                <w:i/>
              </w:rPr>
              <w:t>Other Mycobacterial Diseases</w:t>
            </w:r>
            <w:r w:rsidRPr="00157F7C">
              <w:t>.”  (</w:t>
            </w:r>
            <w:r w:rsidRPr="00157F7C">
              <w:rPr>
                <w:b/>
                <w:i/>
              </w:rPr>
              <w:t>Note</w:t>
            </w:r>
            <w:r w:rsidRPr="00157F7C">
              <w:t>:  Disease caused by other mycobacteria is indistinguishable clinically, radiologically, and histologically from mycobacterium (M) tuberculosis.)</w:t>
            </w:r>
          </w:p>
          <w:p w14:paraId="0C46D583" w14:textId="77777777" w:rsidR="00A60080" w:rsidRPr="00157F7C" w:rsidRDefault="00A60080">
            <w:pPr>
              <w:pStyle w:val="BlockText"/>
            </w:pPr>
          </w:p>
          <w:p w14:paraId="0C46D584" w14:textId="77777777" w:rsidR="00A60080" w:rsidRPr="00157F7C" w:rsidRDefault="00A60080">
            <w:pPr>
              <w:pStyle w:val="BlockText"/>
            </w:pPr>
            <w:r w:rsidRPr="00157F7C">
              <w:rPr>
                <w:b/>
                <w:i/>
              </w:rPr>
              <w:t>Reference</w:t>
            </w:r>
            <w:r w:rsidRPr="00157F7C">
              <w:t xml:space="preserve">:  For more information on the classification standards, see </w:t>
            </w:r>
            <w:hyperlink r:id="rId23" w:history="1">
              <w:r w:rsidRPr="00157F7C">
                <w:rPr>
                  <w:rStyle w:val="Hyperlink"/>
                  <w:i/>
                </w:rPr>
                <w:t>The</w:t>
              </w:r>
              <w:r w:rsidRPr="00157F7C">
                <w:rPr>
                  <w:rStyle w:val="Hyperlink"/>
                </w:rPr>
                <w:t xml:space="preserve"> </w:t>
              </w:r>
              <w:r w:rsidRPr="00157F7C">
                <w:rPr>
                  <w:rStyle w:val="Hyperlink"/>
                  <w:i/>
                </w:rPr>
                <w:t>Diagnostic Standards and Classification of Tuberculosis in Adults and Children</w:t>
              </w:r>
              <w:r w:rsidRPr="00157F7C">
                <w:rPr>
                  <w:rStyle w:val="Hyperlink"/>
                </w:rPr>
                <w:t xml:space="preserve">, </w:t>
              </w:r>
              <w:r w:rsidRPr="00157F7C">
                <w:rPr>
                  <w:rStyle w:val="Hyperlink"/>
                  <w:i/>
                </w:rPr>
                <w:t>1999</w:t>
              </w:r>
            </w:hyperlink>
            <w:r w:rsidRPr="00157F7C">
              <w:t xml:space="preserve">. </w:t>
            </w:r>
          </w:p>
        </w:tc>
      </w:tr>
    </w:tbl>
    <w:p w14:paraId="0C46D586" w14:textId="77777777" w:rsidR="00A60080" w:rsidRPr="00157F7C" w:rsidRDefault="00A60080">
      <w:pPr>
        <w:pStyle w:val="ContinuedOnNextPa"/>
      </w:pPr>
      <w:r w:rsidRPr="00157F7C">
        <w:t>Continued on next page</w:t>
      </w:r>
    </w:p>
    <w:p w14:paraId="0C46D587" w14:textId="77777777" w:rsidR="00A60080" w:rsidRPr="00157F7C" w:rsidRDefault="00A60080">
      <w:pPr>
        <w:pStyle w:val="MapTitleContinued"/>
        <w:rPr>
          <w:b w:val="0"/>
          <w:sz w:val="24"/>
        </w:rPr>
      </w:pPr>
      <w:r w:rsidRPr="00157F7C">
        <w:br w:type="page"/>
      </w:r>
      <w:r w:rsidRPr="00157F7C">
        <w:lastRenderedPageBreak/>
        <w:fldChar w:fldCharType="begin"/>
      </w:r>
      <w:r w:rsidRPr="00157F7C">
        <w:instrText>styleref "Map Title"</w:instrText>
      </w:r>
      <w:r w:rsidRPr="00157F7C">
        <w:fldChar w:fldCharType="separate"/>
      </w:r>
      <w:r w:rsidR="0031250B" w:rsidRPr="00157F7C">
        <w:rPr>
          <w:noProof/>
        </w:rPr>
        <w:t>17.  General Information on Tuberculosis</w:t>
      </w:r>
      <w:r w:rsidRPr="00157F7C">
        <w:fldChar w:fldCharType="end"/>
      </w:r>
      <w:r w:rsidRPr="00157F7C">
        <w:t xml:space="preserve">, </w:t>
      </w:r>
      <w:r w:rsidRPr="00157F7C">
        <w:rPr>
          <w:b w:val="0"/>
          <w:sz w:val="24"/>
        </w:rPr>
        <w:t>Continued</w:t>
      </w:r>
    </w:p>
    <w:p w14:paraId="0C46D588" w14:textId="77777777" w:rsidR="00A60080" w:rsidRPr="00157F7C" w:rsidRDefault="00FB3DC0">
      <w:pPr>
        <w:pStyle w:val="BlockLine"/>
      </w:pPr>
      <w:r w:rsidRPr="00157F7C">
        <w:fldChar w:fldCharType="begin"/>
      </w:r>
      <w:r w:rsidRPr="00157F7C">
        <w:instrText xml:space="preserve"> PRIVATE INFOTYPE="CONCEPT" </w:instrText>
      </w:r>
      <w:r w:rsidRPr="00157F7C">
        <w:fldChar w:fldCharType="end"/>
      </w:r>
    </w:p>
    <w:tbl>
      <w:tblPr>
        <w:tblW w:w="0" w:type="auto"/>
        <w:tblLayout w:type="fixed"/>
        <w:tblLook w:val="0000" w:firstRow="0" w:lastRow="0" w:firstColumn="0" w:lastColumn="0" w:noHBand="0" w:noVBand="0"/>
      </w:tblPr>
      <w:tblGrid>
        <w:gridCol w:w="1728"/>
        <w:gridCol w:w="7740"/>
      </w:tblGrid>
      <w:tr w:rsidR="00A60080" w:rsidRPr="00157F7C" w14:paraId="0C46D593" w14:textId="77777777">
        <w:trPr>
          <w:cantSplit/>
        </w:trPr>
        <w:tc>
          <w:tcPr>
            <w:tcW w:w="1728" w:type="dxa"/>
          </w:tcPr>
          <w:p w14:paraId="0C46D589" w14:textId="77777777" w:rsidR="00A60080" w:rsidRPr="00157F7C" w:rsidRDefault="00A60080">
            <w:pPr>
              <w:pStyle w:val="Heading5"/>
            </w:pPr>
            <w:bookmarkStart w:id="15" w:name="_b.__Considering"/>
            <w:bookmarkEnd w:id="15"/>
            <w:proofErr w:type="gramStart"/>
            <w:r w:rsidRPr="00157F7C">
              <w:t>b.  Considering</w:t>
            </w:r>
            <w:proofErr w:type="gramEnd"/>
            <w:r w:rsidRPr="00157F7C">
              <w:t xml:space="preserve"> Infection Caused by Other Mycobacteria</w:t>
            </w:r>
          </w:p>
        </w:tc>
        <w:tc>
          <w:tcPr>
            <w:tcW w:w="7740" w:type="dxa"/>
          </w:tcPr>
          <w:p w14:paraId="0C46D58A" w14:textId="77777777" w:rsidR="00A60080" w:rsidRPr="00157F7C" w:rsidRDefault="00A60080">
            <w:pPr>
              <w:pStyle w:val="BlockText"/>
            </w:pPr>
            <w:r w:rsidRPr="00157F7C">
              <w:t xml:space="preserve">Other mycobacterium (M) that may commonly be involved as pathogens are </w:t>
            </w:r>
          </w:p>
          <w:p w14:paraId="0C46D58B" w14:textId="77777777" w:rsidR="00A60080" w:rsidRPr="00157F7C" w:rsidRDefault="00A60080">
            <w:pPr>
              <w:pStyle w:val="BlockText"/>
            </w:pPr>
          </w:p>
          <w:p w14:paraId="0C46D58C" w14:textId="77777777" w:rsidR="00A60080" w:rsidRPr="00157F7C" w:rsidRDefault="00A60080">
            <w:pPr>
              <w:pStyle w:val="BulletText1"/>
            </w:pPr>
            <w:r w:rsidRPr="00157F7C">
              <w:t xml:space="preserve">M. </w:t>
            </w:r>
            <w:proofErr w:type="spellStart"/>
            <w:r w:rsidRPr="00157F7C">
              <w:t>kansasii</w:t>
            </w:r>
            <w:proofErr w:type="spellEnd"/>
          </w:p>
          <w:p w14:paraId="0C46D58D" w14:textId="77777777" w:rsidR="00A60080" w:rsidRPr="00157F7C" w:rsidRDefault="00A60080">
            <w:pPr>
              <w:pStyle w:val="BulletText1"/>
            </w:pPr>
            <w:r w:rsidRPr="00157F7C">
              <w:t xml:space="preserve">M. </w:t>
            </w:r>
            <w:proofErr w:type="spellStart"/>
            <w:r w:rsidRPr="00157F7C">
              <w:t>intracellulare</w:t>
            </w:r>
            <w:proofErr w:type="spellEnd"/>
            <w:r w:rsidRPr="00157F7C">
              <w:t xml:space="preserve">, and </w:t>
            </w:r>
          </w:p>
          <w:p w14:paraId="0C46D58E" w14:textId="77777777" w:rsidR="00A60080" w:rsidRPr="00157F7C" w:rsidRDefault="00A60080">
            <w:pPr>
              <w:pStyle w:val="BulletText1"/>
            </w:pPr>
            <w:r w:rsidRPr="00157F7C">
              <w:t xml:space="preserve">M. </w:t>
            </w:r>
            <w:proofErr w:type="spellStart"/>
            <w:r w:rsidRPr="00157F7C">
              <w:t>scrofulaceum</w:t>
            </w:r>
            <w:proofErr w:type="spellEnd"/>
            <w:r w:rsidRPr="00157F7C">
              <w:t>.</w:t>
            </w:r>
          </w:p>
          <w:p w14:paraId="0C46D58F" w14:textId="77777777" w:rsidR="00A60080" w:rsidRPr="00157F7C" w:rsidRDefault="00A60080">
            <w:pPr>
              <w:pStyle w:val="BlockText"/>
            </w:pPr>
          </w:p>
          <w:p w14:paraId="0C46D590" w14:textId="77777777" w:rsidR="00A60080" w:rsidRPr="00157F7C" w:rsidRDefault="00A60080">
            <w:pPr>
              <w:pStyle w:val="BlockText"/>
            </w:pPr>
            <w:r w:rsidRPr="00157F7C">
              <w:rPr>
                <w:b/>
                <w:i/>
              </w:rPr>
              <w:t>Note</w:t>
            </w:r>
            <w:r w:rsidRPr="00157F7C">
              <w:t xml:space="preserve">:  M. </w:t>
            </w:r>
            <w:proofErr w:type="spellStart"/>
            <w:r w:rsidRPr="00157F7C">
              <w:t>bovis</w:t>
            </w:r>
            <w:proofErr w:type="spellEnd"/>
            <w:r w:rsidRPr="00157F7C">
              <w:t xml:space="preserve"> is </w:t>
            </w:r>
          </w:p>
          <w:p w14:paraId="0C46D591" w14:textId="77777777" w:rsidR="00A60080" w:rsidRPr="00157F7C" w:rsidRDefault="00A60080">
            <w:pPr>
              <w:pStyle w:val="BulletText1"/>
            </w:pPr>
            <w:r w:rsidRPr="00157F7C">
              <w:t>rarely responsible for disease where there is effective control of tuberculosis in cattle and pasteurization of milk and milk products, and</w:t>
            </w:r>
          </w:p>
          <w:p w14:paraId="0C46D592" w14:textId="77777777" w:rsidR="00A60080" w:rsidRPr="00157F7C" w:rsidRDefault="00A60080">
            <w:pPr>
              <w:pStyle w:val="BulletText1"/>
            </w:pPr>
            <w:proofErr w:type="gramStart"/>
            <w:r w:rsidRPr="00157F7C">
              <w:t>indistinguishable</w:t>
            </w:r>
            <w:proofErr w:type="gramEnd"/>
            <w:r w:rsidRPr="00157F7C">
              <w:t xml:space="preserve"> from M. tuberculosis except by culture.  </w:t>
            </w:r>
          </w:p>
        </w:tc>
      </w:tr>
    </w:tbl>
    <w:p w14:paraId="0C46D594" w14:textId="77777777" w:rsidR="00A60080" w:rsidRPr="00157F7C" w:rsidRDefault="00FB3DC0">
      <w:pPr>
        <w:pStyle w:val="BlockLine"/>
      </w:pPr>
      <w:r w:rsidRPr="00157F7C">
        <w:fldChar w:fldCharType="begin"/>
      </w:r>
      <w:r w:rsidRPr="00157F7C">
        <w:instrText xml:space="preserve"> PRIVATE INFOTYPE="PRINCIPLE" </w:instrText>
      </w:r>
      <w:r w:rsidRPr="00157F7C">
        <w:fldChar w:fldCharType="end"/>
      </w:r>
    </w:p>
    <w:tbl>
      <w:tblPr>
        <w:tblW w:w="0" w:type="auto"/>
        <w:tblLayout w:type="fixed"/>
        <w:tblLook w:val="0000" w:firstRow="0" w:lastRow="0" w:firstColumn="0" w:lastColumn="0" w:noHBand="0" w:noVBand="0"/>
      </w:tblPr>
      <w:tblGrid>
        <w:gridCol w:w="1728"/>
        <w:gridCol w:w="7740"/>
      </w:tblGrid>
      <w:tr w:rsidR="00A60080" w:rsidRPr="00157F7C" w14:paraId="0C46D59E" w14:textId="77777777">
        <w:trPr>
          <w:cantSplit/>
        </w:trPr>
        <w:tc>
          <w:tcPr>
            <w:tcW w:w="1728" w:type="dxa"/>
          </w:tcPr>
          <w:p w14:paraId="0C46D595" w14:textId="77777777" w:rsidR="00A60080" w:rsidRPr="00157F7C" w:rsidRDefault="00A60080">
            <w:pPr>
              <w:pStyle w:val="Heading5"/>
            </w:pPr>
            <w:bookmarkStart w:id="16" w:name="_c.__Diagnosing"/>
            <w:bookmarkEnd w:id="16"/>
            <w:proofErr w:type="gramStart"/>
            <w:r w:rsidRPr="00157F7C">
              <w:t>c.  Diagnosing</w:t>
            </w:r>
            <w:proofErr w:type="gramEnd"/>
            <w:r w:rsidRPr="00157F7C">
              <w:t xml:space="preserve"> Infection Caused by Other </w:t>
            </w:r>
            <w:proofErr w:type="spellStart"/>
            <w:r w:rsidRPr="00157F7C">
              <w:t>Mycobateria</w:t>
            </w:r>
            <w:proofErr w:type="spellEnd"/>
          </w:p>
        </w:tc>
        <w:tc>
          <w:tcPr>
            <w:tcW w:w="7740" w:type="dxa"/>
          </w:tcPr>
          <w:p w14:paraId="0C46D596" w14:textId="77777777" w:rsidR="00A60080" w:rsidRPr="00157F7C" w:rsidRDefault="00A60080">
            <w:pPr>
              <w:pStyle w:val="BlockText"/>
            </w:pPr>
            <w:r w:rsidRPr="00157F7C">
              <w:t xml:space="preserve">A definitive diagnosis for infection caused by other mycobacteria requires </w:t>
            </w:r>
          </w:p>
          <w:p w14:paraId="0C46D597" w14:textId="77777777" w:rsidR="00A60080" w:rsidRPr="00157F7C" w:rsidRDefault="00A60080">
            <w:pPr>
              <w:pStyle w:val="BlockText"/>
            </w:pPr>
          </w:p>
          <w:p w14:paraId="0C46D598" w14:textId="77777777" w:rsidR="00A60080" w:rsidRPr="00157F7C" w:rsidRDefault="00A60080">
            <w:pPr>
              <w:pStyle w:val="BulletText1"/>
            </w:pPr>
            <w:r w:rsidRPr="00157F7C">
              <w:t xml:space="preserve">evidence of disease, such as an infiltrate visible on a chest x-ray, with no other cause established by careful clinical and laboratory studies, and </w:t>
            </w:r>
          </w:p>
          <w:p w14:paraId="0C46D599" w14:textId="77777777" w:rsidR="00A60080" w:rsidRPr="00157F7C" w:rsidRDefault="00A60080">
            <w:pPr>
              <w:pStyle w:val="BulletText1"/>
            </w:pPr>
            <w:r w:rsidRPr="00157F7C">
              <w:t xml:space="preserve">either </w:t>
            </w:r>
          </w:p>
          <w:p w14:paraId="0C46D59A" w14:textId="77777777" w:rsidR="00A60080" w:rsidRPr="00157F7C" w:rsidRDefault="00A60080">
            <w:pPr>
              <w:pStyle w:val="BulletText2"/>
            </w:pPr>
            <w:r w:rsidRPr="00157F7C">
              <w:t>appearance of the same strain of mycobacteria repeatedly, or</w:t>
            </w:r>
          </w:p>
          <w:p w14:paraId="0C46D59B" w14:textId="77777777" w:rsidR="00A60080" w:rsidRPr="00157F7C" w:rsidRDefault="00A60080">
            <w:pPr>
              <w:pStyle w:val="BulletText2"/>
            </w:pPr>
            <w:proofErr w:type="gramStart"/>
            <w:r w:rsidRPr="00157F7C">
              <w:t>isolation</w:t>
            </w:r>
            <w:proofErr w:type="gramEnd"/>
            <w:r w:rsidRPr="00157F7C">
              <w:t xml:space="preserve"> of the mycobacteria from a closed lesion from which the specimen has been collected and handled under sterile conditions.</w:t>
            </w:r>
          </w:p>
          <w:p w14:paraId="0C46D59C" w14:textId="77777777" w:rsidR="00A60080" w:rsidRPr="00157F7C" w:rsidRDefault="00A60080">
            <w:pPr>
              <w:pStyle w:val="BlockText"/>
            </w:pPr>
          </w:p>
          <w:p w14:paraId="0C46D59D" w14:textId="77777777" w:rsidR="00A60080" w:rsidRPr="00157F7C" w:rsidRDefault="00A60080">
            <w:pPr>
              <w:pStyle w:val="BlockText"/>
            </w:pPr>
            <w:r w:rsidRPr="00157F7C">
              <w:rPr>
                <w:b/>
                <w:i/>
              </w:rPr>
              <w:t>Note</w:t>
            </w:r>
            <w:r w:rsidRPr="00157F7C">
              <w:t>:  Diagnosis of other mycobacterial infection by skin test is not possible.  The current antigens for mycobacteria other than M. tuberculosis have high cross-reactivity and low specificity.</w:t>
            </w:r>
          </w:p>
        </w:tc>
      </w:tr>
    </w:tbl>
    <w:p w14:paraId="0C46D59F" w14:textId="77777777" w:rsidR="00A60080" w:rsidRPr="00157F7C" w:rsidRDefault="00FB3DC0">
      <w:pPr>
        <w:pStyle w:val="BlockLine"/>
      </w:pPr>
      <w:r w:rsidRPr="00157F7C">
        <w:fldChar w:fldCharType="begin"/>
      </w:r>
      <w:r w:rsidRPr="00157F7C">
        <w:instrText xml:space="preserve"> PRIVATE INFOTYPE="PRINCIPLE" </w:instrText>
      </w:r>
      <w:r w:rsidRPr="00157F7C">
        <w:fldChar w:fldCharType="end"/>
      </w:r>
    </w:p>
    <w:tbl>
      <w:tblPr>
        <w:tblW w:w="0" w:type="auto"/>
        <w:tblLayout w:type="fixed"/>
        <w:tblLook w:val="0000" w:firstRow="0" w:lastRow="0" w:firstColumn="0" w:lastColumn="0" w:noHBand="0" w:noVBand="0"/>
      </w:tblPr>
      <w:tblGrid>
        <w:gridCol w:w="1728"/>
        <w:gridCol w:w="7740"/>
      </w:tblGrid>
      <w:tr w:rsidR="00A60080" w:rsidRPr="00157F7C" w14:paraId="0C46D5A8" w14:textId="77777777">
        <w:trPr>
          <w:cantSplit/>
        </w:trPr>
        <w:tc>
          <w:tcPr>
            <w:tcW w:w="1728" w:type="dxa"/>
          </w:tcPr>
          <w:p w14:paraId="0C46D5A0" w14:textId="77777777" w:rsidR="00A60080" w:rsidRPr="00157F7C" w:rsidRDefault="00A60080">
            <w:pPr>
              <w:pStyle w:val="Heading5"/>
            </w:pPr>
            <w:bookmarkStart w:id="17" w:name="_d.__Classifying"/>
            <w:bookmarkEnd w:id="17"/>
            <w:proofErr w:type="gramStart"/>
            <w:r w:rsidRPr="00157F7C">
              <w:t>d.  Classifying</w:t>
            </w:r>
            <w:proofErr w:type="gramEnd"/>
            <w:r w:rsidRPr="00157F7C">
              <w:t xml:space="preserve"> Disease Caused by Other Mycobacteria</w:t>
            </w:r>
          </w:p>
        </w:tc>
        <w:tc>
          <w:tcPr>
            <w:tcW w:w="7740" w:type="dxa"/>
          </w:tcPr>
          <w:p w14:paraId="0C46D5A1" w14:textId="77777777" w:rsidR="00A60080" w:rsidRPr="00157F7C" w:rsidRDefault="00A60080">
            <w:pPr>
              <w:pStyle w:val="BlockText"/>
            </w:pPr>
            <w:r w:rsidRPr="00157F7C">
              <w:t>With certain modifications, the classification for tuberculosis is adaptable for classifying other mycobacterial diseases.</w:t>
            </w:r>
          </w:p>
          <w:p w14:paraId="0C46D5A2" w14:textId="77777777" w:rsidR="00A60080" w:rsidRPr="00157F7C" w:rsidRDefault="00A60080">
            <w:pPr>
              <w:pStyle w:val="BlockText"/>
            </w:pPr>
          </w:p>
          <w:p w14:paraId="0C46D5A3" w14:textId="77777777" w:rsidR="00A60080" w:rsidRPr="00157F7C" w:rsidRDefault="00A60080">
            <w:pPr>
              <w:pStyle w:val="BlockText"/>
            </w:pPr>
            <w:r w:rsidRPr="00157F7C">
              <w:t xml:space="preserve">When classifying mycobacterial diseases, do </w:t>
            </w:r>
            <w:r w:rsidRPr="00157F7C">
              <w:rPr>
                <w:i/>
              </w:rPr>
              <w:t>not</w:t>
            </w:r>
            <w:r w:rsidRPr="00157F7C">
              <w:t xml:space="preserve"> use the first three categories used for tuberculosis:</w:t>
            </w:r>
          </w:p>
          <w:p w14:paraId="0C46D5A4" w14:textId="77777777" w:rsidR="00A60080" w:rsidRPr="00157F7C" w:rsidRDefault="00A60080">
            <w:pPr>
              <w:pStyle w:val="BlockText"/>
            </w:pPr>
          </w:p>
          <w:p w14:paraId="0C46D5A5" w14:textId="77777777" w:rsidR="00A60080" w:rsidRPr="00157F7C" w:rsidRDefault="00A60080">
            <w:pPr>
              <w:pStyle w:val="BulletText1"/>
            </w:pPr>
            <w:r w:rsidRPr="00157F7C">
              <w:t>“</w:t>
            </w:r>
            <w:r w:rsidRPr="00157F7C">
              <w:rPr>
                <w:i/>
                <w:iCs/>
              </w:rPr>
              <w:t>no exposure, not infected</w:t>
            </w:r>
            <w:r w:rsidRPr="00157F7C">
              <w:t>”</w:t>
            </w:r>
          </w:p>
          <w:p w14:paraId="0C46D5A6" w14:textId="77777777" w:rsidR="00A60080" w:rsidRPr="00157F7C" w:rsidRDefault="00A60080">
            <w:pPr>
              <w:pStyle w:val="BulletText1"/>
            </w:pPr>
            <w:r w:rsidRPr="00157F7C">
              <w:t>“</w:t>
            </w:r>
            <w:r w:rsidRPr="00157F7C">
              <w:rPr>
                <w:i/>
                <w:iCs/>
              </w:rPr>
              <w:t>exposure, no evidence of infection</w:t>
            </w:r>
            <w:r w:rsidRPr="00157F7C">
              <w:t>,” or</w:t>
            </w:r>
          </w:p>
          <w:p w14:paraId="0C46D5A7" w14:textId="77777777" w:rsidR="00A60080" w:rsidRPr="00157F7C" w:rsidRDefault="00A60080">
            <w:pPr>
              <w:pStyle w:val="BulletText1"/>
            </w:pPr>
            <w:r w:rsidRPr="00157F7C">
              <w:t>“</w:t>
            </w:r>
            <w:proofErr w:type="gramStart"/>
            <w:r w:rsidRPr="00157F7C">
              <w:rPr>
                <w:i/>
                <w:iCs/>
              </w:rPr>
              <w:t>infection</w:t>
            </w:r>
            <w:proofErr w:type="gramEnd"/>
            <w:r w:rsidRPr="00157F7C">
              <w:rPr>
                <w:i/>
                <w:iCs/>
              </w:rPr>
              <w:t>, without disease</w:t>
            </w:r>
            <w:r w:rsidRPr="00157F7C">
              <w:t>.”</w:t>
            </w:r>
          </w:p>
        </w:tc>
      </w:tr>
    </w:tbl>
    <w:p w14:paraId="0C46D5A9" w14:textId="77777777" w:rsidR="00A60080" w:rsidRPr="00157F7C" w:rsidRDefault="00A60080">
      <w:pPr>
        <w:pStyle w:val="ContinuedOnNextPa"/>
      </w:pPr>
      <w:r w:rsidRPr="00157F7C">
        <w:t>Continued on next page</w:t>
      </w:r>
    </w:p>
    <w:p w14:paraId="0C46D5AA" w14:textId="77777777" w:rsidR="00A60080" w:rsidRPr="00157F7C" w:rsidRDefault="00A60080">
      <w:pPr>
        <w:pStyle w:val="MapTitleContinued"/>
        <w:rPr>
          <w:b w:val="0"/>
          <w:sz w:val="24"/>
        </w:rPr>
      </w:pPr>
      <w:r w:rsidRPr="00157F7C">
        <w:br w:type="page"/>
      </w:r>
      <w:r w:rsidRPr="00157F7C">
        <w:lastRenderedPageBreak/>
        <w:fldChar w:fldCharType="begin"/>
      </w:r>
      <w:r w:rsidRPr="00157F7C">
        <w:instrText>styleref "Map Title"</w:instrText>
      </w:r>
      <w:r w:rsidRPr="00157F7C">
        <w:fldChar w:fldCharType="separate"/>
      </w:r>
      <w:r w:rsidR="0031250B" w:rsidRPr="00157F7C">
        <w:rPr>
          <w:noProof/>
        </w:rPr>
        <w:t>17.  General Information on Tuberculosis</w:t>
      </w:r>
      <w:r w:rsidRPr="00157F7C">
        <w:fldChar w:fldCharType="end"/>
      </w:r>
      <w:r w:rsidRPr="00157F7C">
        <w:t xml:space="preserve">, </w:t>
      </w:r>
      <w:r w:rsidRPr="00157F7C">
        <w:rPr>
          <w:b w:val="0"/>
          <w:sz w:val="24"/>
        </w:rPr>
        <w:t>Continued</w:t>
      </w:r>
    </w:p>
    <w:p w14:paraId="0C46D5AB" w14:textId="77777777" w:rsidR="00A60080" w:rsidRPr="00157F7C" w:rsidRDefault="00FB3DC0">
      <w:pPr>
        <w:pStyle w:val="BlockLine"/>
      </w:pPr>
      <w:r w:rsidRPr="00157F7C">
        <w:fldChar w:fldCharType="begin"/>
      </w:r>
      <w:r w:rsidRPr="00157F7C">
        <w:instrText xml:space="preserve"> PRIVATE INFOTYPE="PRINCIPLE" </w:instrText>
      </w:r>
      <w:r w:rsidRPr="00157F7C">
        <w:fldChar w:fldCharType="end"/>
      </w:r>
    </w:p>
    <w:tbl>
      <w:tblPr>
        <w:tblW w:w="0" w:type="auto"/>
        <w:tblLayout w:type="fixed"/>
        <w:tblLook w:val="0000" w:firstRow="0" w:lastRow="0" w:firstColumn="0" w:lastColumn="0" w:noHBand="0" w:noVBand="0"/>
      </w:tblPr>
      <w:tblGrid>
        <w:gridCol w:w="1728"/>
        <w:gridCol w:w="7740"/>
      </w:tblGrid>
      <w:tr w:rsidR="00A60080" w:rsidRPr="00157F7C" w14:paraId="0C46D5B7" w14:textId="77777777">
        <w:trPr>
          <w:cantSplit/>
        </w:trPr>
        <w:tc>
          <w:tcPr>
            <w:tcW w:w="1728" w:type="dxa"/>
          </w:tcPr>
          <w:p w14:paraId="0C46D5AC" w14:textId="77777777" w:rsidR="00A60080" w:rsidRPr="00157F7C" w:rsidRDefault="00A60080" w:rsidP="00A235A9">
            <w:pPr>
              <w:pStyle w:val="Heading5"/>
            </w:pPr>
            <w:bookmarkStart w:id="18" w:name="_e.__Considering"/>
            <w:bookmarkEnd w:id="18"/>
            <w:proofErr w:type="gramStart"/>
            <w:r w:rsidRPr="00157F7C">
              <w:t>e.  Considering</w:t>
            </w:r>
            <w:proofErr w:type="gramEnd"/>
            <w:r w:rsidRPr="00157F7C">
              <w:t xml:space="preserve"> Chest X-Rays Under 38 CFR 3.370 and 38 CFR 3.371</w:t>
            </w:r>
          </w:p>
        </w:tc>
        <w:tc>
          <w:tcPr>
            <w:tcW w:w="7740" w:type="dxa"/>
          </w:tcPr>
          <w:p w14:paraId="0C46D5AD" w14:textId="77777777" w:rsidR="00A60080" w:rsidRPr="00157F7C" w:rsidRDefault="00A60080" w:rsidP="003F568B">
            <w:pPr>
              <w:pStyle w:val="BlockText"/>
            </w:pPr>
            <w:r w:rsidRPr="00157F7C">
              <w:t xml:space="preserve">If active pulmonary tuberculosis is claimed to be service-connected and entitlement is not established by other evidence, then under </w:t>
            </w:r>
            <w:hyperlink r:id="rId24" w:history="1">
              <w:r w:rsidR="00A235A9" w:rsidRPr="00157F7C">
                <w:rPr>
                  <w:rStyle w:val="Hyperlink"/>
                </w:rPr>
                <w:t>38 CFR</w:t>
              </w:r>
              <w:r w:rsidR="003F568B" w:rsidRPr="00157F7C">
                <w:rPr>
                  <w:rStyle w:val="Hyperlink"/>
                </w:rPr>
                <w:t xml:space="preserve"> 3</w:t>
              </w:r>
              <w:r w:rsidRPr="00157F7C">
                <w:rPr>
                  <w:rStyle w:val="Hyperlink"/>
                </w:rPr>
                <w:t>.370</w:t>
              </w:r>
            </w:hyperlink>
            <w:r w:rsidRPr="00157F7C">
              <w:t xml:space="preserve"> and </w:t>
            </w:r>
            <w:hyperlink r:id="rId25" w:history="1">
              <w:r w:rsidR="00A235A9" w:rsidRPr="00157F7C">
                <w:rPr>
                  <w:rStyle w:val="Hyperlink"/>
                </w:rPr>
                <w:t>38 CFR</w:t>
              </w:r>
              <w:r w:rsidR="003F568B" w:rsidRPr="00157F7C">
                <w:rPr>
                  <w:rStyle w:val="Hyperlink"/>
                </w:rPr>
                <w:t xml:space="preserve"> 3</w:t>
              </w:r>
              <w:r w:rsidRPr="00157F7C">
                <w:rPr>
                  <w:rStyle w:val="Hyperlink"/>
                </w:rPr>
                <w:t>.371</w:t>
              </w:r>
            </w:hyperlink>
          </w:p>
          <w:p w14:paraId="0C46D5AE" w14:textId="77777777" w:rsidR="00A60080" w:rsidRPr="00157F7C" w:rsidRDefault="00A60080">
            <w:pPr>
              <w:pStyle w:val="BlockText"/>
            </w:pPr>
          </w:p>
          <w:p w14:paraId="0C46D5AF" w14:textId="77777777" w:rsidR="00A60080" w:rsidRPr="00157F7C" w:rsidRDefault="00A60080">
            <w:pPr>
              <w:pStyle w:val="BulletText1"/>
            </w:pPr>
            <w:r w:rsidRPr="00157F7C">
              <w:t>consider the x-ray evidence, and</w:t>
            </w:r>
          </w:p>
          <w:p w14:paraId="0C46D5B0" w14:textId="77777777" w:rsidR="00A60080" w:rsidRPr="00157F7C" w:rsidRDefault="00A60080">
            <w:pPr>
              <w:pStyle w:val="BulletText1"/>
            </w:pPr>
            <w:proofErr w:type="gramStart"/>
            <w:r w:rsidRPr="00157F7C">
              <w:t>refer</w:t>
            </w:r>
            <w:proofErr w:type="gramEnd"/>
            <w:r w:rsidRPr="00157F7C">
              <w:t xml:space="preserve"> to the x-ray evidence in the </w:t>
            </w:r>
            <w:r w:rsidRPr="00157F7C">
              <w:rPr>
                <w:i/>
                <w:iCs/>
              </w:rPr>
              <w:t>Reasons for Decision</w:t>
            </w:r>
            <w:r w:rsidRPr="00157F7C">
              <w:t xml:space="preserve"> of the rating decision.</w:t>
            </w:r>
          </w:p>
          <w:p w14:paraId="0C46D5B1" w14:textId="77777777" w:rsidR="00A60080" w:rsidRPr="00157F7C" w:rsidRDefault="00A60080">
            <w:pPr>
              <w:pStyle w:val="BlockText"/>
            </w:pPr>
          </w:p>
          <w:p w14:paraId="0C46D5B2" w14:textId="77777777" w:rsidR="00A60080" w:rsidRPr="00157F7C" w:rsidRDefault="00A60080">
            <w:pPr>
              <w:pStyle w:val="BlockText"/>
            </w:pPr>
            <w:r w:rsidRPr="00157F7C">
              <w:rPr>
                <w:b/>
                <w:i/>
              </w:rPr>
              <w:t>Notes</w:t>
            </w:r>
            <w:r w:rsidRPr="00157F7C">
              <w:t xml:space="preserve">:  </w:t>
            </w:r>
          </w:p>
          <w:p w14:paraId="0C46D5B3" w14:textId="77777777" w:rsidR="00A60080" w:rsidRPr="00157F7C" w:rsidRDefault="00A60080">
            <w:pPr>
              <w:pStyle w:val="BulletText1"/>
            </w:pPr>
            <w:r w:rsidRPr="00157F7C">
              <w:t xml:space="preserve">To prove </w:t>
            </w:r>
          </w:p>
          <w:p w14:paraId="0C46D5B4" w14:textId="77777777" w:rsidR="00A60080" w:rsidRPr="00157F7C" w:rsidRDefault="00A60080">
            <w:pPr>
              <w:pStyle w:val="BulletText2"/>
            </w:pPr>
            <w:proofErr w:type="gramStart"/>
            <w:r w:rsidRPr="00157F7C">
              <w:t>direct</w:t>
            </w:r>
            <w:proofErr w:type="gramEnd"/>
            <w:r w:rsidRPr="00157F7C">
              <w:t xml:space="preserve"> service connection, all service films are required. </w:t>
            </w:r>
          </w:p>
          <w:p w14:paraId="0C46D5B5" w14:textId="77777777" w:rsidR="00A60080" w:rsidRPr="00157F7C" w:rsidRDefault="00A60080">
            <w:pPr>
              <w:pStyle w:val="BulletText2"/>
            </w:pPr>
            <w:proofErr w:type="gramStart"/>
            <w:r w:rsidRPr="00157F7C">
              <w:t>presumptive</w:t>
            </w:r>
            <w:proofErr w:type="gramEnd"/>
            <w:r w:rsidRPr="00157F7C">
              <w:t xml:space="preserve"> service connection, at least the discharge film (or a service film used for this) is necessary, along with an adequate number of post-service films.</w:t>
            </w:r>
          </w:p>
          <w:p w14:paraId="0C46D5B6" w14:textId="77777777" w:rsidR="00A60080" w:rsidRPr="00157F7C" w:rsidRDefault="00A60080">
            <w:pPr>
              <w:pStyle w:val="BulletText1"/>
            </w:pPr>
            <w:r w:rsidRPr="00157F7C">
              <w:t xml:space="preserve">Reports of x-ray interpretations </w:t>
            </w:r>
            <w:r w:rsidRPr="00157F7C">
              <w:rPr>
                <w:i/>
              </w:rPr>
              <w:t>must</w:t>
            </w:r>
            <w:r w:rsidRPr="00157F7C">
              <w:t xml:space="preserve"> be adequate for rating purposes.</w:t>
            </w:r>
          </w:p>
        </w:tc>
      </w:tr>
    </w:tbl>
    <w:p w14:paraId="0C46D5B8" w14:textId="77777777" w:rsidR="00A60080" w:rsidRPr="00157F7C" w:rsidRDefault="00FB3DC0">
      <w:pPr>
        <w:pStyle w:val="BlockLine"/>
      </w:pPr>
      <w:r w:rsidRPr="00157F7C">
        <w:fldChar w:fldCharType="begin"/>
      </w:r>
      <w:r w:rsidRPr="00157F7C">
        <w:instrText xml:space="preserve"> PRIVATE INFOTYPE="PRINCIPLE" </w:instrText>
      </w:r>
      <w:r w:rsidRPr="00157F7C">
        <w:fldChar w:fldCharType="end"/>
      </w:r>
    </w:p>
    <w:tbl>
      <w:tblPr>
        <w:tblW w:w="0" w:type="auto"/>
        <w:tblLayout w:type="fixed"/>
        <w:tblLook w:val="0000" w:firstRow="0" w:lastRow="0" w:firstColumn="0" w:lastColumn="0" w:noHBand="0" w:noVBand="0"/>
      </w:tblPr>
      <w:tblGrid>
        <w:gridCol w:w="1728"/>
        <w:gridCol w:w="7740"/>
      </w:tblGrid>
      <w:tr w:rsidR="00A60080" w:rsidRPr="00157F7C" w14:paraId="0C46D5BD" w14:textId="77777777">
        <w:trPr>
          <w:cantSplit/>
        </w:trPr>
        <w:tc>
          <w:tcPr>
            <w:tcW w:w="1728" w:type="dxa"/>
          </w:tcPr>
          <w:p w14:paraId="0C46D5B9" w14:textId="77777777" w:rsidR="00A60080" w:rsidRPr="00157F7C" w:rsidRDefault="00A60080" w:rsidP="003F568B">
            <w:pPr>
              <w:pStyle w:val="Heading5"/>
            </w:pPr>
            <w:bookmarkStart w:id="19" w:name="_f.__Handling"/>
            <w:bookmarkEnd w:id="19"/>
            <w:proofErr w:type="gramStart"/>
            <w:r w:rsidRPr="00157F7C">
              <w:t>f.  Handling</w:t>
            </w:r>
            <w:proofErr w:type="gramEnd"/>
            <w:r w:rsidRPr="00157F7C">
              <w:t xml:space="preserve"> Referrals for X-Ray Interpretation Under </w:t>
            </w:r>
            <w:r w:rsidR="00A235A9" w:rsidRPr="00157F7C">
              <w:t>38 CFR 3.370 and 38 CFR</w:t>
            </w:r>
            <w:r w:rsidR="003F568B" w:rsidRPr="00157F7C">
              <w:t xml:space="preserve"> 3.371</w:t>
            </w:r>
          </w:p>
        </w:tc>
        <w:tc>
          <w:tcPr>
            <w:tcW w:w="7740" w:type="dxa"/>
          </w:tcPr>
          <w:p w14:paraId="0C46D5BA" w14:textId="77777777" w:rsidR="00A60080" w:rsidRPr="00157F7C" w:rsidRDefault="00A60080" w:rsidP="00030426">
            <w:pPr>
              <w:pStyle w:val="BlockText"/>
            </w:pPr>
            <w:r w:rsidRPr="00157F7C">
              <w:t xml:space="preserve">Only designees of the Under Secretary for Health are authorized to interpret of x-ray films under </w:t>
            </w:r>
            <w:hyperlink r:id="rId26" w:history="1">
              <w:r w:rsidR="00A235A9" w:rsidRPr="00157F7C">
                <w:rPr>
                  <w:rStyle w:val="Hyperlink"/>
                </w:rPr>
                <w:t>38 CFR</w:t>
              </w:r>
              <w:r w:rsidR="003F568B" w:rsidRPr="00157F7C">
                <w:rPr>
                  <w:rStyle w:val="Hyperlink"/>
                </w:rPr>
                <w:t xml:space="preserve"> 3</w:t>
              </w:r>
              <w:r w:rsidRPr="00157F7C">
                <w:rPr>
                  <w:rStyle w:val="Hyperlink"/>
                </w:rPr>
                <w:t>.370</w:t>
              </w:r>
            </w:hyperlink>
            <w:r w:rsidRPr="00157F7C">
              <w:t xml:space="preserve"> and </w:t>
            </w:r>
            <w:hyperlink r:id="rId27" w:history="1">
              <w:r w:rsidR="00A235A9" w:rsidRPr="00157F7C">
                <w:rPr>
                  <w:rStyle w:val="Hyperlink"/>
                </w:rPr>
                <w:t>38 CFR</w:t>
              </w:r>
              <w:r w:rsidR="003F568B" w:rsidRPr="00157F7C">
                <w:rPr>
                  <w:rStyle w:val="Hyperlink"/>
                </w:rPr>
                <w:t xml:space="preserve"> 3</w:t>
              </w:r>
              <w:r w:rsidRPr="00157F7C">
                <w:rPr>
                  <w:rStyle w:val="Hyperlink"/>
                </w:rPr>
                <w:t>.371</w:t>
              </w:r>
            </w:hyperlink>
            <w:r w:rsidRPr="00157F7C">
              <w:t xml:space="preserve">.  Refer requests for interpretations to the outpatient clinic for the local regional office (RO).  </w:t>
            </w:r>
          </w:p>
          <w:p w14:paraId="0C46D5BB" w14:textId="77777777" w:rsidR="00A60080" w:rsidRPr="00157F7C" w:rsidRDefault="00A60080">
            <w:pPr>
              <w:pStyle w:val="BlockText"/>
            </w:pPr>
          </w:p>
          <w:p w14:paraId="0C46D5BC" w14:textId="77777777" w:rsidR="00A60080" w:rsidRPr="00157F7C" w:rsidRDefault="00A60080">
            <w:pPr>
              <w:pStyle w:val="BlockText"/>
            </w:pPr>
            <w:r w:rsidRPr="00157F7C">
              <w:rPr>
                <w:b/>
                <w:i/>
              </w:rPr>
              <w:t>Note</w:t>
            </w:r>
            <w:r w:rsidRPr="00157F7C">
              <w:t>:  If the local clinic is not authorized to make such interpretations, the Director will keep the RO informed of the current location of the designated interpreter for the RO area.  In such a case, refer requests directly to the clinic, center, or hospital.</w:t>
            </w:r>
          </w:p>
        </w:tc>
      </w:tr>
    </w:tbl>
    <w:p w14:paraId="0C46D5BE" w14:textId="77777777" w:rsidR="00A60080" w:rsidRPr="00157F7C" w:rsidRDefault="00FB3DC0">
      <w:pPr>
        <w:pStyle w:val="BlockLine"/>
      </w:pPr>
      <w:r w:rsidRPr="00157F7C">
        <w:fldChar w:fldCharType="begin"/>
      </w:r>
      <w:r w:rsidRPr="00157F7C">
        <w:instrText xml:space="preserve"> PRIVATE INFOTYPE="CONCEPT" </w:instrText>
      </w:r>
      <w:r w:rsidRPr="00157F7C">
        <w:fldChar w:fldCharType="end"/>
      </w:r>
    </w:p>
    <w:tbl>
      <w:tblPr>
        <w:tblW w:w="0" w:type="auto"/>
        <w:tblLayout w:type="fixed"/>
        <w:tblLook w:val="0000" w:firstRow="0" w:lastRow="0" w:firstColumn="0" w:lastColumn="0" w:noHBand="0" w:noVBand="0"/>
      </w:tblPr>
      <w:tblGrid>
        <w:gridCol w:w="1728"/>
        <w:gridCol w:w="7740"/>
      </w:tblGrid>
      <w:tr w:rsidR="00A60080" w:rsidRPr="00157F7C" w14:paraId="0C46D5C1" w14:textId="77777777">
        <w:trPr>
          <w:cantSplit/>
        </w:trPr>
        <w:tc>
          <w:tcPr>
            <w:tcW w:w="1728" w:type="dxa"/>
          </w:tcPr>
          <w:p w14:paraId="0C46D5BF" w14:textId="77777777" w:rsidR="00A60080" w:rsidRPr="00157F7C" w:rsidRDefault="00A60080">
            <w:pPr>
              <w:pStyle w:val="Heading5"/>
            </w:pPr>
            <w:bookmarkStart w:id="20" w:name="_g.__Handling"/>
            <w:bookmarkEnd w:id="20"/>
            <w:proofErr w:type="gramStart"/>
            <w:r w:rsidRPr="00157F7C">
              <w:t>g.  Handling</w:t>
            </w:r>
            <w:proofErr w:type="gramEnd"/>
            <w:r w:rsidRPr="00157F7C">
              <w:t xml:space="preserve"> Claims Based on Tuberculin Reaction</w:t>
            </w:r>
          </w:p>
        </w:tc>
        <w:tc>
          <w:tcPr>
            <w:tcW w:w="7740" w:type="dxa"/>
          </w:tcPr>
          <w:p w14:paraId="0C46D5C0" w14:textId="77777777" w:rsidR="00A60080" w:rsidRPr="00157F7C" w:rsidRDefault="00A60080">
            <w:pPr>
              <w:pStyle w:val="BlockText"/>
              <w:rPr>
                <w:b/>
              </w:rPr>
            </w:pPr>
            <w:r w:rsidRPr="00157F7C">
              <w:rPr>
                <w:b/>
                <w:i/>
              </w:rPr>
              <w:t>Reference</w:t>
            </w:r>
            <w:r w:rsidRPr="00157F7C">
              <w:t xml:space="preserve">:  For more information on claims based on positive tuberculin reaction, see </w:t>
            </w:r>
            <w:hyperlink r:id="rId28" w:history="1">
              <w:r w:rsidRPr="00157F7C">
                <w:rPr>
                  <w:rStyle w:val="Hyperlink"/>
                </w:rPr>
                <w:t>M21-1MR, Part IV, Subpart ii, 1.H.26</w:t>
              </w:r>
            </w:hyperlink>
            <w:r w:rsidRPr="00157F7C">
              <w:t>.</w:t>
            </w:r>
          </w:p>
        </w:tc>
      </w:tr>
    </w:tbl>
    <w:p w14:paraId="0C46D5C2" w14:textId="77777777" w:rsidR="00A60080" w:rsidRPr="00157F7C" w:rsidRDefault="00A60080">
      <w:pPr>
        <w:pStyle w:val="BlockLine"/>
      </w:pPr>
    </w:p>
    <w:p w14:paraId="0C46D5C3" w14:textId="77777777" w:rsidR="00A60080" w:rsidRPr="00157F7C" w:rsidRDefault="00A60080">
      <w:pPr>
        <w:pStyle w:val="Heading4"/>
      </w:pPr>
      <w:bookmarkStart w:id="21" w:name="_18.__Arrested"/>
      <w:bookmarkEnd w:id="21"/>
      <w:r w:rsidRPr="00157F7C">
        <w:br w:type="page"/>
      </w:r>
      <w:r w:rsidRPr="00157F7C">
        <w:lastRenderedPageBreak/>
        <w:t xml:space="preserve">18.  </w:t>
      </w:r>
      <w:bookmarkStart w:id="22" w:name="Topic18"/>
      <w:bookmarkEnd w:id="22"/>
      <w:r w:rsidRPr="00157F7C">
        <w:t>Arrested Tuberculosis</w:t>
      </w:r>
    </w:p>
    <w:p w14:paraId="0C46D5C4" w14:textId="77777777" w:rsidR="00A60080" w:rsidRPr="00157F7C" w:rsidRDefault="00A60080">
      <w:pPr>
        <w:pStyle w:val="BlockLine"/>
      </w:pPr>
      <w:r w:rsidRPr="00157F7C">
        <w:fldChar w:fldCharType="begin"/>
      </w:r>
      <w:r w:rsidRPr="00157F7C">
        <w:instrText xml:space="preserve"> PRIVATE INFOTYPE="OTHER" </w:instrText>
      </w:r>
      <w:r w:rsidRPr="00157F7C">
        <w:fldChar w:fldCharType="end"/>
      </w:r>
    </w:p>
    <w:tbl>
      <w:tblPr>
        <w:tblW w:w="0" w:type="auto"/>
        <w:tblLayout w:type="fixed"/>
        <w:tblLook w:val="0000" w:firstRow="0" w:lastRow="0" w:firstColumn="0" w:lastColumn="0" w:noHBand="0" w:noVBand="0"/>
      </w:tblPr>
      <w:tblGrid>
        <w:gridCol w:w="1728"/>
        <w:gridCol w:w="7740"/>
      </w:tblGrid>
      <w:tr w:rsidR="00A60080" w:rsidRPr="00157F7C" w14:paraId="0C46D5CD" w14:textId="77777777">
        <w:trPr>
          <w:cantSplit/>
        </w:trPr>
        <w:tc>
          <w:tcPr>
            <w:tcW w:w="1728" w:type="dxa"/>
          </w:tcPr>
          <w:p w14:paraId="0C46D5C5" w14:textId="77777777" w:rsidR="00A60080" w:rsidRPr="00157F7C" w:rsidRDefault="00A60080">
            <w:pPr>
              <w:pStyle w:val="Heading5"/>
            </w:pPr>
            <w:r w:rsidRPr="00157F7C">
              <w:t>Introduction</w:t>
            </w:r>
          </w:p>
        </w:tc>
        <w:tc>
          <w:tcPr>
            <w:tcW w:w="7740" w:type="dxa"/>
          </w:tcPr>
          <w:p w14:paraId="0C46D5C6" w14:textId="77777777" w:rsidR="00A60080" w:rsidRPr="00157F7C" w:rsidRDefault="00A60080">
            <w:pPr>
              <w:pStyle w:val="BlockText"/>
            </w:pPr>
            <w:r w:rsidRPr="00157F7C">
              <w:t>This topic contains information about arrested tuberculosis, including</w:t>
            </w:r>
          </w:p>
          <w:p w14:paraId="0C46D5C7" w14:textId="77777777" w:rsidR="00A60080" w:rsidRPr="00157F7C" w:rsidRDefault="00A60080">
            <w:pPr>
              <w:pStyle w:val="BlockText"/>
            </w:pPr>
          </w:p>
          <w:p w14:paraId="0C46D5C8" w14:textId="14C07E13" w:rsidR="00A60080" w:rsidRPr="00157F7C" w:rsidRDefault="00157F7C">
            <w:pPr>
              <w:pStyle w:val="BulletText1"/>
            </w:pPr>
            <w:hyperlink w:anchor="_a.__Handling" w:history="1">
              <w:r w:rsidR="00A60080" w:rsidRPr="00157F7C">
                <w:rPr>
                  <w:rStyle w:val="Hyperlink"/>
                </w:rPr>
                <w:t>handling graduated ratings in effect on August 19, 1968</w:t>
              </w:r>
            </w:hyperlink>
          </w:p>
          <w:p w14:paraId="0C46D5C9" w14:textId="75D0C9DF" w:rsidR="00A60080" w:rsidRPr="00157F7C" w:rsidRDefault="00157F7C">
            <w:pPr>
              <w:pStyle w:val="BulletText1"/>
            </w:pPr>
            <w:hyperlink w:anchor="_b.__Handling" w:history="1">
              <w:r w:rsidR="00A60080" w:rsidRPr="00157F7C">
                <w:rPr>
                  <w:rStyle w:val="Hyperlink"/>
                </w:rPr>
                <w:t>handling ratings in effect after August 19, 1968</w:t>
              </w:r>
            </w:hyperlink>
          </w:p>
          <w:p w14:paraId="0C46D5CA" w14:textId="019EB61C" w:rsidR="00A60080" w:rsidRPr="00157F7C" w:rsidRDefault="00157F7C">
            <w:pPr>
              <w:pStyle w:val="BulletText1"/>
            </w:pPr>
            <w:hyperlink w:anchor="_c.__Requesting" w:history="1">
              <w:r w:rsidR="00A60080" w:rsidRPr="00157F7C">
                <w:rPr>
                  <w:rStyle w:val="Hyperlink"/>
                </w:rPr>
                <w:t>requesting examinations during the graduated rating period</w:t>
              </w:r>
            </w:hyperlink>
          </w:p>
          <w:p w14:paraId="0C46D5CB" w14:textId="57F41AD7" w:rsidR="00A60080" w:rsidRPr="00157F7C" w:rsidRDefault="00157F7C">
            <w:pPr>
              <w:pStyle w:val="BulletText1"/>
            </w:pPr>
            <w:hyperlink w:anchor="_d.__Handling" w:history="1">
              <w:r w:rsidR="00A60080" w:rsidRPr="00157F7C">
                <w:rPr>
                  <w:rStyle w:val="Hyperlink"/>
                </w:rPr>
                <w:t>handling notification of failure to follow treatment or submit to examination</w:t>
              </w:r>
            </w:hyperlink>
            <w:r w:rsidR="00A60080" w:rsidRPr="00157F7C">
              <w:t>, and</w:t>
            </w:r>
          </w:p>
          <w:p w14:paraId="0C46D5CC" w14:textId="43A739A6" w:rsidR="00A60080" w:rsidRPr="00157F7C" w:rsidRDefault="00157F7C">
            <w:pPr>
              <w:pStyle w:val="BulletText1"/>
            </w:pPr>
            <w:hyperlink w:anchor="_e.__Handling" w:history="1">
              <w:proofErr w:type="gramStart"/>
              <w:r w:rsidR="00A60080" w:rsidRPr="00157F7C">
                <w:rPr>
                  <w:rStyle w:val="Hyperlink"/>
                </w:rPr>
                <w:t>handling</w:t>
              </w:r>
              <w:proofErr w:type="gramEnd"/>
              <w:r w:rsidR="00A60080" w:rsidRPr="00157F7C">
                <w:rPr>
                  <w:rStyle w:val="Hyperlink"/>
                </w:rPr>
                <w:t xml:space="preserve"> cases of irregular discharge</w:t>
              </w:r>
            </w:hyperlink>
            <w:r w:rsidR="00A60080" w:rsidRPr="00157F7C">
              <w:t>.</w:t>
            </w:r>
          </w:p>
        </w:tc>
      </w:tr>
    </w:tbl>
    <w:p w14:paraId="0C46D5CE" w14:textId="77777777" w:rsidR="00A60080" w:rsidRPr="00157F7C" w:rsidRDefault="00A60080">
      <w:pPr>
        <w:pStyle w:val="BlockLine"/>
      </w:pPr>
    </w:p>
    <w:tbl>
      <w:tblPr>
        <w:tblW w:w="0" w:type="auto"/>
        <w:tblLayout w:type="fixed"/>
        <w:tblLook w:val="0000" w:firstRow="0" w:lastRow="0" w:firstColumn="0" w:lastColumn="0" w:noHBand="0" w:noVBand="0"/>
      </w:tblPr>
      <w:tblGrid>
        <w:gridCol w:w="1728"/>
        <w:gridCol w:w="7740"/>
      </w:tblGrid>
      <w:tr w:rsidR="00A60080" w:rsidRPr="00157F7C" w14:paraId="0C46D5D1" w14:textId="77777777">
        <w:trPr>
          <w:cantSplit/>
        </w:trPr>
        <w:tc>
          <w:tcPr>
            <w:tcW w:w="1728" w:type="dxa"/>
          </w:tcPr>
          <w:p w14:paraId="0C46D5CF" w14:textId="77777777" w:rsidR="00A60080" w:rsidRPr="00157F7C" w:rsidRDefault="00A60080">
            <w:pPr>
              <w:pStyle w:val="Heading5"/>
            </w:pPr>
            <w:r w:rsidRPr="00157F7C">
              <w:t>Change Date</w:t>
            </w:r>
          </w:p>
        </w:tc>
        <w:tc>
          <w:tcPr>
            <w:tcW w:w="7740" w:type="dxa"/>
          </w:tcPr>
          <w:p w14:paraId="0C46D5D0" w14:textId="77777777" w:rsidR="00A60080" w:rsidRPr="00157F7C" w:rsidRDefault="00FB5894">
            <w:pPr>
              <w:pStyle w:val="BlockText"/>
            </w:pPr>
            <w:r w:rsidRPr="00157F7C">
              <w:t>August 3, 2011</w:t>
            </w:r>
          </w:p>
        </w:tc>
      </w:tr>
    </w:tbl>
    <w:p w14:paraId="0C46D5D2" w14:textId="77777777" w:rsidR="00A60080" w:rsidRPr="00157F7C" w:rsidRDefault="00FB3DC0">
      <w:pPr>
        <w:pStyle w:val="BlockLine"/>
      </w:pPr>
      <w:r w:rsidRPr="00157F7C">
        <w:fldChar w:fldCharType="begin"/>
      </w:r>
      <w:r w:rsidRPr="00157F7C">
        <w:instrText xml:space="preserve"> PRIVATE INFOTYPE="PRINCIPLE" </w:instrText>
      </w:r>
      <w:r w:rsidRPr="00157F7C">
        <w:fldChar w:fldCharType="end"/>
      </w:r>
    </w:p>
    <w:tbl>
      <w:tblPr>
        <w:tblW w:w="0" w:type="auto"/>
        <w:tblLayout w:type="fixed"/>
        <w:tblLook w:val="0000" w:firstRow="0" w:lastRow="0" w:firstColumn="0" w:lastColumn="0" w:noHBand="0" w:noVBand="0"/>
      </w:tblPr>
      <w:tblGrid>
        <w:gridCol w:w="1728"/>
        <w:gridCol w:w="7740"/>
      </w:tblGrid>
      <w:tr w:rsidR="00A60080" w:rsidRPr="00157F7C" w14:paraId="0C46D5DE" w14:textId="77777777">
        <w:trPr>
          <w:cantSplit/>
        </w:trPr>
        <w:tc>
          <w:tcPr>
            <w:tcW w:w="1728" w:type="dxa"/>
          </w:tcPr>
          <w:p w14:paraId="0C46D5D3" w14:textId="77777777" w:rsidR="00A60080" w:rsidRPr="00157F7C" w:rsidRDefault="00A60080">
            <w:pPr>
              <w:pStyle w:val="Heading5"/>
            </w:pPr>
            <w:bookmarkStart w:id="23" w:name="_a.__Handling"/>
            <w:bookmarkEnd w:id="23"/>
            <w:proofErr w:type="gramStart"/>
            <w:r w:rsidRPr="00157F7C">
              <w:t>a.  Handling</w:t>
            </w:r>
            <w:proofErr w:type="gramEnd"/>
            <w:r w:rsidRPr="00157F7C">
              <w:t xml:space="preserve"> Graduated Ratings in Effect on August 19, 1968</w:t>
            </w:r>
          </w:p>
        </w:tc>
        <w:tc>
          <w:tcPr>
            <w:tcW w:w="7740" w:type="dxa"/>
          </w:tcPr>
          <w:p w14:paraId="0C46D5D4" w14:textId="77777777" w:rsidR="00A60080" w:rsidRPr="00157F7C" w:rsidRDefault="00A60080">
            <w:pPr>
              <w:pStyle w:val="BlockText"/>
            </w:pPr>
            <w:r w:rsidRPr="00157F7C">
              <w:t>For graduated ratings in effect on August 19, 1968,</w:t>
            </w:r>
          </w:p>
          <w:p w14:paraId="0C46D5D5" w14:textId="77777777" w:rsidR="00A60080" w:rsidRPr="00157F7C" w:rsidRDefault="00A60080">
            <w:pPr>
              <w:pStyle w:val="BlockText"/>
            </w:pPr>
          </w:p>
          <w:p w14:paraId="0C46D5D6" w14:textId="77777777" w:rsidR="00A60080" w:rsidRPr="00157F7C" w:rsidRDefault="00A60080" w:rsidP="003F568B">
            <w:pPr>
              <w:pStyle w:val="BulletText1"/>
            </w:pPr>
            <w:r w:rsidRPr="00157F7C">
              <w:t xml:space="preserve">grant a total evaluation for two years after the date of complete arrest or inactivity established under </w:t>
            </w:r>
            <w:hyperlink r:id="rId29" w:history="1">
              <w:r w:rsidR="00A235A9" w:rsidRPr="00157F7C">
                <w:rPr>
                  <w:rStyle w:val="Hyperlink"/>
                </w:rPr>
                <w:t>38 CFR</w:t>
              </w:r>
              <w:r w:rsidR="003F568B" w:rsidRPr="00157F7C">
                <w:rPr>
                  <w:rStyle w:val="Hyperlink"/>
                </w:rPr>
                <w:t xml:space="preserve"> 3</w:t>
              </w:r>
              <w:r w:rsidRPr="00157F7C">
                <w:rPr>
                  <w:rStyle w:val="Hyperlink"/>
                </w:rPr>
                <w:t>.375(a)</w:t>
              </w:r>
            </w:hyperlink>
          </w:p>
          <w:p w14:paraId="0C46D5D7" w14:textId="77777777" w:rsidR="00A60080" w:rsidRPr="00157F7C" w:rsidRDefault="00A60080">
            <w:pPr>
              <w:pStyle w:val="BulletText1"/>
            </w:pPr>
            <w:r w:rsidRPr="00157F7C">
              <w:t>as set forth under the general rating formula following DC 6724 of the rating schedule</w:t>
            </w:r>
          </w:p>
          <w:p w14:paraId="0C46D5D8" w14:textId="77777777" w:rsidR="00A60080" w:rsidRPr="00157F7C" w:rsidRDefault="00A60080">
            <w:pPr>
              <w:pStyle w:val="BulletText2"/>
            </w:pPr>
            <w:r w:rsidRPr="00157F7C">
              <w:t>reduce the evaluation to 50 percent for four years, and</w:t>
            </w:r>
          </w:p>
          <w:p w14:paraId="0C46D5D9" w14:textId="77777777" w:rsidR="00A60080" w:rsidRPr="00157F7C" w:rsidRDefault="00A60080">
            <w:pPr>
              <w:pStyle w:val="BulletText2"/>
            </w:pPr>
            <w:r w:rsidRPr="00157F7C">
              <w:t>reduce the evaluation to 30 percent for another five years, and</w:t>
            </w:r>
          </w:p>
          <w:p w14:paraId="0C46D5DA" w14:textId="77777777" w:rsidR="00A60080" w:rsidRPr="00157F7C" w:rsidRDefault="00A60080">
            <w:pPr>
              <w:pStyle w:val="BulletText1"/>
            </w:pPr>
            <w:r w:rsidRPr="00157F7C">
              <w:t>after the expiration of the 11-year period</w:t>
            </w:r>
          </w:p>
          <w:p w14:paraId="0C46D5DB" w14:textId="77777777" w:rsidR="00A60080" w:rsidRPr="00157F7C" w:rsidRDefault="00A60080">
            <w:pPr>
              <w:pStyle w:val="BulletText2"/>
            </w:pPr>
            <w:r w:rsidRPr="00157F7C">
              <w:t>continue the 30 percent evaluation, if far advanced active lesions exist</w:t>
            </w:r>
          </w:p>
          <w:p w14:paraId="0C46D5DC" w14:textId="77777777" w:rsidR="00A60080" w:rsidRPr="00157F7C" w:rsidRDefault="00A60080">
            <w:pPr>
              <w:pStyle w:val="BulletText2"/>
            </w:pPr>
            <w:r w:rsidRPr="00157F7C">
              <w:t>assign a 20 percent evaluation, if there are moderately advanced lesions with continued disability, or</w:t>
            </w:r>
          </w:p>
          <w:p w14:paraId="0C46D5DD" w14:textId="77777777" w:rsidR="00A60080" w:rsidRPr="00157F7C" w:rsidRDefault="00A60080" w:rsidP="003F568B">
            <w:pPr>
              <w:pStyle w:val="BulletText2"/>
            </w:pPr>
            <w:proofErr w:type="gramStart"/>
            <w:r w:rsidRPr="00157F7C">
              <w:t>assi</w:t>
            </w:r>
            <w:r w:rsidR="003F568B" w:rsidRPr="00157F7C">
              <w:t>gn</w:t>
            </w:r>
            <w:proofErr w:type="gramEnd"/>
            <w:r w:rsidR="003F568B" w:rsidRPr="00157F7C">
              <w:t xml:space="preserve"> a zero percent evaluation if the first two criteria do not apply</w:t>
            </w:r>
            <w:r w:rsidRPr="00157F7C">
              <w:t>.</w:t>
            </w:r>
          </w:p>
        </w:tc>
      </w:tr>
    </w:tbl>
    <w:p w14:paraId="0C46D5DF" w14:textId="77777777" w:rsidR="00A60080" w:rsidRPr="00157F7C" w:rsidRDefault="00FB3DC0">
      <w:pPr>
        <w:pStyle w:val="BlockLine"/>
      </w:pPr>
      <w:r w:rsidRPr="00157F7C">
        <w:fldChar w:fldCharType="begin"/>
      </w:r>
      <w:r w:rsidRPr="00157F7C">
        <w:instrText xml:space="preserve"> PRIVATE INFOTYPE="PRINCIPLE" </w:instrText>
      </w:r>
      <w:r w:rsidRPr="00157F7C">
        <w:fldChar w:fldCharType="end"/>
      </w:r>
      <w:r w:rsidR="00A60080" w:rsidRPr="00157F7C">
        <w:t xml:space="preserve"> </w:t>
      </w:r>
    </w:p>
    <w:tbl>
      <w:tblPr>
        <w:tblW w:w="0" w:type="auto"/>
        <w:tblLayout w:type="fixed"/>
        <w:tblLook w:val="0000" w:firstRow="0" w:lastRow="0" w:firstColumn="0" w:lastColumn="0" w:noHBand="0" w:noVBand="0"/>
      </w:tblPr>
      <w:tblGrid>
        <w:gridCol w:w="1728"/>
        <w:gridCol w:w="7740"/>
      </w:tblGrid>
      <w:tr w:rsidR="00A60080" w:rsidRPr="00157F7C" w14:paraId="0C46D5E5" w14:textId="77777777">
        <w:trPr>
          <w:cantSplit/>
        </w:trPr>
        <w:tc>
          <w:tcPr>
            <w:tcW w:w="1728" w:type="dxa"/>
          </w:tcPr>
          <w:p w14:paraId="0C46D5E0" w14:textId="77777777" w:rsidR="00A60080" w:rsidRPr="00157F7C" w:rsidRDefault="00A60080">
            <w:pPr>
              <w:pStyle w:val="Heading5"/>
            </w:pPr>
            <w:bookmarkStart w:id="24" w:name="_b.__Handling"/>
            <w:bookmarkEnd w:id="24"/>
            <w:proofErr w:type="gramStart"/>
            <w:r w:rsidRPr="00157F7C">
              <w:t>b.  Handling</w:t>
            </w:r>
            <w:proofErr w:type="gramEnd"/>
            <w:r w:rsidRPr="00157F7C">
              <w:t xml:space="preserve"> Ratings in Effect After August 19, 1968</w:t>
            </w:r>
          </w:p>
        </w:tc>
        <w:tc>
          <w:tcPr>
            <w:tcW w:w="7740" w:type="dxa"/>
          </w:tcPr>
          <w:p w14:paraId="0C46D5E1" w14:textId="77777777" w:rsidR="00A60080" w:rsidRPr="00157F7C" w:rsidRDefault="00A60080">
            <w:pPr>
              <w:pStyle w:val="BlockText"/>
            </w:pPr>
            <w:r w:rsidRPr="00157F7C">
              <w:t xml:space="preserve">If pulmonary tuberculosis is established </w:t>
            </w:r>
            <w:r w:rsidRPr="00157F7C">
              <w:rPr>
                <w:i/>
              </w:rPr>
              <w:t>after</w:t>
            </w:r>
            <w:r w:rsidRPr="00157F7C">
              <w:t xml:space="preserve"> August 19, 1968, </w:t>
            </w:r>
          </w:p>
          <w:p w14:paraId="0C46D5E2" w14:textId="77777777" w:rsidR="00A60080" w:rsidRPr="00157F7C" w:rsidRDefault="00A60080">
            <w:pPr>
              <w:pStyle w:val="BlockText"/>
            </w:pPr>
          </w:p>
          <w:p w14:paraId="0C46D5E3" w14:textId="77777777" w:rsidR="00A60080" w:rsidRPr="00157F7C" w:rsidRDefault="00A60080" w:rsidP="003F568B">
            <w:pPr>
              <w:pStyle w:val="BulletText1"/>
            </w:pPr>
            <w:r w:rsidRPr="00157F7C">
              <w:t>continue the 100 percent evaluation for one ye</w:t>
            </w:r>
            <w:r w:rsidR="003F568B" w:rsidRPr="00157F7C">
              <w:t xml:space="preserve">ar after the date of inactivity </w:t>
            </w:r>
            <w:r w:rsidRPr="00157F7C">
              <w:t xml:space="preserve">established under </w:t>
            </w:r>
            <w:hyperlink r:id="rId30" w:history="1">
              <w:r w:rsidR="00A235A9" w:rsidRPr="00157F7C">
                <w:rPr>
                  <w:rStyle w:val="Hyperlink"/>
                </w:rPr>
                <w:t>38 CFR</w:t>
              </w:r>
              <w:r w:rsidR="003F568B" w:rsidRPr="00157F7C">
                <w:rPr>
                  <w:rStyle w:val="Hyperlink"/>
                </w:rPr>
                <w:t xml:space="preserve"> 3</w:t>
              </w:r>
              <w:r w:rsidRPr="00157F7C">
                <w:rPr>
                  <w:rStyle w:val="Hyperlink"/>
                </w:rPr>
                <w:t>.375(a)</w:t>
              </w:r>
            </w:hyperlink>
            <w:r w:rsidRPr="00157F7C">
              <w:t>, and</w:t>
            </w:r>
          </w:p>
          <w:p w14:paraId="0C46D5E4" w14:textId="77777777" w:rsidR="00A60080" w:rsidRPr="00157F7C" w:rsidRDefault="00A60080">
            <w:pPr>
              <w:pStyle w:val="BulletText1"/>
            </w:pPr>
            <w:proofErr w:type="gramStart"/>
            <w:r w:rsidRPr="00157F7C">
              <w:t>thereafter</w:t>
            </w:r>
            <w:proofErr w:type="gramEnd"/>
            <w:r w:rsidRPr="00157F7C">
              <w:t xml:space="preserve"> apply the general rating formula for residuals in the rating schedule under DC 6731.</w:t>
            </w:r>
          </w:p>
        </w:tc>
      </w:tr>
    </w:tbl>
    <w:p w14:paraId="0C46D5E6" w14:textId="77777777" w:rsidR="00A60080" w:rsidRPr="00157F7C" w:rsidRDefault="00A60080">
      <w:pPr>
        <w:pStyle w:val="ContinuedOnNextPa"/>
      </w:pPr>
      <w:r w:rsidRPr="00157F7C">
        <w:t>Continued on next page</w:t>
      </w:r>
    </w:p>
    <w:p w14:paraId="0C46D5E7" w14:textId="77777777" w:rsidR="00A60080" w:rsidRPr="00157F7C" w:rsidRDefault="00A60080">
      <w:pPr>
        <w:pStyle w:val="MapTitleContinued"/>
        <w:rPr>
          <w:b w:val="0"/>
          <w:sz w:val="24"/>
        </w:rPr>
      </w:pPr>
      <w:r w:rsidRPr="00157F7C">
        <w:br w:type="page"/>
      </w:r>
      <w:r w:rsidRPr="00157F7C">
        <w:lastRenderedPageBreak/>
        <w:fldChar w:fldCharType="begin"/>
      </w:r>
      <w:r w:rsidRPr="00157F7C">
        <w:instrText>styleref "Map Title"</w:instrText>
      </w:r>
      <w:r w:rsidRPr="00157F7C">
        <w:fldChar w:fldCharType="separate"/>
      </w:r>
      <w:r w:rsidR="0031250B" w:rsidRPr="00157F7C">
        <w:rPr>
          <w:noProof/>
        </w:rPr>
        <w:t>18.  Arrested Tuberculosis</w:t>
      </w:r>
      <w:r w:rsidRPr="00157F7C">
        <w:fldChar w:fldCharType="end"/>
      </w:r>
      <w:r w:rsidRPr="00157F7C">
        <w:t xml:space="preserve">, </w:t>
      </w:r>
      <w:r w:rsidRPr="00157F7C">
        <w:rPr>
          <w:b w:val="0"/>
          <w:sz w:val="24"/>
        </w:rPr>
        <w:t>Continued</w:t>
      </w:r>
    </w:p>
    <w:p w14:paraId="0C46D5E8" w14:textId="77777777" w:rsidR="00A60080" w:rsidRPr="00157F7C" w:rsidRDefault="00FB3DC0">
      <w:pPr>
        <w:pStyle w:val="BlockLine"/>
      </w:pPr>
      <w:r w:rsidRPr="00157F7C">
        <w:fldChar w:fldCharType="begin"/>
      </w:r>
      <w:r w:rsidRPr="00157F7C">
        <w:instrText xml:space="preserve"> PRIVATE INFOTYPE="PRINCIPLE" </w:instrText>
      </w:r>
      <w:r w:rsidRPr="00157F7C">
        <w:fldChar w:fldCharType="end"/>
      </w:r>
    </w:p>
    <w:tbl>
      <w:tblPr>
        <w:tblW w:w="0" w:type="auto"/>
        <w:tblLayout w:type="fixed"/>
        <w:tblLook w:val="0000" w:firstRow="0" w:lastRow="0" w:firstColumn="0" w:lastColumn="0" w:noHBand="0" w:noVBand="0"/>
      </w:tblPr>
      <w:tblGrid>
        <w:gridCol w:w="1728"/>
        <w:gridCol w:w="7740"/>
      </w:tblGrid>
      <w:tr w:rsidR="00A60080" w:rsidRPr="00157F7C" w14:paraId="0C46D5EB" w14:textId="77777777">
        <w:trPr>
          <w:cantSplit/>
        </w:trPr>
        <w:tc>
          <w:tcPr>
            <w:tcW w:w="1728" w:type="dxa"/>
          </w:tcPr>
          <w:p w14:paraId="0C46D5E9" w14:textId="77777777" w:rsidR="00A60080" w:rsidRPr="00157F7C" w:rsidRDefault="00A60080">
            <w:pPr>
              <w:pStyle w:val="Heading5"/>
            </w:pPr>
            <w:bookmarkStart w:id="25" w:name="_c.__Requesting"/>
            <w:bookmarkEnd w:id="25"/>
            <w:proofErr w:type="gramStart"/>
            <w:r w:rsidRPr="00157F7C">
              <w:t>c.  Requesting</w:t>
            </w:r>
            <w:proofErr w:type="gramEnd"/>
            <w:r w:rsidRPr="00157F7C">
              <w:t xml:space="preserve"> Examinations During the Graduated Rating Period</w:t>
            </w:r>
          </w:p>
        </w:tc>
        <w:tc>
          <w:tcPr>
            <w:tcW w:w="7740" w:type="dxa"/>
          </w:tcPr>
          <w:p w14:paraId="0C46D5EA" w14:textId="77777777" w:rsidR="00A60080" w:rsidRPr="00157F7C" w:rsidRDefault="00A60080">
            <w:pPr>
              <w:pStyle w:val="BlockText"/>
            </w:pPr>
            <w:r w:rsidRPr="00157F7C">
              <w:t xml:space="preserve">Do </w:t>
            </w:r>
            <w:r w:rsidRPr="00157F7C">
              <w:rPr>
                <w:i/>
              </w:rPr>
              <w:t>not</w:t>
            </w:r>
            <w:r w:rsidRPr="00157F7C">
              <w:t xml:space="preserve"> request an examination for rating purposes during the period covered by the graduated ratings.</w:t>
            </w:r>
          </w:p>
        </w:tc>
      </w:tr>
    </w:tbl>
    <w:p w14:paraId="0C46D5EC" w14:textId="77777777" w:rsidR="00A60080" w:rsidRPr="00157F7C" w:rsidRDefault="00480DB9">
      <w:pPr>
        <w:pStyle w:val="BlockLine"/>
      </w:pPr>
      <w:r w:rsidRPr="00157F7C">
        <w:fldChar w:fldCharType="begin"/>
      </w:r>
      <w:r w:rsidRPr="00157F7C">
        <w:instrText xml:space="preserve"> PRIVATE INFOTYPE="PROCESS" </w:instrText>
      </w:r>
      <w:r w:rsidRPr="00157F7C">
        <w:fldChar w:fldCharType="end"/>
      </w:r>
    </w:p>
    <w:tbl>
      <w:tblPr>
        <w:tblW w:w="0" w:type="auto"/>
        <w:tblLayout w:type="fixed"/>
        <w:tblLook w:val="0000" w:firstRow="0" w:lastRow="0" w:firstColumn="0" w:lastColumn="0" w:noHBand="0" w:noVBand="0"/>
      </w:tblPr>
      <w:tblGrid>
        <w:gridCol w:w="1728"/>
        <w:gridCol w:w="7740"/>
      </w:tblGrid>
      <w:tr w:rsidR="00A60080" w:rsidRPr="00157F7C" w14:paraId="0C46D5F8" w14:textId="77777777">
        <w:trPr>
          <w:cantSplit/>
        </w:trPr>
        <w:tc>
          <w:tcPr>
            <w:tcW w:w="1728" w:type="dxa"/>
          </w:tcPr>
          <w:p w14:paraId="0C46D5ED" w14:textId="77777777" w:rsidR="00A60080" w:rsidRPr="00157F7C" w:rsidRDefault="00A60080">
            <w:pPr>
              <w:pStyle w:val="Heading5"/>
            </w:pPr>
            <w:bookmarkStart w:id="26" w:name="_d.__Handling"/>
            <w:bookmarkEnd w:id="26"/>
            <w:proofErr w:type="gramStart"/>
            <w:r w:rsidRPr="00157F7C">
              <w:t>d.  Handling</w:t>
            </w:r>
            <w:proofErr w:type="gramEnd"/>
            <w:r w:rsidRPr="00157F7C">
              <w:t xml:space="preserve"> Notification of Failure to Follow Treatment or Submit to Examination</w:t>
            </w:r>
          </w:p>
        </w:tc>
        <w:tc>
          <w:tcPr>
            <w:tcW w:w="7740" w:type="dxa"/>
          </w:tcPr>
          <w:p w14:paraId="0C46D5EE" w14:textId="77777777" w:rsidR="00A60080" w:rsidRPr="00157F7C" w:rsidRDefault="00A60080">
            <w:pPr>
              <w:pStyle w:val="BlockText"/>
            </w:pPr>
            <w:r w:rsidRPr="00157F7C">
              <w:t xml:space="preserve">Medical authorities will notify the RO of a </w:t>
            </w:r>
            <w:r w:rsidR="00F23D0E" w:rsidRPr="00157F7C">
              <w:t>Veteran</w:t>
            </w:r>
            <w:r w:rsidRPr="00157F7C">
              <w:t xml:space="preserve">’s failure to follow prescribed treatment or submit to examination requested for treatment purposes during the period of total disability following complete arrest of the tuberculosis. </w:t>
            </w:r>
          </w:p>
          <w:p w14:paraId="0C46D5EF" w14:textId="77777777" w:rsidR="00A60080" w:rsidRPr="00157F7C" w:rsidRDefault="00A60080">
            <w:pPr>
              <w:pStyle w:val="BlockText"/>
            </w:pPr>
          </w:p>
          <w:p w14:paraId="0C46D5F0" w14:textId="77777777" w:rsidR="00A60080" w:rsidRPr="00157F7C" w:rsidRDefault="00A60080" w:rsidP="003F568B">
            <w:pPr>
              <w:pStyle w:val="BlockText"/>
            </w:pPr>
            <w:r w:rsidRPr="00157F7C">
              <w:t xml:space="preserve">After the notification is received, follow the due process procedures of </w:t>
            </w:r>
            <w:hyperlink r:id="rId31" w:history="1">
              <w:r w:rsidR="00A235A9" w:rsidRPr="00157F7C">
                <w:rPr>
                  <w:rStyle w:val="Hyperlink"/>
                </w:rPr>
                <w:t>38 CFR</w:t>
              </w:r>
              <w:r w:rsidR="003F568B" w:rsidRPr="00157F7C">
                <w:rPr>
                  <w:rStyle w:val="Hyperlink"/>
                </w:rPr>
                <w:t xml:space="preserve"> 3</w:t>
              </w:r>
              <w:r w:rsidRPr="00157F7C">
                <w:rPr>
                  <w:rStyle w:val="Hyperlink"/>
                </w:rPr>
                <w:t>.655</w:t>
              </w:r>
            </w:hyperlink>
            <w:r w:rsidRPr="00157F7C">
              <w:t xml:space="preserve"> and furnish the </w:t>
            </w:r>
            <w:r w:rsidR="00F23D0E" w:rsidRPr="00157F7C">
              <w:t>Veteran</w:t>
            </w:r>
            <w:r w:rsidRPr="00157F7C">
              <w:t xml:space="preserve"> a notice of proposed adverse action.  Upon expiration of the due process period</w:t>
            </w:r>
          </w:p>
          <w:p w14:paraId="0C46D5F1" w14:textId="77777777" w:rsidR="00A60080" w:rsidRPr="00157F7C" w:rsidRDefault="00A60080">
            <w:pPr>
              <w:pStyle w:val="BlockText"/>
            </w:pPr>
          </w:p>
          <w:p w14:paraId="0C46D5F2" w14:textId="77777777" w:rsidR="00A60080" w:rsidRPr="00157F7C" w:rsidRDefault="00A60080">
            <w:pPr>
              <w:pStyle w:val="BulletText1"/>
            </w:pPr>
            <w:r w:rsidRPr="00157F7C">
              <w:t>reduce the 100 percent evaluation to 50 percent by rating action, and</w:t>
            </w:r>
          </w:p>
          <w:p w14:paraId="0C46D5F3" w14:textId="77777777" w:rsidR="00A60080" w:rsidRPr="00157F7C" w:rsidRDefault="00A60080">
            <w:pPr>
              <w:pStyle w:val="BulletText1"/>
            </w:pPr>
            <w:proofErr w:type="gramStart"/>
            <w:r w:rsidRPr="00157F7C">
              <w:t>adjust</w:t>
            </w:r>
            <w:proofErr w:type="gramEnd"/>
            <w:r w:rsidRPr="00157F7C">
              <w:t xml:space="preserve"> the </w:t>
            </w:r>
            <w:r w:rsidR="00F23D0E" w:rsidRPr="00157F7C">
              <w:t>Veteran</w:t>
            </w:r>
            <w:r w:rsidRPr="00157F7C">
              <w:t xml:space="preserve">’s award as of the date of the last payment or the date indicated in the notice of proposed adverse action, whichever is later. </w:t>
            </w:r>
          </w:p>
          <w:p w14:paraId="0C46D5F4" w14:textId="77777777" w:rsidR="00A60080" w:rsidRPr="00157F7C" w:rsidRDefault="00A60080">
            <w:pPr>
              <w:pStyle w:val="BlockText"/>
            </w:pPr>
          </w:p>
          <w:p w14:paraId="0C46D5F5" w14:textId="77777777" w:rsidR="00A60080" w:rsidRPr="00157F7C" w:rsidRDefault="00A60080">
            <w:pPr>
              <w:pStyle w:val="BlockText"/>
            </w:pPr>
            <w:r w:rsidRPr="00157F7C">
              <w:rPr>
                <w:b/>
                <w:bCs/>
                <w:i/>
                <w:iCs/>
              </w:rPr>
              <w:t>Notes</w:t>
            </w:r>
            <w:r w:rsidRPr="00157F7C">
              <w:t xml:space="preserve">:  </w:t>
            </w:r>
          </w:p>
          <w:p w14:paraId="0C46D5F6" w14:textId="77777777" w:rsidR="00A60080" w:rsidRPr="00157F7C" w:rsidRDefault="00A60080">
            <w:pPr>
              <w:pStyle w:val="BulletText1"/>
            </w:pPr>
            <w:r w:rsidRPr="00157F7C">
              <w:t xml:space="preserve">The reduction of the 100 percent evaluation upon failure to submit to examination or follow prescribed treatment is applicable </w:t>
            </w:r>
            <w:r w:rsidRPr="00157F7C">
              <w:rPr>
                <w:i/>
              </w:rPr>
              <w:t>only</w:t>
            </w:r>
            <w:r w:rsidRPr="00157F7C">
              <w:t xml:space="preserve"> when the tuberculosis has reached a stage of complete arrest or inactivity.</w:t>
            </w:r>
          </w:p>
          <w:p w14:paraId="0C46D5F7" w14:textId="77777777" w:rsidR="00A60080" w:rsidRPr="00157F7C" w:rsidRDefault="00A60080">
            <w:pPr>
              <w:pStyle w:val="BulletText1"/>
            </w:pPr>
            <w:r w:rsidRPr="00157F7C">
              <w:t xml:space="preserve">If the </w:t>
            </w:r>
            <w:r w:rsidR="00F23D0E" w:rsidRPr="00157F7C">
              <w:t>Veteran</w:t>
            </w:r>
            <w:r w:rsidRPr="00157F7C">
              <w:t xml:space="preserve"> complies with the request for examination during the original two-year time frame for the 100 percent graduated rating, restore the 100 percent rating effective the date of reduction.</w:t>
            </w:r>
          </w:p>
        </w:tc>
      </w:tr>
    </w:tbl>
    <w:p w14:paraId="0C46D5F9" w14:textId="77777777" w:rsidR="00A60080" w:rsidRPr="00157F7C" w:rsidRDefault="00A60080">
      <w:pPr>
        <w:pStyle w:val="ContinuedOnNextPa"/>
      </w:pPr>
      <w:r w:rsidRPr="00157F7C">
        <w:t>Continued on next page</w:t>
      </w:r>
    </w:p>
    <w:p w14:paraId="0C46D5FA" w14:textId="77777777" w:rsidR="00A60080" w:rsidRPr="00157F7C" w:rsidRDefault="00A60080">
      <w:pPr>
        <w:pStyle w:val="MapTitleContinued"/>
        <w:rPr>
          <w:b w:val="0"/>
          <w:sz w:val="24"/>
        </w:rPr>
      </w:pPr>
      <w:r w:rsidRPr="00157F7C">
        <w:br w:type="page"/>
      </w:r>
      <w:r w:rsidRPr="00157F7C">
        <w:lastRenderedPageBreak/>
        <w:fldChar w:fldCharType="begin"/>
      </w:r>
      <w:r w:rsidRPr="00157F7C">
        <w:instrText>styleref "Map Title"</w:instrText>
      </w:r>
      <w:r w:rsidRPr="00157F7C">
        <w:fldChar w:fldCharType="separate"/>
      </w:r>
      <w:r w:rsidR="0031250B" w:rsidRPr="00157F7C">
        <w:rPr>
          <w:noProof/>
        </w:rPr>
        <w:t>18.  Arrested Tuberculosis</w:t>
      </w:r>
      <w:r w:rsidRPr="00157F7C">
        <w:fldChar w:fldCharType="end"/>
      </w:r>
      <w:r w:rsidRPr="00157F7C">
        <w:t xml:space="preserve">, </w:t>
      </w:r>
      <w:r w:rsidRPr="00157F7C">
        <w:rPr>
          <w:b w:val="0"/>
          <w:sz w:val="24"/>
        </w:rPr>
        <w:t>Continued</w:t>
      </w:r>
    </w:p>
    <w:p w14:paraId="0C46D5FB" w14:textId="77777777" w:rsidR="00A60080" w:rsidRPr="00157F7C" w:rsidRDefault="00480DB9">
      <w:pPr>
        <w:pStyle w:val="BlockLine"/>
      </w:pPr>
      <w:r w:rsidRPr="00157F7C">
        <w:fldChar w:fldCharType="begin"/>
      </w:r>
      <w:r w:rsidRPr="00157F7C">
        <w:instrText xml:space="preserve"> PRIVATE INFOTYPE="PRINCIPLE" </w:instrText>
      </w:r>
      <w:r w:rsidRPr="00157F7C">
        <w:fldChar w:fldCharType="end"/>
      </w:r>
    </w:p>
    <w:tbl>
      <w:tblPr>
        <w:tblW w:w="0" w:type="auto"/>
        <w:tblLayout w:type="fixed"/>
        <w:tblLook w:val="0000" w:firstRow="0" w:lastRow="0" w:firstColumn="0" w:lastColumn="0" w:noHBand="0" w:noVBand="0"/>
      </w:tblPr>
      <w:tblGrid>
        <w:gridCol w:w="1728"/>
        <w:gridCol w:w="7740"/>
      </w:tblGrid>
      <w:tr w:rsidR="00A60080" w:rsidRPr="00157F7C" w14:paraId="0C46D607" w14:textId="77777777">
        <w:trPr>
          <w:cantSplit/>
        </w:trPr>
        <w:tc>
          <w:tcPr>
            <w:tcW w:w="1728" w:type="dxa"/>
          </w:tcPr>
          <w:p w14:paraId="0C46D5FC" w14:textId="77777777" w:rsidR="00A60080" w:rsidRPr="00157F7C" w:rsidRDefault="00A60080">
            <w:pPr>
              <w:pStyle w:val="Heading5"/>
            </w:pPr>
            <w:bookmarkStart w:id="27" w:name="_e.__Handling"/>
            <w:bookmarkEnd w:id="27"/>
            <w:proofErr w:type="gramStart"/>
            <w:r w:rsidRPr="00157F7C">
              <w:t>e.  Handling</w:t>
            </w:r>
            <w:proofErr w:type="gramEnd"/>
            <w:r w:rsidRPr="00157F7C">
              <w:t xml:space="preserve"> Cases of Irregular Discharge</w:t>
            </w:r>
          </w:p>
        </w:tc>
        <w:tc>
          <w:tcPr>
            <w:tcW w:w="7740" w:type="dxa"/>
          </w:tcPr>
          <w:p w14:paraId="0C46D5FD" w14:textId="77777777" w:rsidR="00A60080" w:rsidRPr="00157F7C" w:rsidRDefault="00A60080">
            <w:pPr>
              <w:pStyle w:val="BlockText"/>
            </w:pPr>
            <w:r w:rsidRPr="00157F7C">
              <w:t xml:space="preserve">Do not suspend or terminate payments merely because a </w:t>
            </w:r>
            <w:r w:rsidR="00F23D0E" w:rsidRPr="00157F7C">
              <w:t>Veteran</w:t>
            </w:r>
            <w:r w:rsidRPr="00157F7C">
              <w:t xml:space="preserve"> with active tuberculosis receives an irregular discharge.  An irregular discharge is received for disciplinary reasons, the refusal to accept or follow treatment, the refusal to accept transfer, or failure to return from an authorized absence.</w:t>
            </w:r>
          </w:p>
          <w:p w14:paraId="0C46D5FE" w14:textId="77777777" w:rsidR="00A60080" w:rsidRPr="00157F7C" w:rsidRDefault="00A60080">
            <w:pPr>
              <w:pStyle w:val="BlockText"/>
            </w:pPr>
          </w:p>
          <w:p w14:paraId="0C46D5FF" w14:textId="77777777" w:rsidR="00A60080" w:rsidRPr="00157F7C" w:rsidRDefault="00A60080">
            <w:pPr>
              <w:pStyle w:val="BlockText"/>
            </w:pPr>
            <w:r w:rsidRPr="00157F7C">
              <w:t>In the case of irregular discharge,</w:t>
            </w:r>
          </w:p>
          <w:p w14:paraId="0C46D600" w14:textId="77777777" w:rsidR="00A60080" w:rsidRPr="00157F7C" w:rsidRDefault="00A60080">
            <w:pPr>
              <w:pStyle w:val="BlockText"/>
            </w:pPr>
          </w:p>
          <w:p w14:paraId="0C46D601" w14:textId="77777777" w:rsidR="00A60080" w:rsidRPr="00157F7C" w:rsidRDefault="00A60080">
            <w:pPr>
              <w:pStyle w:val="BulletText1"/>
            </w:pPr>
            <w:r w:rsidRPr="00157F7C">
              <w:t>continue the 100 percent rating based on activity, and</w:t>
            </w:r>
          </w:p>
          <w:p w14:paraId="0C46D602" w14:textId="77777777" w:rsidR="00A60080" w:rsidRPr="00157F7C" w:rsidRDefault="00A60080">
            <w:pPr>
              <w:pStyle w:val="BulletText1"/>
            </w:pPr>
            <w:proofErr w:type="gramStart"/>
            <w:r w:rsidRPr="00157F7C">
              <w:t>request</w:t>
            </w:r>
            <w:proofErr w:type="gramEnd"/>
            <w:r w:rsidRPr="00157F7C">
              <w:t xml:space="preserve"> an examination six months from the date of irregular discharge.</w:t>
            </w:r>
          </w:p>
          <w:p w14:paraId="0C46D603" w14:textId="77777777" w:rsidR="00A60080" w:rsidRPr="00157F7C" w:rsidRDefault="00A60080">
            <w:pPr>
              <w:pStyle w:val="BlockText"/>
            </w:pPr>
          </w:p>
          <w:p w14:paraId="0C46D604" w14:textId="77777777" w:rsidR="00A60080" w:rsidRPr="00157F7C" w:rsidRDefault="00A60080">
            <w:pPr>
              <w:pStyle w:val="BlockText"/>
            </w:pPr>
            <w:r w:rsidRPr="00157F7C">
              <w:t xml:space="preserve">If the </w:t>
            </w:r>
            <w:r w:rsidR="00F23D0E" w:rsidRPr="00157F7C">
              <w:t>Veteran</w:t>
            </w:r>
            <w:r w:rsidRPr="00157F7C">
              <w:t xml:space="preserve"> fails to report for this examination, consider the tuberculosis to be completely arrested from the date of failure to report for examination.  Apply the provisions of graduated ratings based upon inactivity from this date.</w:t>
            </w:r>
          </w:p>
          <w:p w14:paraId="0C46D605" w14:textId="77777777" w:rsidR="00A60080" w:rsidRPr="00157F7C" w:rsidRDefault="00A60080">
            <w:pPr>
              <w:pStyle w:val="BlockText"/>
            </w:pPr>
          </w:p>
          <w:p w14:paraId="0C46D606" w14:textId="77777777" w:rsidR="00A60080" w:rsidRPr="00157F7C" w:rsidRDefault="00A60080">
            <w:pPr>
              <w:pStyle w:val="BlockText"/>
            </w:pPr>
            <w:r w:rsidRPr="00157F7C">
              <w:rPr>
                <w:b/>
                <w:i/>
              </w:rPr>
              <w:t>Note</w:t>
            </w:r>
            <w:r w:rsidRPr="00157F7C">
              <w:t xml:space="preserve">:  Compensation payments are based upon the degree of disability, </w:t>
            </w:r>
            <w:r w:rsidRPr="00157F7C">
              <w:rPr>
                <w:i/>
              </w:rPr>
              <w:t>not</w:t>
            </w:r>
            <w:r w:rsidRPr="00157F7C">
              <w:t xml:space="preserve"> on the basis of a </w:t>
            </w:r>
            <w:r w:rsidR="00F23D0E" w:rsidRPr="00157F7C">
              <w:t>Veteran</w:t>
            </w:r>
            <w:r w:rsidRPr="00157F7C">
              <w:t xml:space="preserve">’s willingness to accept treatment.  </w:t>
            </w:r>
          </w:p>
        </w:tc>
      </w:tr>
    </w:tbl>
    <w:p w14:paraId="0C46D608" w14:textId="77777777" w:rsidR="00A60080" w:rsidRPr="00157F7C" w:rsidRDefault="00A60080">
      <w:pPr>
        <w:pStyle w:val="BlockLine"/>
      </w:pPr>
    </w:p>
    <w:p w14:paraId="0C46D609" w14:textId="77777777" w:rsidR="00A60080" w:rsidRPr="00157F7C" w:rsidRDefault="00A60080">
      <w:pPr>
        <w:pStyle w:val="Heading4"/>
      </w:pPr>
      <w:bookmarkStart w:id="28" w:name="_19.__Exhibit"/>
      <w:bookmarkEnd w:id="28"/>
      <w:r w:rsidRPr="00157F7C">
        <w:br w:type="page"/>
      </w:r>
      <w:r w:rsidRPr="00157F7C">
        <w:lastRenderedPageBreak/>
        <w:t xml:space="preserve">19.  </w:t>
      </w:r>
      <w:bookmarkStart w:id="29" w:name="Topic19"/>
      <w:bookmarkEnd w:id="29"/>
      <w:r w:rsidRPr="00157F7C">
        <w:t>Exhibit 1:  Examples of Ratings for Arrested Tuberculosis</w:t>
      </w:r>
    </w:p>
    <w:p w14:paraId="0C46D60A" w14:textId="77777777" w:rsidR="00A60080" w:rsidRPr="00157F7C" w:rsidRDefault="00A60080">
      <w:pPr>
        <w:pStyle w:val="BlockLine"/>
      </w:pPr>
      <w:r w:rsidRPr="00157F7C">
        <w:fldChar w:fldCharType="begin"/>
      </w:r>
      <w:r w:rsidRPr="00157F7C">
        <w:instrText xml:space="preserve"> PRIVATE INFOTYPE="OTHER" </w:instrText>
      </w:r>
      <w:r w:rsidRPr="00157F7C">
        <w:fldChar w:fldCharType="end"/>
      </w:r>
    </w:p>
    <w:tbl>
      <w:tblPr>
        <w:tblW w:w="0" w:type="auto"/>
        <w:tblLayout w:type="fixed"/>
        <w:tblLook w:val="0000" w:firstRow="0" w:lastRow="0" w:firstColumn="0" w:lastColumn="0" w:noHBand="0" w:noVBand="0"/>
      </w:tblPr>
      <w:tblGrid>
        <w:gridCol w:w="1728"/>
        <w:gridCol w:w="7740"/>
      </w:tblGrid>
      <w:tr w:rsidR="00A60080" w:rsidRPr="00157F7C" w14:paraId="0C46D60D" w14:textId="77777777">
        <w:trPr>
          <w:cantSplit/>
        </w:trPr>
        <w:tc>
          <w:tcPr>
            <w:tcW w:w="1728" w:type="dxa"/>
          </w:tcPr>
          <w:p w14:paraId="0C46D60B" w14:textId="77777777" w:rsidR="00A60080" w:rsidRPr="00157F7C" w:rsidRDefault="00A60080">
            <w:pPr>
              <w:pStyle w:val="Heading5"/>
            </w:pPr>
            <w:r w:rsidRPr="00157F7C">
              <w:t>Introduction</w:t>
            </w:r>
          </w:p>
        </w:tc>
        <w:tc>
          <w:tcPr>
            <w:tcW w:w="7740" w:type="dxa"/>
          </w:tcPr>
          <w:p w14:paraId="0C46D60C" w14:textId="77777777" w:rsidR="00A60080" w:rsidRPr="00157F7C" w:rsidRDefault="00A60080">
            <w:pPr>
              <w:pStyle w:val="BlockText"/>
            </w:pPr>
            <w:r w:rsidRPr="00157F7C">
              <w:t>This exhibit contains four examples of ratings for arrested tuberculosis.</w:t>
            </w:r>
          </w:p>
        </w:tc>
      </w:tr>
    </w:tbl>
    <w:p w14:paraId="0C46D60E" w14:textId="77777777" w:rsidR="00A60080" w:rsidRPr="00157F7C" w:rsidRDefault="00A60080">
      <w:pPr>
        <w:pStyle w:val="BlockLine"/>
      </w:pPr>
    </w:p>
    <w:tbl>
      <w:tblPr>
        <w:tblW w:w="0" w:type="auto"/>
        <w:tblLayout w:type="fixed"/>
        <w:tblLook w:val="0000" w:firstRow="0" w:lastRow="0" w:firstColumn="0" w:lastColumn="0" w:noHBand="0" w:noVBand="0"/>
      </w:tblPr>
      <w:tblGrid>
        <w:gridCol w:w="1728"/>
        <w:gridCol w:w="7740"/>
      </w:tblGrid>
      <w:tr w:rsidR="00A60080" w:rsidRPr="00157F7C" w14:paraId="0C46D611" w14:textId="77777777">
        <w:trPr>
          <w:cantSplit/>
        </w:trPr>
        <w:tc>
          <w:tcPr>
            <w:tcW w:w="1728" w:type="dxa"/>
          </w:tcPr>
          <w:p w14:paraId="0C46D60F" w14:textId="77777777" w:rsidR="00A60080" w:rsidRPr="00157F7C" w:rsidRDefault="00A60080">
            <w:pPr>
              <w:pStyle w:val="Heading5"/>
            </w:pPr>
            <w:r w:rsidRPr="00157F7C">
              <w:t>Change Date</w:t>
            </w:r>
          </w:p>
        </w:tc>
        <w:tc>
          <w:tcPr>
            <w:tcW w:w="7740" w:type="dxa"/>
          </w:tcPr>
          <w:p w14:paraId="0C46D610" w14:textId="77777777" w:rsidR="00A60080" w:rsidRPr="00157F7C" w:rsidRDefault="00A60080">
            <w:pPr>
              <w:pStyle w:val="BlockText"/>
            </w:pPr>
            <w:r w:rsidRPr="00157F7C">
              <w:t>December 29, 2007</w:t>
            </w:r>
          </w:p>
        </w:tc>
      </w:tr>
    </w:tbl>
    <w:p w14:paraId="0C46D612" w14:textId="77777777" w:rsidR="00A60080" w:rsidRPr="00157F7C" w:rsidRDefault="00641B45">
      <w:pPr>
        <w:pStyle w:val="BlockLine"/>
      </w:pPr>
      <w:r w:rsidRPr="00157F7C">
        <w:fldChar w:fldCharType="begin"/>
      </w:r>
      <w:r w:rsidRPr="00157F7C">
        <w:instrText xml:space="preserve"> PRIVATE INFOTYPE="PRINCIPLE" </w:instrText>
      </w:r>
      <w:r w:rsidRPr="00157F7C">
        <w:fldChar w:fldCharType="end"/>
      </w:r>
    </w:p>
    <w:tbl>
      <w:tblPr>
        <w:tblW w:w="0" w:type="auto"/>
        <w:tblLayout w:type="fixed"/>
        <w:tblLook w:val="0000" w:firstRow="0" w:lastRow="0" w:firstColumn="0" w:lastColumn="0" w:noHBand="0" w:noVBand="0"/>
      </w:tblPr>
      <w:tblGrid>
        <w:gridCol w:w="1728"/>
        <w:gridCol w:w="7740"/>
      </w:tblGrid>
      <w:tr w:rsidR="00A60080" w:rsidRPr="00157F7C" w14:paraId="0C46D617" w14:textId="77777777">
        <w:trPr>
          <w:cantSplit/>
        </w:trPr>
        <w:tc>
          <w:tcPr>
            <w:tcW w:w="1728" w:type="dxa"/>
          </w:tcPr>
          <w:p w14:paraId="0C46D613" w14:textId="77777777" w:rsidR="00A60080" w:rsidRPr="00157F7C" w:rsidRDefault="00A60080">
            <w:pPr>
              <w:pStyle w:val="Heading5"/>
            </w:pPr>
            <w:proofErr w:type="gramStart"/>
            <w:r w:rsidRPr="00157F7C">
              <w:t>a.  Example</w:t>
            </w:r>
            <w:proofErr w:type="gramEnd"/>
            <w:r w:rsidRPr="00157F7C">
              <w:t xml:space="preserve"> 1</w:t>
            </w:r>
          </w:p>
        </w:tc>
        <w:tc>
          <w:tcPr>
            <w:tcW w:w="7740" w:type="dxa"/>
          </w:tcPr>
          <w:p w14:paraId="0C46D614" w14:textId="77777777" w:rsidR="00A60080" w:rsidRPr="00157F7C" w:rsidRDefault="00A60080">
            <w:pPr>
              <w:pStyle w:val="BlockText"/>
            </w:pPr>
            <w:r w:rsidRPr="00157F7C">
              <w:rPr>
                <w:b/>
                <w:i/>
              </w:rPr>
              <w:t>Situation</w:t>
            </w:r>
            <w:r w:rsidRPr="00157F7C">
              <w:t xml:space="preserve">:  A </w:t>
            </w:r>
            <w:r w:rsidR="00F23D0E" w:rsidRPr="00157F7C">
              <w:t>Veteran</w:t>
            </w:r>
            <w:r w:rsidRPr="00157F7C">
              <w:t xml:space="preserve"> is 30 percent disabled based upon residuals of far advanced, inactive, pulmonary tuberculosis.  The rating for tuberculosis was in effect on August 19, 1968.  The tuberculosis became active on September 10, 2002.  </w:t>
            </w:r>
          </w:p>
          <w:p w14:paraId="0C46D615" w14:textId="77777777" w:rsidR="00A60080" w:rsidRPr="00157F7C" w:rsidRDefault="00A60080">
            <w:pPr>
              <w:pStyle w:val="BlockText"/>
            </w:pPr>
          </w:p>
          <w:p w14:paraId="0C46D616" w14:textId="77777777" w:rsidR="00A60080" w:rsidRPr="00157F7C" w:rsidRDefault="00A60080">
            <w:pPr>
              <w:pStyle w:val="BlockText"/>
            </w:pPr>
            <w:r w:rsidRPr="00157F7C">
              <w:rPr>
                <w:b/>
                <w:i/>
              </w:rPr>
              <w:t>Result</w:t>
            </w:r>
            <w:r w:rsidRPr="00157F7C">
              <w:t>:  Based upon the reactivation of pulmonary tuberculosis, reinstate the 100 percent evaluation for active tuberculosis and maintain control to ascertain the date of inactivity.</w:t>
            </w:r>
          </w:p>
        </w:tc>
      </w:tr>
    </w:tbl>
    <w:p w14:paraId="0C46D618" w14:textId="77777777" w:rsidR="00A60080" w:rsidRPr="00157F7C" w:rsidRDefault="00A60080"/>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00"/>
        <w:gridCol w:w="3800"/>
      </w:tblGrid>
      <w:tr w:rsidR="00533D76" w:rsidRPr="00157F7C" w14:paraId="0C46D61B" w14:textId="77777777" w:rsidTr="00533D76">
        <w:tc>
          <w:tcPr>
            <w:tcW w:w="4788" w:type="dxa"/>
            <w:shd w:val="clear" w:color="auto" w:fill="auto"/>
          </w:tcPr>
          <w:p w14:paraId="0C46D619" w14:textId="77777777" w:rsidR="00533D76" w:rsidRPr="00157F7C" w:rsidRDefault="00533D76" w:rsidP="00533D76">
            <w:pPr>
              <w:pStyle w:val="TableHeaderText"/>
              <w:jc w:val="left"/>
            </w:pPr>
            <w:r w:rsidRPr="00157F7C">
              <w:rPr>
                <w:i/>
              </w:rPr>
              <w:t>Coded Conclusion</w:t>
            </w:r>
            <w:r w:rsidRPr="00157F7C">
              <w:t>:</w:t>
            </w:r>
          </w:p>
        </w:tc>
        <w:tc>
          <w:tcPr>
            <w:tcW w:w="4788" w:type="dxa"/>
            <w:shd w:val="clear" w:color="auto" w:fill="auto"/>
          </w:tcPr>
          <w:p w14:paraId="0C46D61A" w14:textId="77777777" w:rsidR="00533D76" w:rsidRPr="00157F7C" w:rsidRDefault="00533D76" w:rsidP="00533D76">
            <w:pPr>
              <w:pStyle w:val="TableHeaderText"/>
            </w:pPr>
          </w:p>
        </w:tc>
      </w:tr>
      <w:tr w:rsidR="00533D76" w:rsidRPr="00157F7C" w14:paraId="0C46D61E" w14:textId="77777777" w:rsidTr="00533D76">
        <w:tc>
          <w:tcPr>
            <w:tcW w:w="4788" w:type="dxa"/>
            <w:shd w:val="clear" w:color="auto" w:fill="auto"/>
          </w:tcPr>
          <w:p w14:paraId="0C46D61C" w14:textId="77777777" w:rsidR="00533D76" w:rsidRPr="00157F7C" w:rsidRDefault="00533D76" w:rsidP="00533D76">
            <w:pPr>
              <w:pStyle w:val="TableText"/>
            </w:pPr>
            <w:r w:rsidRPr="00157F7C">
              <w:t>1. SC (KC PRES)</w:t>
            </w:r>
          </w:p>
        </w:tc>
        <w:tc>
          <w:tcPr>
            <w:tcW w:w="4788" w:type="dxa"/>
            <w:shd w:val="clear" w:color="auto" w:fill="auto"/>
          </w:tcPr>
          <w:p w14:paraId="0C46D61D" w14:textId="77777777" w:rsidR="00533D76" w:rsidRPr="00157F7C" w:rsidRDefault="00533D76" w:rsidP="00533D76">
            <w:pPr>
              <w:pStyle w:val="TableText"/>
            </w:pPr>
          </w:p>
        </w:tc>
      </w:tr>
      <w:tr w:rsidR="00533D76" w:rsidRPr="00157F7C" w14:paraId="0C46D621" w14:textId="77777777" w:rsidTr="00533D76">
        <w:tc>
          <w:tcPr>
            <w:tcW w:w="4788" w:type="dxa"/>
            <w:shd w:val="clear" w:color="auto" w:fill="auto"/>
          </w:tcPr>
          <w:p w14:paraId="0C46D61F" w14:textId="77777777" w:rsidR="00533D76" w:rsidRPr="00157F7C" w:rsidRDefault="00533D76" w:rsidP="00533D76">
            <w:pPr>
              <w:pStyle w:val="TableText"/>
            </w:pPr>
            <w:r w:rsidRPr="00157F7C">
              <w:t>6701</w:t>
            </w:r>
          </w:p>
        </w:tc>
        <w:tc>
          <w:tcPr>
            <w:tcW w:w="4788" w:type="dxa"/>
            <w:shd w:val="clear" w:color="auto" w:fill="auto"/>
          </w:tcPr>
          <w:p w14:paraId="0C46D620" w14:textId="77777777" w:rsidR="00533D76" w:rsidRPr="00157F7C" w:rsidRDefault="00533D76" w:rsidP="00533D76">
            <w:pPr>
              <w:pStyle w:val="TableText"/>
            </w:pPr>
            <w:r w:rsidRPr="00157F7C">
              <w:t>Tuberculosis, pulmonary, chronic, far advanced, active</w:t>
            </w:r>
          </w:p>
        </w:tc>
      </w:tr>
      <w:tr w:rsidR="00533D76" w:rsidRPr="00157F7C" w14:paraId="0C46D624" w14:textId="77777777" w:rsidTr="00533D76">
        <w:tc>
          <w:tcPr>
            <w:tcW w:w="4788" w:type="dxa"/>
            <w:shd w:val="clear" w:color="auto" w:fill="auto"/>
          </w:tcPr>
          <w:p w14:paraId="0C46D622" w14:textId="77777777" w:rsidR="00533D76" w:rsidRPr="00157F7C" w:rsidRDefault="00533D76" w:rsidP="00533D76">
            <w:pPr>
              <w:pStyle w:val="TableText"/>
            </w:pPr>
            <w:r w:rsidRPr="00157F7C">
              <w:t>30% from 08/01/1964</w:t>
            </w:r>
          </w:p>
        </w:tc>
        <w:tc>
          <w:tcPr>
            <w:tcW w:w="4788" w:type="dxa"/>
            <w:shd w:val="clear" w:color="auto" w:fill="auto"/>
          </w:tcPr>
          <w:p w14:paraId="0C46D623" w14:textId="77777777" w:rsidR="00533D76" w:rsidRPr="00157F7C" w:rsidRDefault="00533D76" w:rsidP="00533D76">
            <w:pPr>
              <w:pStyle w:val="TableText"/>
            </w:pPr>
          </w:p>
        </w:tc>
      </w:tr>
      <w:tr w:rsidR="00533D76" w:rsidRPr="00157F7C" w14:paraId="0C46D627" w14:textId="77777777" w:rsidTr="00533D76">
        <w:tc>
          <w:tcPr>
            <w:tcW w:w="4788" w:type="dxa"/>
            <w:shd w:val="clear" w:color="auto" w:fill="auto"/>
          </w:tcPr>
          <w:p w14:paraId="0C46D625" w14:textId="77777777" w:rsidR="00533D76" w:rsidRPr="00157F7C" w:rsidRDefault="00533D76" w:rsidP="00533D76">
            <w:pPr>
              <w:pStyle w:val="TableText"/>
            </w:pPr>
            <w:r w:rsidRPr="00157F7C">
              <w:t>100% from 09/10/2002</w:t>
            </w:r>
          </w:p>
        </w:tc>
        <w:tc>
          <w:tcPr>
            <w:tcW w:w="4788" w:type="dxa"/>
            <w:shd w:val="clear" w:color="auto" w:fill="auto"/>
          </w:tcPr>
          <w:p w14:paraId="0C46D626" w14:textId="77777777" w:rsidR="00533D76" w:rsidRPr="00157F7C" w:rsidRDefault="00533D76" w:rsidP="00533D76">
            <w:pPr>
              <w:pStyle w:val="TableText"/>
            </w:pPr>
          </w:p>
        </w:tc>
      </w:tr>
    </w:tbl>
    <w:p w14:paraId="0C46D628" w14:textId="77777777" w:rsidR="00A60080" w:rsidRPr="00157F7C" w:rsidRDefault="00641B45">
      <w:pPr>
        <w:pStyle w:val="BlockLine"/>
      </w:pPr>
      <w:r w:rsidRPr="00157F7C">
        <w:fldChar w:fldCharType="begin"/>
      </w:r>
      <w:r w:rsidRPr="00157F7C">
        <w:instrText xml:space="preserve"> PRIVATE INFOTYPE="PRINCIPLE" </w:instrText>
      </w:r>
      <w:r w:rsidRPr="00157F7C">
        <w:fldChar w:fldCharType="end"/>
      </w:r>
    </w:p>
    <w:tbl>
      <w:tblPr>
        <w:tblW w:w="0" w:type="auto"/>
        <w:tblLayout w:type="fixed"/>
        <w:tblLook w:val="0000" w:firstRow="0" w:lastRow="0" w:firstColumn="0" w:lastColumn="0" w:noHBand="0" w:noVBand="0"/>
      </w:tblPr>
      <w:tblGrid>
        <w:gridCol w:w="1728"/>
        <w:gridCol w:w="7740"/>
      </w:tblGrid>
      <w:tr w:rsidR="00A60080" w:rsidRPr="00157F7C" w14:paraId="0C46D62D" w14:textId="77777777">
        <w:trPr>
          <w:cantSplit/>
        </w:trPr>
        <w:tc>
          <w:tcPr>
            <w:tcW w:w="1728" w:type="dxa"/>
          </w:tcPr>
          <w:p w14:paraId="0C46D629" w14:textId="77777777" w:rsidR="00A60080" w:rsidRPr="00157F7C" w:rsidRDefault="00A60080">
            <w:pPr>
              <w:pStyle w:val="Heading5"/>
            </w:pPr>
            <w:proofErr w:type="gramStart"/>
            <w:r w:rsidRPr="00157F7C">
              <w:t>b.  Example</w:t>
            </w:r>
            <w:proofErr w:type="gramEnd"/>
            <w:r w:rsidRPr="00157F7C">
              <w:t xml:space="preserve"> 2</w:t>
            </w:r>
          </w:p>
        </w:tc>
        <w:tc>
          <w:tcPr>
            <w:tcW w:w="7740" w:type="dxa"/>
          </w:tcPr>
          <w:p w14:paraId="0C46D62A" w14:textId="77777777" w:rsidR="00A60080" w:rsidRPr="00157F7C" w:rsidRDefault="00A60080">
            <w:pPr>
              <w:pStyle w:val="BlockText"/>
            </w:pPr>
            <w:r w:rsidRPr="00157F7C">
              <w:rPr>
                <w:b/>
                <w:i/>
              </w:rPr>
              <w:t>Situation</w:t>
            </w:r>
            <w:r w:rsidRPr="00157F7C">
              <w:t>:  Same facts as in Example 1.  Examination reveals tuberculosis was inactive as of May 10, 2003.</w:t>
            </w:r>
          </w:p>
          <w:p w14:paraId="0C46D62B" w14:textId="77777777" w:rsidR="00A60080" w:rsidRPr="00157F7C" w:rsidRDefault="00A60080">
            <w:pPr>
              <w:pStyle w:val="BlockText"/>
            </w:pPr>
          </w:p>
          <w:p w14:paraId="0C46D62C" w14:textId="77777777" w:rsidR="00A60080" w:rsidRPr="00157F7C" w:rsidRDefault="00A60080">
            <w:pPr>
              <w:pStyle w:val="BlockText"/>
            </w:pPr>
            <w:r w:rsidRPr="00157F7C">
              <w:rPr>
                <w:b/>
                <w:bCs/>
                <w:i/>
                <w:iCs/>
              </w:rPr>
              <w:t>Result</w:t>
            </w:r>
            <w:r w:rsidRPr="00157F7C">
              <w:t xml:space="preserve">:  Continue the 100 percent evaluation for two years after the date of inactivity, followed by graduated reduction to 50 percent thereafter for four years.  Reduce to 30 percent from May 10, 2009, and thereafter based on far advanced lesions. </w:t>
            </w:r>
          </w:p>
        </w:tc>
      </w:tr>
    </w:tbl>
    <w:p w14:paraId="0C46D62E" w14:textId="77777777" w:rsidR="00A60080" w:rsidRPr="00157F7C" w:rsidRDefault="00A60080"/>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00"/>
        <w:gridCol w:w="3800"/>
      </w:tblGrid>
      <w:tr w:rsidR="00533D76" w:rsidRPr="00157F7C" w14:paraId="0C46D631" w14:textId="77777777" w:rsidTr="00533D76">
        <w:tc>
          <w:tcPr>
            <w:tcW w:w="3800" w:type="dxa"/>
            <w:shd w:val="clear" w:color="auto" w:fill="auto"/>
          </w:tcPr>
          <w:p w14:paraId="0C46D62F" w14:textId="77777777" w:rsidR="00533D76" w:rsidRPr="00157F7C" w:rsidRDefault="00533D76" w:rsidP="00533D76">
            <w:pPr>
              <w:pStyle w:val="TableHeaderText"/>
              <w:jc w:val="left"/>
            </w:pPr>
            <w:r w:rsidRPr="00157F7C">
              <w:rPr>
                <w:i/>
              </w:rPr>
              <w:t>Coded Conclusion</w:t>
            </w:r>
            <w:r w:rsidRPr="00157F7C">
              <w:t>:</w:t>
            </w:r>
          </w:p>
        </w:tc>
        <w:tc>
          <w:tcPr>
            <w:tcW w:w="3800" w:type="dxa"/>
            <w:shd w:val="clear" w:color="auto" w:fill="auto"/>
          </w:tcPr>
          <w:p w14:paraId="0C46D630" w14:textId="77777777" w:rsidR="00533D76" w:rsidRPr="00157F7C" w:rsidRDefault="00533D76" w:rsidP="00533D76">
            <w:pPr>
              <w:pStyle w:val="TableHeaderText"/>
            </w:pPr>
          </w:p>
        </w:tc>
      </w:tr>
      <w:tr w:rsidR="00533D76" w:rsidRPr="00157F7C" w14:paraId="0C46D634" w14:textId="77777777" w:rsidTr="00533D76">
        <w:tc>
          <w:tcPr>
            <w:tcW w:w="3800" w:type="dxa"/>
            <w:shd w:val="clear" w:color="auto" w:fill="auto"/>
          </w:tcPr>
          <w:p w14:paraId="0C46D632" w14:textId="77777777" w:rsidR="00533D76" w:rsidRPr="00157F7C" w:rsidRDefault="00533D76" w:rsidP="00533D76">
            <w:pPr>
              <w:pStyle w:val="TableText"/>
            </w:pPr>
            <w:r w:rsidRPr="00157F7C">
              <w:t>1. SC (KC PRES)</w:t>
            </w:r>
          </w:p>
        </w:tc>
        <w:tc>
          <w:tcPr>
            <w:tcW w:w="3800" w:type="dxa"/>
            <w:shd w:val="clear" w:color="auto" w:fill="auto"/>
          </w:tcPr>
          <w:p w14:paraId="0C46D633" w14:textId="77777777" w:rsidR="00533D76" w:rsidRPr="00157F7C" w:rsidRDefault="00533D76" w:rsidP="00533D76">
            <w:pPr>
              <w:pStyle w:val="TableText"/>
            </w:pPr>
          </w:p>
        </w:tc>
      </w:tr>
      <w:tr w:rsidR="00533D76" w:rsidRPr="00157F7C" w14:paraId="0C46D637" w14:textId="77777777" w:rsidTr="00533D76">
        <w:tc>
          <w:tcPr>
            <w:tcW w:w="3800" w:type="dxa"/>
            <w:shd w:val="clear" w:color="auto" w:fill="auto"/>
          </w:tcPr>
          <w:p w14:paraId="0C46D635" w14:textId="77777777" w:rsidR="00533D76" w:rsidRPr="00157F7C" w:rsidRDefault="00533D76" w:rsidP="00533D76">
            <w:pPr>
              <w:pStyle w:val="TableText"/>
            </w:pPr>
            <w:r w:rsidRPr="00157F7C">
              <w:t>6721</w:t>
            </w:r>
          </w:p>
        </w:tc>
        <w:tc>
          <w:tcPr>
            <w:tcW w:w="3800" w:type="dxa"/>
            <w:shd w:val="clear" w:color="auto" w:fill="auto"/>
          </w:tcPr>
          <w:p w14:paraId="0C46D636" w14:textId="77777777" w:rsidR="00533D76" w:rsidRPr="00157F7C" w:rsidRDefault="00533D76" w:rsidP="00533D76">
            <w:pPr>
              <w:pStyle w:val="TableText"/>
            </w:pPr>
            <w:r w:rsidRPr="00157F7C">
              <w:t>Tuberculosis, pulmonary, chronic, far advanced inactive</w:t>
            </w:r>
          </w:p>
        </w:tc>
      </w:tr>
      <w:tr w:rsidR="00533D76" w:rsidRPr="00157F7C" w14:paraId="0C46D63A" w14:textId="77777777" w:rsidTr="00533D76">
        <w:tc>
          <w:tcPr>
            <w:tcW w:w="3800" w:type="dxa"/>
            <w:shd w:val="clear" w:color="auto" w:fill="auto"/>
          </w:tcPr>
          <w:p w14:paraId="0C46D638" w14:textId="77777777" w:rsidR="00533D76" w:rsidRPr="00157F7C" w:rsidRDefault="00533D76" w:rsidP="003A2F3A">
            <w:pPr>
              <w:pStyle w:val="TableText"/>
            </w:pPr>
            <w:r w:rsidRPr="00157F7C">
              <w:t>100% from 09/10/2002</w:t>
            </w:r>
          </w:p>
        </w:tc>
        <w:tc>
          <w:tcPr>
            <w:tcW w:w="3800" w:type="dxa"/>
            <w:shd w:val="clear" w:color="auto" w:fill="auto"/>
          </w:tcPr>
          <w:p w14:paraId="0C46D639" w14:textId="77777777" w:rsidR="00533D76" w:rsidRPr="00157F7C" w:rsidRDefault="00533D76" w:rsidP="00533D76">
            <w:pPr>
              <w:pStyle w:val="TableText"/>
            </w:pPr>
          </w:p>
        </w:tc>
      </w:tr>
      <w:tr w:rsidR="00533D76" w:rsidRPr="00157F7C" w14:paraId="0C46D63D" w14:textId="77777777" w:rsidTr="00533D76">
        <w:tc>
          <w:tcPr>
            <w:tcW w:w="3800" w:type="dxa"/>
            <w:shd w:val="clear" w:color="auto" w:fill="auto"/>
          </w:tcPr>
          <w:p w14:paraId="0C46D63B" w14:textId="77777777" w:rsidR="00533D76" w:rsidRPr="00157F7C" w:rsidRDefault="00533D76" w:rsidP="003A2F3A">
            <w:pPr>
              <w:pStyle w:val="TableText"/>
            </w:pPr>
            <w:r w:rsidRPr="00157F7C">
              <w:t>100% from 05/10/2003</w:t>
            </w:r>
          </w:p>
        </w:tc>
        <w:tc>
          <w:tcPr>
            <w:tcW w:w="3800" w:type="dxa"/>
            <w:shd w:val="clear" w:color="auto" w:fill="auto"/>
          </w:tcPr>
          <w:p w14:paraId="0C46D63C" w14:textId="77777777" w:rsidR="00533D76" w:rsidRPr="00157F7C" w:rsidRDefault="00533D76" w:rsidP="00533D76">
            <w:pPr>
              <w:pStyle w:val="TableText"/>
            </w:pPr>
          </w:p>
        </w:tc>
      </w:tr>
      <w:tr w:rsidR="00533D76" w:rsidRPr="00157F7C" w14:paraId="0C46D640" w14:textId="77777777" w:rsidTr="00533D76">
        <w:tc>
          <w:tcPr>
            <w:tcW w:w="3800" w:type="dxa"/>
            <w:shd w:val="clear" w:color="auto" w:fill="auto"/>
          </w:tcPr>
          <w:p w14:paraId="0C46D63E" w14:textId="77777777" w:rsidR="00533D76" w:rsidRPr="00157F7C" w:rsidRDefault="00533D76" w:rsidP="003A2F3A">
            <w:pPr>
              <w:pStyle w:val="TableText"/>
            </w:pPr>
            <w:r w:rsidRPr="00157F7C">
              <w:t>50% from 05/10/2005</w:t>
            </w:r>
          </w:p>
        </w:tc>
        <w:tc>
          <w:tcPr>
            <w:tcW w:w="3800" w:type="dxa"/>
            <w:shd w:val="clear" w:color="auto" w:fill="auto"/>
          </w:tcPr>
          <w:p w14:paraId="0C46D63F" w14:textId="77777777" w:rsidR="00533D76" w:rsidRPr="00157F7C" w:rsidRDefault="00533D76" w:rsidP="00533D76">
            <w:pPr>
              <w:pStyle w:val="TableText"/>
            </w:pPr>
          </w:p>
        </w:tc>
      </w:tr>
      <w:tr w:rsidR="00533D76" w:rsidRPr="00157F7C" w14:paraId="0C46D643" w14:textId="77777777" w:rsidTr="00533D76">
        <w:tc>
          <w:tcPr>
            <w:tcW w:w="3800" w:type="dxa"/>
            <w:shd w:val="clear" w:color="auto" w:fill="auto"/>
          </w:tcPr>
          <w:p w14:paraId="0C46D641" w14:textId="77777777" w:rsidR="00533D76" w:rsidRPr="00157F7C" w:rsidRDefault="00533D76" w:rsidP="003A2F3A">
            <w:pPr>
              <w:pStyle w:val="TableText"/>
            </w:pPr>
            <w:r w:rsidRPr="00157F7C">
              <w:t>30% from 05/10/2009</w:t>
            </w:r>
          </w:p>
        </w:tc>
        <w:tc>
          <w:tcPr>
            <w:tcW w:w="3800" w:type="dxa"/>
            <w:shd w:val="clear" w:color="auto" w:fill="auto"/>
          </w:tcPr>
          <w:p w14:paraId="0C46D642" w14:textId="77777777" w:rsidR="00533D76" w:rsidRPr="00157F7C" w:rsidRDefault="00533D76" w:rsidP="00533D76">
            <w:pPr>
              <w:pStyle w:val="TableText"/>
            </w:pPr>
          </w:p>
        </w:tc>
      </w:tr>
    </w:tbl>
    <w:p w14:paraId="0C46D644" w14:textId="77777777" w:rsidR="00A60080" w:rsidRPr="00157F7C" w:rsidRDefault="00A60080">
      <w:pPr>
        <w:pStyle w:val="ContinuedOnNextPa"/>
      </w:pPr>
      <w:r w:rsidRPr="00157F7C">
        <w:t>Continued on next page</w:t>
      </w:r>
    </w:p>
    <w:p w14:paraId="0C46D645" w14:textId="77777777" w:rsidR="00A60080" w:rsidRPr="00157F7C" w:rsidRDefault="00A60080">
      <w:pPr>
        <w:pStyle w:val="MapTitleContinued"/>
        <w:rPr>
          <w:b w:val="0"/>
          <w:sz w:val="24"/>
        </w:rPr>
      </w:pPr>
      <w:r w:rsidRPr="00157F7C">
        <w:br w:type="page"/>
      </w:r>
      <w:r w:rsidR="00157F7C" w:rsidRPr="00157F7C">
        <w:lastRenderedPageBreak/>
        <w:fldChar w:fldCharType="begin"/>
      </w:r>
      <w:r w:rsidR="00157F7C" w:rsidRPr="00157F7C">
        <w:instrText xml:space="preserve"> STYLEREF "Map Title" </w:instrText>
      </w:r>
      <w:r w:rsidR="00157F7C" w:rsidRPr="00157F7C">
        <w:fldChar w:fldCharType="separate"/>
      </w:r>
      <w:r w:rsidR="0031250B" w:rsidRPr="00157F7C">
        <w:rPr>
          <w:noProof/>
        </w:rPr>
        <w:t>19.  Exhibit 1:  Examples of Ratings for Arrested Tuberculosis</w:t>
      </w:r>
      <w:r w:rsidR="00157F7C" w:rsidRPr="00157F7C">
        <w:rPr>
          <w:noProof/>
        </w:rPr>
        <w:fldChar w:fldCharType="end"/>
      </w:r>
      <w:r w:rsidRPr="00157F7C">
        <w:t xml:space="preserve">, </w:t>
      </w:r>
      <w:r w:rsidRPr="00157F7C">
        <w:rPr>
          <w:b w:val="0"/>
          <w:sz w:val="24"/>
        </w:rPr>
        <w:t>Continued</w:t>
      </w:r>
    </w:p>
    <w:p w14:paraId="0C46D646" w14:textId="77777777" w:rsidR="00A60080" w:rsidRPr="00157F7C" w:rsidRDefault="00641B45">
      <w:pPr>
        <w:pStyle w:val="BlockLine"/>
      </w:pPr>
      <w:r w:rsidRPr="00157F7C">
        <w:fldChar w:fldCharType="begin"/>
      </w:r>
      <w:r w:rsidRPr="00157F7C">
        <w:instrText xml:space="preserve"> PRIVATE INFOTYPE="PRINCIPLE" </w:instrText>
      </w:r>
      <w:r w:rsidRPr="00157F7C">
        <w:fldChar w:fldCharType="end"/>
      </w:r>
      <w:r w:rsidR="00A60080" w:rsidRPr="00157F7C">
        <w:t xml:space="preserve"> </w:t>
      </w:r>
    </w:p>
    <w:tbl>
      <w:tblPr>
        <w:tblW w:w="0" w:type="auto"/>
        <w:tblLayout w:type="fixed"/>
        <w:tblLook w:val="0000" w:firstRow="0" w:lastRow="0" w:firstColumn="0" w:lastColumn="0" w:noHBand="0" w:noVBand="0"/>
      </w:tblPr>
      <w:tblGrid>
        <w:gridCol w:w="1728"/>
        <w:gridCol w:w="7740"/>
      </w:tblGrid>
      <w:tr w:rsidR="00A60080" w:rsidRPr="00157F7C" w14:paraId="0C46D64B" w14:textId="77777777">
        <w:trPr>
          <w:cantSplit/>
        </w:trPr>
        <w:tc>
          <w:tcPr>
            <w:tcW w:w="1728" w:type="dxa"/>
          </w:tcPr>
          <w:p w14:paraId="0C46D647" w14:textId="77777777" w:rsidR="00A60080" w:rsidRPr="00157F7C" w:rsidRDefault="00A60080">
            <w:pPr>
              <w:pStyle w:val="Heading5"/>
            </w:pPr>
            <w:proofErr w:type="gramStart"/>
            <w:r w:rsidRPr="00157F7C">
              <w:t>c.  Example</w:t>
            </w:r>
            <w:proofErr w:type="gramEnd"/>
            <w:r w:rsidRPr="00157F7C">
              <w:t xml:space="preserve"> 3</w:t>
            </w:r>
          </w:p>
        </w:tc>
        <w:tc>
          <w:tcPr>
            <w:tcW w:w="7740" w:type="dxa"/>
          </w:tcPr>
          <w:p w14:paraId="0C46D648" w14:textId="77777777" w:rsidR="00A60080" w:rsidRPr="00157F7C" w:rsidRDefault="00A60080">
            <w:pPr>
              <w:pStyle w:val="BlockText"/>
            </w:pPr>
            <w:r w:rsidRPr="00157F7C">
              <w:rPr>
                <w:b/>
                <w:i/>
              </w:rPr>
              <w:t>Situation</w:t>
            </w:r>
            <w:r w:rsidRPr="00157F7C">
              <w:t xml:space="preserve">:  Same facts as in Example 2.  Medical authorities provide notification of the </w:t>
            </w:r>
            <w:r w:rsidR="00F23D0E" w:rsidRPr="00157F7C">
              <w:t>Veteran</w:t>
            </w:r>
            <w:r w:rsidRPr="00157F7C">
              <w:t>’s failure to submit to examination for treatment purposes.  The notice of proposed adverse action advised that payments would be reduced effective June 1, 2004, but the date of last payment at the expiration of the due process period was July 1, 2004.</w:t>
            </w:r>
          </w:p>
          <w:p w14:paraId="0C46D649" w14:textId="77777777" w:rsidR="00A60080" w:rsidRPr="00157F7C" w:rsidRDefault="00A60080">
            <w:pPr>
              <w:pStyle w:val="BlockText"/>
            </w:pPr>
          </w:p>
          <w:p w14:paraId="0C46D64A" w14:textId="77777777" w:rsidR="00A60080" w:rsidRPr="00157F7C" w:rsidRDefault="00A60080">
            <w:pPr>
              <w:pStyle w:val="BlockText"/>
            </w:pPr>
            <w:r w:rsidRPr="00157F7C">
              <w:rPr>
                <w:b/>
                <w:bCs/>
                <w:i/>
                <w:iCs/>
              </w:rPr>
              <w:t>Result</w:t>
            </w:r>
            <w:r w:rsidRPr="00157F7C">
              <w:t xml:space="preserve">:  Reduce the evaluation for pulmonary tuberculosis to 50 percent effective the date of last payment and to 30 percent four years later.  </w:t>
            </w:r>
          </w:p>
        </w:tc>
      </w:tr>
    </w:tbl>
    <w:p w14:paraId="0C46D64C" w14:textId="77777777" w:rsidR="00A60080" w:rsidRPr="00157F7C" w:rsidRDefault="00A60080"/>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00"/>
        <w:gridCol w:w="3800"/>
      </w:tblGrid>
      <w:tr w:rsidR="00533D76" w:rsidRPr="00157F7C" w14:paraId="0C46D64F" w14:textId="77777777" w:rsidTr="00533D76">
        <w:tc>
          <w:tcPr>
            <w:tcW w:w="3800" w:type="dxa"/>
            <w:shd w:val="clear" w:color="auto" w:fill="auto"/>
          </w:tcPr>
          <w:p w14:paraId="0C46D64D" w14:textId="77777777" w:rsidR="00533D76" w:rsidRPr="00157F7C" w:rsidRDefault="00533D76" w:rsidP="00533D76">
            <w:pPr>
              <w:pStyle w:val="TableHeaderText"/>
              <w:jc w:val="left"/>
            </w:pPr>
            <w:r w:rsidRPr="00157F7C">
              <w:rPr>
                <w:i/>
              </w:rPr>
              <w:t>Coded Conclusion</w:t>
            </w:r>
            <w:r w:rsidRPr="00157F7C">
              <w:t>:</w:t>
            </w:r>
          </w:p>
        </w:tc>
        <w:tc>
          <w:tcPr>
            <w:tcW w:w="3800" w:type="dxa"/>
            <w:shd w:val="clear" w:color="auto" w:fill="auto"/>
          </w:tcPr>
          <w:p w14:paraId="0C46D64E" w14:textId="77777777" w:rsidR="00533D76" w:rsidRPr="00157F7C" w:rsidRDefault="00533D76" w:rsidP="00533D76">
            <w:pPr>
              <w:pStyle w:val="TableHeaderText"/>
            </w:pPr>
          </w:p>
        </w:tc>
      </w:tr>
      <w:tr w:rsidR="00533D76" w:rsidRPr="00157F7C" w14:paraId="0C46D652" w14:textId="77777777" w:rsidTr="00533D76">
        <w:tc>
          <w:tcPr>
            <w:tcW w:w="3800" w:type="dxa"/>
            <w:shd w:val="clear" w:color="auto" w:fill="auto"/>
          </w:tcPr>
          <w:p w14:paraId="0C46D650" w14:textId="77777777" w:rsidR="00533D76" w:rsidRPr="00157F7C" w:rsidRDefault="00533D76" w:rsidP="00533D76">
            <w:pPr>
              <w:pStyle w:val="TableText"/>
            </w:pPr>
            <w:r w:rsidRPr="00157F7C">
              <w:t>1. SC (KC PRES)</w:t>
            </w:r>
          </w:p>
        </w:tc>
        <w:tc>
          <w:tcPr>
            <w:tcW w:w="3800" w:type="dxa"/>
            <w:shd w:val="clear" w:color="auto" w:fill="auto"/>
          </w:tcPr>
          <w:p w14:paraId="0C46D651" w14:textId="77777777" w:rsidR="00533D76" w:rsidRPr="00157F7C" w:rsidRDefault="00533D76" w:rsidP="00533D76">
            <w:pPr>
              <w:pStyle w:val="TableText"/>
            </w:pPr>
          </w:p>
        </w:tc>
      </w:tr>
      <w:tr w:rsidR="00533D76" w:rsidRPr="00157F7C" w14:paraId="0C46D655" w14:textId="77777777" w:rsidTr="00533D76">
        <w:tc>
          <w:tcPr>
            <w:tcW w:w="3800" w:type="dxa"/>
            <w:shd w:val="clear" w:color="auto" w:fill="auto"/>
          </w:tcPr>
          <w:p w14:paraId="0C46D653" w14:textId="77777777" w:rsidR="00533D76" w:rsidRPr="00157F7C" w:rsidRDefault="00533D76" w:rsidP="00533D76">
            <w:pPr>
              <w:pStyle w:val="TableText"/>
            </w:pPr>
            <w:r w:rsidRPr="00157F7C">
              <w:t>6721</w:t>
            </w:r>
          </w:p>
        </w:tc>
        <w:tc>
          <w:tcPr>
            <w:tcW w:w="3800" w:type="dxa"/>
            <w:shd w:val="clear" w:color="auto" w:fill="auto"/>
          </w:tcPr>
          <w:p w14:paraId="0C46D654" w14:textId="77777777" w:rsidR="00533D76" w:rsidRPr="00157F7C" w:rsidRDefault="00533D76" w:rsidP="00533D76">
            <w:pPr>
              <w:pStyle w:val="TableText"/>
            </w:pPr>
            <w:r w:rsidRPr="00157F7C">
              <w:t>Tuberculosis, pulmonary, chronic, far advanced inactive</w:t>
            </w:r>
          </w:p>
        </w:tc>
      </w:tr>
      <w:tr w:rsidR="00533D76" w:rsidRPr="00157F7C" w14:paraId="0C46D658" w14:textId="77777777" w:rsidTr="00533D76">
        <w:tc>
          <w:tcPr>
            <w:tcW w:w="3800" w:type="dxa"/>
            <w:shd w:val="clear" w:color="auto" w:fill="auto"/>
          </w:tcPr>
          <w:p w14:paraId="0C46D656" w14:textId="77777777" w:rsidR="00533D76" w:rsidRPr="00157F7C" w:rsidRDefault="00533D76" w:rsidP="003A2F3A">
            <w:pPr>
              <w:pStyle w:val="TableText"/>
            </w:pPr>
            <w:r w:rsidRPr="00157F7C">
              <w:t>100% from 05/10/2003</w:t>
            </w:r>
          </w:p>
        </w:tc>
        <w:tc>
          <w:tcPr>
            <w:tcW w:w="3800" w:type="dxa"/>
            <w:shd w:val="clear" w:color="auto" w:fill="auto"/>
          </w:tcPr>
          <w:p w14:paraId="0C46D657" w14:textId="77777777" w:rsidR="00533D76" w:rsidRPr="00157F7C" w:rsidRDefault="00533D76" w:rsidP="00533D76">
            <w:pPr>
              <w:pStyle w:val="TableText"/>
            </w:pPr>
          </w:p>
        </w:tc>
      </w:tr>
      <w:tr w:rsidR="00533D76" w:rsidRPr="00157F7C" w14:paraId="0C46D65B" w14:textId="77777777" w:rsidTr="00533D76">
        <w:tc>
          <w:tcPr>
            <w:tcW w:w="3800" w:type="dxa"/>
            <w:shd w:val="clear" w:color="auto" w:fill="auto"/>
          </w:tcPr>
          <w:p w14:paraId="0C46D659" w14:textId="77777777" w:rsidR="00533D76" w:rsidRPr="00157F7C" w:rsidRDefault="00533D76" w:rsidP="003A2F3A">
            <w:pPr>
              <w:pStyle w:val="TableText"/>
            </w:pPr>
            <w:r w:rsidRPr="00157F7C">
              <w:t>50% from 07/01/2004</w:t>
            </w:r>
          </w:p>
        </w:tc>
        <w:tc>
          <w:tcPr>
            <w:tcW w:w="3800" w:type="dxa"/>
            <w:shd w:val="clear" w:color="auto" w:fill="auto"/>
          </w:tcPr>
          <w:p w14:paraId="0C46D65A" w14:textId="77777777" w:rsidR="00533D76" w:rsidRPr="00157F7C" w:rsidRDefault="00533D76" w:rsidP="00533D76">
            <w:pPr>
              <w:pStyle w:val="TableText"/>
            </w:pPr>
          </w:p>
        </w:tc>
      </w:tr>
      <w:tr w:rsidR="00533D76" w:rsidRPr="00157F7C" w14:paraId="0C46D65E" w14:textId="77777777" w:rsidTr="00533D76">
        <w:tc>
          <w:tcPr>
            <w:tcW w:w="3800" w:type="dxa"/>
            <w:shd w:val="clear" w:color="auto" w:fill="auto"/>
          </w:tcPr>
          <w:p w14:paraId="0C46D65C" w14:textId="77777777" w:rsidR="00533D76" w:rsidRPr="00157F7C" w:rsidRDefault="00533D76" w:rsidP="003A2F3A">
            <w:pPr>
              <w:pStyle w:val="TableText"/>
            </w:pPr>
            <w:r w:rsidRPr="00157F7C">
              <w:t>30% from 07/01/2008</w:t>
            </w:r>
          </w:p>
        </w:tc>
        <w:tc>
          <w:tcPr>
            <w:tcW w:w="3800" w:type="dxa"/>
            <w:shd w:val="clear" w:color="auto" w:fill="auto"/>
          </w:tcPr>
          <w:p w14:paraId="0C46D65D" w14:textId="77777777" w:rsidR="00533D76" w:rsidRPr="00157F7C" w:rsidRDefault="00533D76" w:rsidP="00533D76">
            <w:pPr>
              <w:pStyle w:val="TableText"/>
            </w:pPr>
          </w:p>
        </w:tc>
      </w:tr>
    </w:tbl>
    <w:p w14:paraId="0C46D65F" w14:textId="77777777" w:rsidR="00A60080" w:rsidRPr="00157F7C" w:rsidRDefault="0088174D">
      <w:pPr>
        <w:pStyle w:val="BlockLine"/>
      </w:pPr>
      <w:r w:rsidRPr="00157F7C">
        <w:fldChar w:fldCharType="begin"/>
      </w:r>
      <w:r w:rsidRPr="00157F7C">
        <w:instrText xml:space="preserve"> PRIVATE INFOTYPE="PRINCIPLE" </w:instrText>
      </w:r>
      <w:r w:rsidRPr="00157F7C">
        <w:fldChar w:fldCharType="end"/>
      </w:r>
    </w:p>
    <w:tbl>
      <w:tblPr>
        <w:tblW w:w="0" w:type="auto"/>
        <w:tblLayout w:type="fixed"/>
        <w:tblLook w:val="0000" w:firstRow="0" w:lastRow="0" w:firstColumn="0" w:lastColumn="0" w:noHBand="0" w:noVBand="0"/>
      </w:tblPr>
      <w:tblGrid>
        <w:gridCol w:w="1728"/>
        <w:gridCol w:w="7740"/>
      </w:tblGrid>
      <w:tr w:rsidR="00A60080" w:rsidRPr="00157F7C" w14:paraId="0C46D664" w14:textId="77777777">
        <w:trPr>
          <w:cantSplit/>
        </w:trPr>
        <w:tc>
          <w:tcPr>
            <w:tcW w:w="1728" w:type="dxa"/>
          </w:tcPr>
          <w:p w14:paraId="0C46D660" w14:textId="77777777" w:rsidR="00A60080" w:rsidRPr="00157F7C" w:rsidRDefault="00A60080">
            <w:pPr>
              <w:pStyle w:val="Heading5"/>
            </w:pPr>
            <w:proofErr w:type="gramStart"/>
            <w:r w:rsidRPr="00157F7C">
              <w:t>d.  Example</w:t>
            </w:r>
            <w:proofErr w:type="gramEnd"/>
            <w:r w:rsidRPr="00157F7C">
              <w:t xml:space="preserve"> 4</w:t>
            </w:r>
          </w:p>
        </w:tc>
        <w:tc>
          <w:tcPr>
            <w:tcW w:w="7740" w:type="dxa"/>
          </w:tcPr>
          <w:p w14:paraId="0C46D661" w14:textId="77777777" w:rsidR="00A60080" w:rsidRPr="00157F7C" w:rsidRDefault="00A60080">
            <w:pPr>
              <w:pStyle w:val="BlockText"/>
            </w:pPr>
            <w:r w:rsidRPr="00157F7C">
              <w:rPr>
                <w:b/>
                <w:i/>
              </w:rPr>
              <w:t>Situation</w:t>
            </w:r>
            <w:r w:rsidRPr="00157F7C">
              <w:t xml:space="preserve">:  Same facts as in Example 3.  Medical authorities provide notification the </w:t>
            </w:r>
            <w:r w:rsidR="00F23D0E" w:rsidRPr="00157F7C">
              <w:t>Veteran</w:t>
            </w:r>
            <w:r w:rsidRPr="00157F7C">
              <w:t xml:space="preserve"> has reported for examination on March 10, 2005.  The tuberculosis remains inactive.</w:t>
            </w:r>
          </w:p>
          <w:p w14:paraId="0C46D662" w14:textId="77777777" w:rsidR="00A60080" w:rsidRPr="00157F7C" w:rsidRDefault="00A60080">
            <w:pPr>
              <w:pStyle w:val="BlockText"/>
            </w:pPr>
          </w:p>
          <w:p w14:paraId="0C46D663" w14:textId="77777777" w:rsidR="00A60080" w:rsidRPr="00157F7C" w:rsidRDefault="00A60080">
            <w:pPr>
              <w:pStyle w:val="BlockText"/>
            </w:pPr>
            <w:r w:rsidRPr="00157F7C">
              <w:rPr>
                <w:b/>
                <w:bCs/>
                <w:i/>
                <w:iCs/>
              </w:rPr>
              <w:t>Result</w:t>
            </w:r>
            <w:r w:rsidRPr="00157F7C">
              <w:t>:  Reinstate the 100 percent evaluation and reduce the evaluation to 50 percent two years after the date of inactivity of pulmonary tuberculosis.  Reduce to 30 percent four years later.</w:t>
            </w:r>
          </w:p>
        </w:tc>
      </w:tr>
    </w:tbl>
    <w:p w14:paraId="0C46D665" w14:textId="77777777" w:rsidR="00A60080" w:rsidRPr="00157F7C" w:rsidRDefault="00A60080"/>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00"/>
        <w:gridCol w:w="3800"/>
      </w:tblGrid>
      <w:tr w:rsidR="00533D76" w:rsidRPr="00157F7C" w14:paraId="0C46D668" w14:textId="77777777" w:rsidTr="00533D76">
        <w:tc>
          <w:tcPr>
            <w:tcW w:w="3800" w:type="dxa"/>
            <w:shd w:val="clear" w:color="auto" w:fill="auto"/>
          </w:tcPr>
          <w:p w14:paraId="0C46D666" w14:textId="77777777" w:rsidR="00533D76" w:rsidRPr="00157F7C" w:rsidRDefault="00533D76" w:rsidP="00533D76">
            <w:pPr>
              <w:pStyle w:val="TableHeaderText"/>
              <w:jc w:val="left"/>
            </w:pPr>
            <w:r w:rsidRPr="00157F7C">
              <w:rPr>
                <w:i/>
              </w:rPr>
              <w:t>Coded Conclusion</w:t>
            </w:r>
            <w:r w:rsidRPr="00157F7C">
              <w:t>:</w:t>
            </w:r>
          </w:p>
        </w:tc>
        <w:tc>
          <w:tcPr>
            <w:tcW w:w="3800" w:type="dxa"/>
            <w:shd w:val="clear" w:color="auto" w:fill="auto"/>
          </w:tcPr>
          <w:p w14:paraId="0C46D667" w14:textId="77777777" w:rsidR="00533D76" w:rsidRPr="00157F7C" w:rsidRDefault="00533D76" w:rsidP="00533D76">
            <w:pPr>
              <w:pStyle w:val="TableHeaderText"/>
            </w:pPr>
          </w:p>
        </w:tc>
      </w:tr>
      <w:tr w:rsidR="00533D76" w:rsidRPr="00157F7C" w14:paraId="0C46D66B" w14:textId="77777777" w:rsidTr="00533D76">
        <w:tc>
          <w:tcPr>
            <w:tcW w:w="3800" w:type="dxa"/>
            <w:shd w:val="clear" w:color="auto" w:fill="auto"/>
          </w:tcPr>
          <w:p w14:paraId="0C46D669" w14:textId="77777777" w:rsidR="00533D76" w:rsidRPr="00157F7C" w:rsidRDefault="00533D76" w:rsidP="00533D76">
            <w:pPr>
              <w:pStyle w:val="TableText"/>
            </w:pPr>
            <w:r w:rsidRPr="00157F7C">
              <w:t>1. SC (KC PRES)</w:t>
            </w:r>
          </w:p>
        </w:tc>
        <w:tc>
          <w:tcPr>
            <w:tcW w:w="3800" w:type="dxa"/>
            <w:shd w:val="clear" w:color="auto" w:fill="auto"/>
          </w:tcPr>
          <w:p w14:paraId="0C46D66A" w14:textId="77777777" w:rsidR="00533D76" w:rsidRPr="00157F7C" w:rsidRDefault="00533D76" w:rsidP="00533D76">
            <w:pPr>
              <w:pStyle w:val="TableText"/>
            </w:pPr>
          </w:p>
        </w:tc>
      </w:tr>
      <w:tr w:rsidR="00533D76" w:rsidRPr="00157F7C" w14:paraId="0C46D66E" w14:textId="77777777" w:rsidTr="00533D76">
        <w:tc>
          <w:tcPr>
            <w:tcW w:w="3800" w:type="dxa"/>
            <w:shd w:val="clear" w:color="auto" w:fill="auto"/>
          </w:tcPr>
          <w:p w14:paraId="0C46D66C" w14:textId="77777777" w:rsidR="00533D76" w:rsidRPr="00157F7C" w:rsidRDefault="00533D76" w:rsidP="003A2F3A">
            <w:pPr>
              <w:pStyle w:val="TableText"/>
            </w:pPr>
            <w:r w:rsidRPr="00157F7C">
              <w:t>6721</w:t>
            </w:r>
          </w:p>
        </w:tc>
        <w:tc>
          <w:tcPr>
            <w:tcW w:w="3800" w:type="dxa"/>
            <w:shd w:val="clear" w:color="auto" w:fill="auto"/>
          </w:tcPr>
          <w:p w14:paraId="0C46D66D" w14:textId="77777777" w:rsidR="00533D76" w:rsidRPr="00157F7C" w:rsidRDefault="00533D76" w:rsidP="003A2F3A">
            <w:pPr>
              <w:pStyle w:val="TableText"/>
            </w:pPr>
            <w:r w:rsidRPr="00157F7C">
              <w:t>Tuberculosis, pulmonary, chronic, far advanced inactive</w:t>
            </w:r>
          </w:p>
        </w:tc>
      </w:tr>
      <w:tr w:rsidR="00533D76" w:rsidRPr="00157F7C" w14:paraId="0C46D671" w14:textId="77777777" w:rsidTr="00533D76">
        <w:tc>
          <w:tcPr>
            <w:tcW w:w="3800" w:type="dxa"/>
            <w:shd w:val="clear" w:color="auto" w:fill="auto"/>
          </w:tcPr>
          <w:p w14:paraId="0C46D66F" w14:textId="77777777" w:rsidR="00533D76" w:rsidRPr="00157F7C" w:rsidRDefault="00533D76" w:rsidP="00727480">
            <w:pPr>
              <w:pStyle w:val="TableText"/>
            </w:pPr>
            <w:r w:rsidRPr="00157F7C">
              <w:t>100% from 05/10/2003</w:t>
            </w:r>
          </w:p>
        </w:tc>
        <w:tc>
          <w:tcPr>
            <w:tcW w:w="3800" w:type="dxa"/>
            <w:shd w:val="clear" w:color="auto" w:fill="auto"/>
          </w:tcPr>
          <w:p w14:paraId="0C46D670" w14:textId="77777777" w:rsidR="00533D76" w:rsidRPr="00157F7C" w:rsidRDefault="00533D76" w:rsidP="00533D76">
            <w:pPr>
              <w:pStyle w:val="TableText"/>
            </w:pPr>
          </w:p>
        </w:tc>
      </w:tr>
      <w:tr w:rsidR="00533D76" w:rsidRPr="00157F7C" w14:paraId="0C46D674" w14:textId="77777777" w:rsidTr="00533D76">
        <w:tc>
          <w:tcPr>
            <w:tcW w:w="3800" w:type="dxa"/>
            <w:shd w:val="clear" w:color="auto" w:fill="auto"/>
          </w:tcPr>
          <w:p w14:paraId="0C46D672" w14:textId="77777777" w:rsidR="00533D76" w:rsidRPr="00157F7C" w:rsidRDefault="00533D76" w:rsidP="00727480">
            <w:pPr>
              <w:pStyle w:val="TableText"/>
            </w:pPr>
            <w:r w:rsidRPr="00157F7C">
              <w:t>50% from 05/10/2005</w:t>
            </w:r>
          </w:p>
        </w:tc>
        <w:tc>
          <w:tcPr>
            <w:tcW w:w="3800" w:type="dxa"/>
            <w:shd w:val="clear" w:color="auto" w:fill="auto"/>
          </w:tcPr>
          <w:p w14:paraId="0C46D673" w14:textId="77777777" w:rsidR="00533D76" w:rsidRPr="00157F7C" w:rsidRDefault="00533D76" w:rsidP="00533D76">
            <w:pPr>
              <w:pStyle w:val="TableText"/>
            </w:pPr>
          </w:p>
        </w:tc>
      </w:tr>
      <w:tr w:rsidR="00533D76" w:rsidRPr="00157F7C" w14:paraId="0C46D677" w14:textId="77777777" w:rsidTr="00533D76">
        <w:tc>
          <w:tcPr>
            <w:tcW w:w="3800" w:type="dxa"/>
            <w:shd w:val="clear" w:color="auto" w:fill="auto"/>
          </w:tcPr>
          <w:p w14:paraId="0C46D675" w14:textId="77777777" w:rsidR="00533D76" w:rsidRPr="00157F7C" w:rsidRDefault="00533D76" w:rsidP="00727480">
            <w:pPr>
              <w:pStyle w:val="TableText"/>
            </w:pPr>
            <w:r w:rsidRPr="00157F7C">
              <w:t>30% from 05/10/2009</w:t>
            </w:r>
          </w:p>
        </w:tc>
        <w:tc>
          <w:tcPr>
            <w:tcW w:w="3800" w:type="dxa"/>
            <w:shd w:val="clear" w:color="auto" w:fill="auto"/>
          </w:tcPr>
          <w:p w14:paraId="0C46D676" w14:textId="77777777" w:rsidR="00533D76" w:rsidRPr="00157F7C" w:rsidRDefault="00533D76" w:rsidP="00533D76">
            <w:pPr>
              <w:pStyle w:val="TableText"/>
            </w:pPr>
          </w:p>
        </w:tc>
      </w:tr>
    </w:tbl>
    <w:p w14:paraId="0C46D678" w14:textId="4CB32BC7" w:rsidR="00A60080" w:rsidRDefault="004913AA">
      <w:pPr>
        <w:pStyle w:val="BlockLine"/>
      </w:pPr>
      <w:r w:rsidRPr="00157F7C">
        <w:fldChar w:fldCharType="begin">
          <w:fldData xml:space="preserve">RABvAGMAVABlAG0AcAAxAFYAYQByAFQAcgBhAGQAaQB0AGkAbwBuAGEAbAA=
</w:fldData>
        </w:fldChar>
      </w:r>
      <w:r w:rsidRPr="00157F7C">
        <w:instrText xml:space="preserve"> ADDIN  \* MERGEFORMAT </w:instrText>
      </w:r>
      <w:r w:rsidRPr="00157F7C">
        <w:fldChar w:fldCharType="end"/>
      </w:r>
      <w:r w:rsidRPr="00157F7C">
        <w:fldChar w:fldCharType="begin">
          <w:fldData xml:space="preserve">RgBvAG4AdABTAGUAdABTAHQAYQBuAGQAYQByAGQA
</w:fldData>
        </w:fldChar>
      </w:r>
      <w:r w:rsidRPr="00157F7C">
        <w:instrText xml:space="preserve"> ADDIN  \* MERGEFORMAT </w:instrText>
      </w:r>
      <w:r w:rsidRPr="00157F7C">
        <w:fldChar w:fldCharType="end"/>
      </w:r>
      <w:r w:rsidR="00F7375B" w:rsidRPr="00157F7C">
        <w:fldChar w:fldCharType="begin">
          <w:fldData xml:space="preserve">RABvAGMAVABlAG0AcAAxAFYAYQByAFQAcgBhAGQAaQB0AGkAbwBuAGEAbAA=
</w:fldData>
        </w:fldChar>
      </w:r>
      <w:r w:rsidR="00F7375B" w:rsidRPr="00157F7C">
        <w:instrText xml:space="preserve"> ADDIN  \* MERGEFORMAT </w:instrText>
      </w:r>
      <w:r w:rsidR="00F7375B" w:rsidRPr="00157F7C">
        <w:fldChar w:fldCharType="end"/>
      </w:r>
      <w:r w:rsidR="00F7375B" w:rsidRPr="00157F7C">
        <w:fldChar w:fldCharType="begin">
          <w:fldData xml:space="preserve">RgBvAG4AdABTAGUAdABTAHQAYQBuAGQAYQByAGQA
</w:fldData>
        </w:fldChar>
      </w:r>
      <w:r w:rsidR="00F7375B" w:rsidRPr="00157F7C">
        <w:instrText xml:space="preserve"> ADDIN  \* MERGEFORMAT </w:instrText>
      </w:r>
      <w:r w:rsidR="00F7375B" w:rsidRPr="00157F7C">
        <w:fldChar w:fldCharType="end"/>
      </w:r>
      <w:r w:rsidR="00A235A9" w:rsidRPr="00157F7C">
        <w:fldChar w:fldCharType="begin">
          <w:fldData xml:space="preserve">RABvAGMAVABlAG0AcAAxAFYAYQByAFQAcgBhAGQAaQB0AGkAbwBuAGEAbAA=
</w:fldData>
        </w:fldChar>
      </w:r>
      <w:r w:rsidR="00A235A9" w:rsidRPr="00157F7C">
        <w:instrText xml:space="preserve"> ADDIN  \* MERGEFORMAT </w:instrText>
      </w:r>
      <w:r w:rsidR="00A235A9" w:rsidRPr="00157F7C">
        <w:fldChar w:fldCharType="end"/>
      </w:r>
      <w:r w:rsidR="00A235A9" w:rsidRPr="00157F7C">
        <w:fldChar w:fldCharType="begin">
          <w:fldData xml:space="preserve">RgBvAG4AdABTAGUAdABTAHQAYQBuAGQAYQByAGQA
</w:fldData>
        </w:fldChar>
      </w:r>
      <w:r w:rsidR="00A235A9" w:rsidRPr="00157F7C">
        <w:instrText xml:space="preserve"> ADDIN  \* MERGEFORMAT </w:instrText>
      </w:r>
      <w:r w:rsidR="00A235A9" w:rsidRPr="00157F7C">
        <w:fldChar w:fldCharType="end"/>
      </w:r>
      <w:r w:rsidR="002C343C" w:rsidRPr="00157F7C">
        <w:fldChar w:fldCharType="begin">
          <w:fldData xml:space="preserve">RABvAGMAVABlAG0AcAAxAFYAYQByAFQAcgBhAGQAaQB0AGkAbwBuAGEAbAA=
</w:fldData>
        </w:fldChar>
      </w:r>
      <w:r w:rsidR="002C343C" w:rsidRPr="00157F7C">
        <w:instrText xml:space="preserve"> ADDIN  \* MERGEFORMAT </w:instrText>
      </w:r>
      <w:r w:rsidR="002C343C" w:rsidRPr="00157F7C">
        <w:fldChar w:fldCharType="end"/>
      </w:r>
      <w:r w:rsidR="002C343C" w:rsidRPr="00157F7C">
        <w:fldChar w:fldCharType="begin">
          <w:fldData xml:space="preserve">RgBvAG4AdABTAGUAdABTAHQAYQBuAGQAYQByAGQA
</w:fldData>
        </w:fldChar>
      </w:r>
      <w:r w:rsidR="002C343C" w:rsidRPr="00157F7C">
        <w:instrText xml:space="preserve"> ADDIN  \* MERGEFORMAT </w:instrText>
      </w:r>
      <w:r w:rsidR="002C343C" w:rsidRPr="00157F7C">
        <w:fldChar w:fldCharType="end"/>
      </w:r>
      <w:r w:rsidR="0098122B" w:rsidRPr="00157F7C">
        <w:fldChar w:fldCharType="begin">
          <w:fldData xml:space="preserve">RABvAGMAVABlAG0AcAAxAFYAYQByAFQAcgBhAGQAaQB0AGkAbwBuAGEAbAA=
</w:fldData>
        </w:fldChar>
      </w:r>
      <w:r w:rsidR="0098122B" w:rsidRPr="00157F7C">
        <w:instrText xml:space="preserve"> ADDIN  \* MERGEFORMAT </w:instrText>
      </w:r>
      <w:r w:rsidR="0098122B" w:rsidRPr="00157F7C">
        <w:fldChar w:fldCharType="end"/>
      </w:r>
      <w:r w:rsidR="0098122B" w:rsidRPr="00157F7C">
        <w:fldChar w:fldCharType="begin">
          <w:fldData xml:space="preserve">RgBvAG4AdABTAGUAdABpAG0AaQBzAHQAeQBsAGUAcwAuAHgAbQBsAA==
</w:fldData>
        </w:fldChar>
      </w:r>
      <w:r w:rsidR="0098122B" w:rsidRPr="00157F7C">
        <w:instrText xml:space="preserve"> ADDIN  \* MERGEFORMAT </w:instrText>
      </w:r>
      <w:r w:rsidR="0098122B" w:rsidRPr="00157F7C">
        <w:fldChar w:fldCharType="end"/>
      </w:r>
      <w:r w:rsidR="00A35C19" w:rsidRPr="00157F7C">
        <w:fldChar w:fldCharType="begin">
          <w:fldData xml:space="preserve">RABvAGMAVABlAG0AcAAxAFYAYQByAFQAcgBhAGQAaQB0AGkAbwBuAGEAbAA=
</w:fldData>
        </w:fldChar>
      </w:r>
      <w:r w:rsidR="00A35C19" w:rsidRPr="00157F7C">
        <w:instrText xml:space="preserve"> ADDIN  \* MERGEFORMAT </w:instrText>
      </w:r>
      <w:r w:rsidR="00A35C19" w:rsidRPr="00157F7C">
        <w:fldChar w:fldCharType="end"/>
      </w:r>
      <w:r w:rsidR="00A35C19" w:rsidRPr="00157F7C">
        <w:fldChar w:fldCharType="begin">
          <w:fldData xml:space="preserve">RgBvAG4AdABTAGUAdABGAG8AbgB0AFMAZQB0AGkAbQBpAHMAdAB5AGwAZQBzAC4AeABtAGwA
</w:fldData>
        </w:fldChar>
      </w:r>
      <w:r w:rsidR="00A35C19" w:rsidRPr="00157F7C">
        <w:instrText xml:space="preserve"> ADDIN  \* MERGEFORMAT </w:instrText>
      </w:r>
      <w:r w:rsidR="00A35C19" w:rsidRPr="00157F7C">
        <w:fldChar w:fldCharType="end"/>
      </w:r>
      <w:r w:rsidR="006B70D4" w:rsidRPr="00157F7C">
        <w:fldChar w:fldCharType="begin">
          <w:fldData xml:space="preserve">RABvAGMAVABlAG0AcAAxAFYAYQByAFQAcgBhAGQAaQB0AGkAbwBuAGEAbAA=
</w:fldData>
        </w:fldChar>
      </w:r>
      <w:r w:rsidR="006B70D4" w:rsidRPr="00157F7C">
        <w:instrText xml:space="preserve"> ADDIN  \* MERGEFORMAT </w:instrText>
      </w:r>
      <w:r w:rsidR="006B70D4" w:rsidRPr="00157F7C">
        <w:fldChar w:fldCharType="end"/>
      </w:r>
      <w:r w:rsidR="006B70D4" w:rsidRPr="00157F7C">
        <w:fldChar w:fldCharType="begin">
          <w:fldData xml:space="preserve">RgBvAG4AdABTAGUAdABGAG8AbgB0AFMAZQB0AEYAbwBuAHQAUwBlAHQAaQBtAGkAcwB0AHkAbABl
AHMALgB4AG0AbAA=
</w:fldData>
        </w:fldChar>
      </w:r>
      <w:r w:rsidR="006B70D4" w:rsidRPr="00157F7C">
        <w:instrText xml:space="preserve"> ADDIN  \* MERGEFORMAT </w:instrText>
      </w:r>
      <w:r w:rsidR="006B70D4" w:rsidRPr="00157F7C">
        <w:fldChar w:fldCharType="end"/>
      </w:r>
      <w:r w:rsidR="009A67DC" w:rsidRPr="00157F7C">
        <w:fldChar w:fldCharType="begin">
          <w:fldData xml:space="preserve">RABvAGMAVABlAG0AcAAxAFYAYQByAFQAcgBhAGQAaQB0AGkAbwBuAGEAbAA=
</w:fldData>
        </w:fldChar>
      </w:r>
      <w:r w:rsidR="009A67DC" w:rsidRPr="00157F7C">
        <w:instrText xml:space="preserve"> ADDIN  \* MERGEFORMAT </w:instrText>
      </w:r>
      <w:r w:rsidR="009A67DC" w:rsidRPr="00157F7C">
        <w:fldChar w:fldCharType="end"/>
      </w:r>
      <w:r w:rsidR="009A67DC" w:rsidRPr="00157F7C">
        <w:fldChar w:fldCharType="begin">
          <w:fldData xml:space="preserve">RgBvAG4AdABTAGUAdABpAG0AaQBzAHQAeQBsAGUAcwAuAHgAbQBsAA==
</w:fldData>
        </w:fldChar>
      </w:r>
      <w:r w:rsidR="009A67DC" w:rsidRPr="00157F7C">
        <w:instrText xml:space="preserve"> ADDIN  \* MERGEFORMAT </w:instrText>
      </w:r>
      <w:r w:rsidR="009A67DC" w:rsidRPr="00157F7C">
        <w:fldChar w:fldCharType="end"/>
      </w:r>
      <w:bookmarkStart w:id="30" w:name="_GoBack"/>
      <w:bookmarkEnd w:id="30"/>
    </w:p>
    <w:sectPr w:rsidR="00A60080">
      <w:headerReference w:type="even" r:id="rId32"/>
      <w:headerReference w:type="default" r:id="rId33"/>
      <w:footerReference w:type="even" r:id="rId34"/>
      <w:footerReference w:type="default" r:id="rId35"/>
      <w:pgSz w:w="12240" w:h="15840"/>
      <w:pgMar w:top="1440" w:right="1440" w:bottom="1440"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6D67B" w14:textId="77777777" w:rsidR="0045239F" w:rsidRDefault="0045239F">
      <w:r>
        <w:separator/>
      </w:r>
    </w:p>
  </w:endnote>
  <w:endnote w:type="continuationSeparator" w:id="0">
    <w:p w14:paraId="0C46D67C" w14:textId="77777777" w:rsidR="0045239F" w:rsidRDefault="0045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6D67F" w14:textId="77777777" w:rsidR="00A60080" w:rsidRDefault="00A60080">
    <w:pPr>
      <w:pStyle w:val="Footer"/>
      <w:tabs>
        <w:tab w:val="left" w:pos="0"/>
        <w:tab w:val="right" w:pos="9274"/>
      </w:tabs>
    </w:pPr>
    <w:r>
      <w:rPr>
        <w:b/>
        <w:sz w:val="20"/>
      </w:rPr>
      <w:t>4-D-</w:t>
    </w:r>
    <w:r>
      <w:rPr>
        <w:rStyle w:val="PageNumber"/>
        <w:b/>
        <w:sz w:val="20"/>
      </w:rPr>
      <w:fldChar w:fldCharType="begin"/>
    </w:r>
    <w:r>
      <w:rPr>
        <w:rStyle w:val="PageNumber"/>
        <w:b/>
        <w:sz w:val="20"/>
      </w:rPr>
      <w:instrText xml:space="preserve"> PAGE </w:instrText>
    </w:r>
    <w:r>
      <w:rPr>
        <w:rStyle w:val="PageNumber"/>
        <w:b/>
        <w:sz w:val="20"/>
      </w:rPr>
      <w:fldChar w:fldCharType="separate"/>
    </w:r>
    <w:r w:rsidR="00157F7C">
      <w:rPr>
        <w:rStyle w:val="PageNumber"/>
        <w:b/>
        <w:noProof/>
        <w:sz w:val="20"/>
      </w:rPr>
      <w:t>12</w:t>
    </w:r>
    <w:r>
      <w:rPr>
        <w:rStyle w:val="PageNumber"/>
        <w:b/>
        <w:sz w:val="20"/>
      </w:rPr>
      <w:fldChar w:fldCharType="end"/>
    </w:r>
    <w:r>
      <w:rPr>
        <w:rStyle w:val="PageNumber"/>
        <w:b/>
        <w:sz w:val="20"/>
      </w:rPr>
      <w:tab/>
    </w:r>
    <w:r>
      <w:rPr>
        <w:rStyle w:val="PageNumbe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6D680" w14:textId="77777777" w:rsidR="00A60080" w:rsidRDefault="00A60080">
    <w:pPr>
      <w:pStyle w:val="Footer"/>
      <w:tabs>
        <w:tab w:val="left" w:pos="0"/>
        <w:tab w:val="right" w:pos="9274"/>
      </w:tabs>
    </w:pPr>
    <w:r>
      <w:rPr>
        <w:b/>
        <w:sz w:val="20"/>
      </w:rPr>
      <w:tab/>
    </w:r>
    <w:r>
      <w:rPr>
        <w:b/>
        <w:sz w:val="20"/>
      </w:rPr>
      <w:tab/>
      <w:t>4-D-</w:t>
    </w:r>
    <w:r>
      <w:rPr>
        <w:rStyle w:val="PageNumber"/>
        <w:b/>
        <w:sz w:val="20"/>
      </w:rPr>
      <w:fldChar w:fldCharType="begin"/>
    </w:r>
    <w:r>
      <w:rPr>
        <w:rStyle w:val="PageNumber"/>
        <w:b/>
        <w:sz w:val="20"/>
      </w:rPr>
      <w:instrText xml:space="preserve"> PAGE </w:instrText>
    </w:r>
    <w:r>
      <w:rPr>
        <w:rStyle w:val="PageNumber"/>
        <w:b/>
        <w:sz w:val="20"/>
      </w:rPr>
      <w:fldChar w:fldCharType="separate"/>
    </w:r>
    <w:r w:rsidR="00157F7C">
      <w:rPr>
        <w:rStyle w:val="PageNumber"/>
        <w:b/>
        <w:noProof/>
        <w:sz w:val="20"/>
      </w:rPr>
      <w:t>11</w:t>
    </w:r>
    <w:r>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6D679" w14:textId="77777777" w:rsidR="0045239F" w:rsidRDefault="0045239F">
      <w:r>
        <w:separator/>
      </w:r>
    </w:p>
  </w:footnote>
  <w:footnote w:type="continuationSeparator" w:id="0">
    <w:p w14:paraId="0C46D67A" w14:textId="77777777" w:rsidR="0045239F" w:rsidRDefault="00452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6D67D" w14:textId="77777777" w:rsidR="00A60080" w:rsidRDefault="00A60080">
    <w:pPr>
      <w:pStyle w:val="Header"/>
    </w:pPr>
    <w:r>
      <w:rPr>
        <w:b/>
        <w:sz w:val="20"/>
      </w:rPr>
      <w:t>M21-1MR, Part III, Subpart iv, Chapter 4, Section D</w:t>
    </w:r>
    <w:r>
      <w:rPr>
        <w:b/>
        <w:sz w:val="20"/>
      </w:rPr>
      <w:tab/>
    </w: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6D67E" w14:textId="77777777" w:rsidR="00A60080" w:rsidRDefault="00A60080">
    <w:pPr>
      <w:pStyle w:val="Header"/>
    </w:pPr>
    <w:r>
      <w:rPr>
        <w:b/>
        <w:sz w:val="20"/>
      </w:rPr>
      <w:tab/>
    </w:r>
    <w:r>
      <w:rPr>
        <w:b/>
        <w:sz w:val="20"/>
      </w:rPr>
      <w:tab/>
      <w:t>M21-1MR, Part III, Subpart iv, Chapter 4, Section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7" type="#_x0000_t75" style="width:12pt;height:12pt" o:bullet="t">
        <v:imagedata r:id="rId1" o:title="fspro_2columns"/>
      </v:shape>
    </w:pict>
  </w:numPicBullet>
  <w:numPicBullet w:numPicBulletId="1">
    <w:pict>
      <v:shape id="_x0000_i1328" type="#_x0000_t75" style="width:12pt;height:12pt" o:bullet="t">
        <v:imagedata r:id="rId2" o:title="advanced"/>
      </v:shape>
    </w:pict>
  </w:numPicBullet>
  <w:numPicBullet w:numPicBulletId="2">
    <w:pict>
      <v:shape id="_x0000_i1329" type="#_x0000_t75" style="width:12pt;height:12pt" o:bullet="t">
        <v:imagedata r:id="rId3" o:title="continue"/>
      </v:shape>
    </w:pict>
  </w:numPicBullet>
  <w:numPicBullet w:numPicBulletId="3">
    <w:pict>
      <v:shape id="_x0000_i1330" type="#_x0000_t75" style="width:12pt;height:12pt" o:bullet="t">
        <v:imagedata r:id="rId4" o:title="webpage"/>
      </v:shape>
    </w:pict>
  </w:numPicBullet>
  <w:abstractNum w:abstractNumId="0">
    <w:nsid w:val="FFFFFF89"/>
    <w:multiLevelType w:val="singleLevel"/>
    <w:tmpl w:val="52388F62"/>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F12229"/>
    <w:multiLevelType w:val="singleLevel"/>
    <w:tmpl w:val="7C4E53C2"/>
    <w:lvl w:ilvl="0">
      <w:start w:val="1"/>
      <w:numFmt w:val="lowerLetter"/>
      <w:lvlText w:val="%1."/>
      <w:lvlJc w:val="left"/>
      <w:pPr>
        <w:tabs>
          <w:tab w:val="num" w:pos="360"/>
        </w:tabs>
        <w:ind w:left="360" w:hanging="360"/>
      </w:pPr>
      <w:rPr>
        <w:rFonts w:hint="default"/>
      </w:rPr>
    </w:lvl>
  </w:abstractNum>
  <w:abstractNum w:abstractNumId="4">
    <w:nsid w:val="10CB6EB1"/>
    <w:multiLevelType w:val="singleLevel"/>
    <w:tmpl w:val="44586DB2"/>
    <w:lvl w:ilvl="0">
      <w:start w:val="1"/>
      <w:numFmt w:val="bullet"/>
      <w:lvlText w:val=""/>
      <w:lvlJc w:val="left"/>
      <w:pPr>
        <w:tabs>
          <w:tab w:val="num" w:pos="533"/>
        </w:tabs>
        <w:ind w:left="533" w:hanging="360"/>
      </w:pPr>
      <w:rPr>
        <w:rFonts w:ascii="Symbol" w:hAnsi="Symbol" w:hint="default"/>
        <w:color w:val="auto"/>
      </w:rPr>
    </w:lvl>
  </w:abstractNum>
  <w:abstractNum w:abstractNumId="5">
    <w:nsid w:val="211C7440"/>
    <w:multiLevelType w:val="hybridMultilevel"/>
    <w:tmpl w:val="74D6A610"/>
    <w:lvl w:ilvl="0" w:tplc="F480555E">
      <w:start w:val="1"/>
      <w:numFmt w:val="bullet"/>
      <w:lvlText w:val="-"/>
      <w:lvlJc w:val="left"/>
      <w:pPr>
        <w:tabs>
          <w:tab w:val="num" w:pos="173"/>
        </w:tabs>
        <w:ind w:left="187" w:hanging="1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EF473A"/>
    <w:multiLevelType w:val="singleLevel"/>
    <w:tmpl w:val="64C690DE"/>
    <w:lvl w:ilvl="0">
      <w:start w:val="4"/>
      <w:numFmt w:val="decimal"/>
      <w:lvlText w:val="(%1)"/>
      <w:lvlJc w:val="left"/>
      <w:pPr>
        <w:tabs>
          <w:tab w:val="num" w:pos="1110"/>
        </w:tabs>
        <w:ind w:left="1110" w:hanging="390"/>
      </w:pPr>
      <w:rPr>
        <w:rFonts w:hint="default"/>
      </w:rPr>
    </w:lvl>
  </w:abstractNum>
  <w:abstractNum w:abstractNumId="7">
    <w:nsid w:val="28B96B8B"/>
    <w:multiLevelType w:val="singleLevel"/>
    <w:tmpl w:val="EF785666"/>
    <w:lvl w:ilvl="0">
      <w:start w:val="1"/>
      <w:numFmt w:val="lowerLetter"/>
      <w:lvlText w:val="%1."/>
      <w:lvlJc w:val="left"/>
      <w:pPr>
        <w:tabs>
          <w:tab w:val="num" w:pos="360"/>
        </w:tabs>
        <w:ind w:left="360" w:hanging="360"/>
      </w:pPr>
      <w:rPr>
        <w:rFonts w:hint="default"/>
      </w:rPr>
    </w:lvl>
  </w:abstractNum>
  <w:abstractNum w:abstractNumId="8">
    <w:nsid w:val="2A2C0D51"/>
    <w:multiLevelType w:val="singleLevel"/>
    <w:tmpl w:val="ED6027DE"/>
    <w:lvl w:ilvl="0">
      <w:start w:val="1"/>
      <w:numFmt w:val="bullet"/>
      <w:lvlText w:val=""/>
      <w:lvlJc w:val="left"/>
      <w:pPr>
        <w:tabs>
          <w:tab w:val="num" w:pos="360"/>
        </w:tabs>
        <w:ind w:left="360" w:hanging="360"/>
      </w:pPr>
      <w:rPr>
        <w:rFonts w:ascii="Symbol" w:hAnsi="Symbol" w:hint="default"/>
      </w:rPr>
    </w:lvl>
  </w:abstractNum>
  <w:abstractNum w:abstractNumId="9">
    <w:nsid w:val="348108BE"/>
    <w:multiLevelType w:val="hybridMultilevel"/>
    <w:tmpl w:val="53A44CC6"/>
    <w:lvl w:ilvl="0" w:tplc="FFFFFFFF">
      <w:start w:val="1"/>
      <w:numFmt w:val="bullet"/>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F46861"/>
    <w:multiLevelType w:val="singleLevel"/>
    <w:tmpl w:val="3D0682C2"/>
    <w:lvl w:ilvl="0">
      <w:start w:val="14"/>
      <w:numFmt w:val="decimal"/>
      <w:lvlText w:val="%1."/>
      <w:lvlJc w:val="left"/>
      <w:pPr>
        <w:tabs>
          <w:tab w:val="num" w:pos="630"/>
        </w:tabs>
        <w:ind w:left="630" w:hanging="630"/>
      </w:pPr>
      <w:rPr>
        <w:rFonts w:hint="default"/>
      </w:rPr>
    </w:lvl>
  </w:abstractNum>
  <w:abstractNum w:abstractNumId="12">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13">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14">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15">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16">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B02AF"/>
    <w:multiLevelType w:val="singleLevel"/>
    <w:tmpl w:val="15F25542"/>
    <w:lvl w:ilvl="0">
      <w:start w:val="1"/>
      <w:numFmt w:val="bullet"/>
      <w:lvlText w:val="-"/>
      <w:lvlJc w:val="left"/>
      <w:pPr>
        <w:tabs>
          <w:tab w:val="num" w:pos="360"/>
        </w:tabs>
        <w:ind w:left="360" w:hanging="187"/>
      </w:pPr>
      <w:rPr>
        <w:rFonts w:ascii="Symbol" w:hAnsi="Symbol" w:cs="Times New Roman" w:hint="default"/>
      </w:rPr>
    </w:lvl>
  </w:abstractNum>
  <w:abstractNum w:abstractNumId="18">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20">
    <w:nsid w:val="756156A8"/>
    <w:multiLevelType w:val="singleLevel"/>
    <w:tmpl w:val="6B9CBF9C"/>
    <w:lvl w:ilvl="0">
      <w:start w:val="1"/>
      <w:numFmt w:val="decimal"/>
      <w:lvlText w:val="%1."/>
      <w:lvlJc w:val="left"/>
      <w:pPr>
        <w:tabs>
          <w:tab w:val="num" w:pos="450"/>
        </w:tabs>
        <w:ind w:left="450" w:hanging="450"/>
      </w:pPr>
      <w:rPr>
        <w:rFonts w:hint="default"/>
      </w:rPr>
    </w:lvl>
  </w:abstractNum>
  <w:abstractNum w:abstractNumId="21">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abstractNum w:abstractNumId="22">
    <w:nsid w:val="784C50CF"/>
    <w:multiLevelType w:val="singleLevel"/>
    <w:tmpl w:val="A0E6070E"/>
    <w:lvl w:ilvl="0">
      <w:start w:val="1"/>
      <w:numFmt w:val="lowerLetter"/>
      <w:lvlText w:val="%1."/>
      <w:legacy w:legacy="1" w:legacySpace="0" w:legacyIndent="900"/>
      <w:lvlJc w:val="left"/>
      <w:pPr>
        <w:ind w:left="1440" w:hanging="900"/>
      </w:pPr>
    </w:lvl>
  </w:abstractNum>
  <w:num w:numId="1">
    <w:abstractNumId w:val="15"/>
  </w:num>
  <w:num w:numId="2">
    <w:abstractNumId w:val="15"/>
  </w:num>
  <w:num w:numId="3">
    <w:abstractNumId w:val="1"/>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4">
    <w:abstractNumId w:val="8"/>
  </w:num>
  <w:num w:numId="5">
    <w:abstractNumId w:val="1"/>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6">
    <w:abstractNumId w:val="1"/>
    <w:lvlOverride w:ilvl="0">
      <w:lvl w:ilvl="0">
        <w:start w:val="1"/>
        <w:numFmt w:val="bullet"/>
        <w:lvlText w:val="·"/>
        <w:legacy w:legacy="1" w:legacySpace="0" w:legacyIndent="187"/>
        <w:lvlJc w:val="left"/>
        <w:pPr>
          <w:ind w:left="360" w:hanging="187"/>
        </w:pPr>
        <w:rPr>
          <w:rFonts w:ascii="Arial" w:hAnsi="Arial" w:hint="default"/>
          <w:sz w:val="20"/>
        </w:rPr>
      </w:lvl>
    </w:lvlOverride>
  </w:num>
  <w:num w:numId="7">
    <w:abstractNumId w:val="4"/>
  </w:num>
  <w:num w:numId="8">
    <w:abstractNumId w:val="0"/>
  </w:num>
  <w:num w:numId="9">
    <w:abstractNumId w:val="11"/>
  </w:num>
  <w:num w:numId="10">
    <w:abstractNumId w:val="20"/>
  </w:num>
  <w:num w:numId="11">
    <w:abstractNumId w:val="22"/>
  </w:num>
  <w:num w:numId="12">
    <w:abstractNumId w:val="6"/>
  </w:num>
  <w:num w:numId="13">
    <w:abstractNumId w:val="1"/>
    <w:lvlOverride w:ilvl="0">
      <w:lvl w:ilvl="0">
        <w:start w:val="1"/>
        <w:numFmt w:val="bullet"/>
        <w:lvlText w:val=""/>
        <w:legacy w:legacy="1" w:legacySpace="0" w:legacyIndent="360"/>
        <w:lvlJc w:val="left"/>
        <w:pPr>
          <w:ind w:left="900" w:hanging="360"/>
        </w:pPr>
        <w:rPr>
          <w:rFonts w:ascii="Symbol" w:hAnsi="Symbol" w:hint="default"/>
        </w:rPr>
      </w:lvl>
    </w:lvlOverride>
  </w:num>
  <w:num w:numId="14">
    <w:abstractNumId w:val="7"/>
  </w:num>
  <w:num w:numId="15">
    <w:abstractNumId w:val="3"/>
  </w:num>
  <w:num w:numId="16">
    <w:abstractNumId w:val="21"/>
  </w:num>
  <w:num w:numId="17">
    <w:abstractNumId w:val="17"/>
  </w:num>
  <w:num w:numId="18">
    <w:abstractNumId w:val="9"/>
  </w:num>
  <w:num w:numId="19">
    <w:abstractNumId w:val="16"/>
  </w:num>
  <w:num w:numId="20">
    <w:abstractNumId w:val="5"/>
  </w:num>
  <w:num w:numId="21">
    <w:abstractNumId w:val="18"/>
  </w:num>
  <w:num w:numId="22">
    <w:abstractNumId w:val="2"/>
  </w:num>
  <w:num w:numId="23">
    <w:abstractNumId w:val="14"/>
  </w:num>
  <w:num w:numId="24">
    <w:abstractNumId w:val="13"/>
  </w:num>
  <w:num w:numId="25">
    <w:abstractNumId w:val="19"/>
  </w:num>
  <w:num w:numId="26">
    <w:abstractNumId w:val="1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imistyles.xml"/>
    <w:docVar w:name="XSLPath" w:val="C:\Program Files\Information Mapping\FS Pro 4.1\StyleSheets\"/>
    <w:docVar w:name="XSLstylesheet" w:val="Basic.xsl"/>
  </w:docVars>
  <w:rsids>
    <w:rsidRoot w:val="00A60080"/>
    <w:rsid w:val="000127B3"/>
    <w:rsid w:val="00030426"/>
    <w:rsid w:val="00071BD7"/>
    <w:rsid w:val="00077DE0"/>
    <w:rsid w:val="000A4B1D"/>
    <w:rsid w:val="00147BA1"/>
    <w:rsid w:val="00157F7C"/>
    <w:rsid w:val="001A1204"/>
    <w:rsid w:val="002506DE"/>
    <w:rsid w:val="00250F80"/>
    <w:rsid w:val="00271685"/>
    <w:rsid w:val="002902F6"/>
    <w:rsid w:val="002B4252"/>
    <w:rsid w:val="002C343C"/>
    <w:rsid w:val="0031250B"/>
    <w:rsid w:val="0032028D"/>
    <w:rsid w:val="00331B59"/>
    <w:rsid w:val="00332D9A"/>
    <w:rsid w:val="003679CE"/>
    <w:rsid w:val="00383355"/>
    <w:rsid w:val="00387E3B"/>
    <w:rsid w:val="003E4976"/>
    <w:rsid w:val="003F568B"/>
    <w:rsid w:val="0043659C"/>
    <w:rsid w:val="0045239F"/>
    <w:rsid w:val="00462F4C"/>
    <w:rsid w:val="00480DB9"/>
    <w:rsid w:val="004913AA"/>
    <w:rsid w:val="004E11F0"/>
    <w:rsid w:val="00533D76"/>
    <w:rsid w:val="005503E5"/>
    <w:rsid w:val="00566943"/>
    <w:rsid w:val="005D67D3"/>
    <w:rsid w:val="00641B45"/>
    <w:rsid w:val="006B70D4"/>
    <w:rsid w:val="00742928"/>
    <w:rsid w:val="00772D86"/>
    <w:rsid w:val="007845B0"/>
    <w:rsid w:val="007B32D1"/>
    <w:rsid w:val="007E5458"/>
    <w:rsid w:val="008049AA"/>
    <w:rsid w:val="00815EBB"/>
    <w:rsid w:val="00821431"/>
    <w:rsid w:val="0088174D"/>
    <w:rsid w:val="00891D81"/>
    <w:rsid w:val="0098122B"/>
    <w:rsid w:val="009A67DC"/>
    <w:rsid w:val="00A235A9"/>
    <w:rsid w:val="00A35C19"/>
    <w:rsid w:val="00A60080"/>
    <w:rsid w:val="00A62B45"/>
    <w:rsid w:val="00A66361"/>
    <w:rsid w:val="00B1755B"/>
    <w:rsid w:val="00B267B0"/>
    <w:rsid w:val="00B31096"/>
    <w:rsid w:val="00B457E5"/>
    <w:rsid w:val="00BD73AE"/>
    <w:rsid w:val="00BF1D23"/>
    <w:rsid w:val="00C03561"/>
    <w:rsid w:val="00C7574D"/>
    <w:rsid w:val="00C82B54"/>
    <w:rsid w:val="00C83285"/>
    <w:rsid w:val="00CD7407"/>
    <w:rsid w:val="00CF5CEB"/>
    <w:rsid w:val="00D25430"/>
    <w:rsid w:val="00D805C4"/>
    <w:rsid w:val="00E76A3A"/>
    <w:rsid w:val="00EB0F4F"/>
    <w:rsid w:val="00EF327A"/>
    <w:rsid w:val="00F23D0E"/>
    <w:rsid w:val="00F7375B"/>
    <w:rsid w:val="00FB1C7D"/>
    <w:rsid w:val="00FB3DC0"/>
    <w:rsid w:val="00FB5894"/>
    <w:rsid w:val="00FC6A7C"/>
    <w:rsid w:val="00FF1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46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3D0E"/>
    <w:rPr>
      <w:color w:val="000000"/>
      <w:sz w:val="24"/>
      <w:szCs w:val="24"/>
    </w:rPr>
  </w:style>
  <w:style w:type="paragraph" w:styleId="Heading1">
    <w:name w:val="heading 1"/>
    <w:aliases w:val="Part Title"/>
    <w:basedOn w:val="Normal"/>
    <w:next w:val="Heading4"/>
    <w:qFormat/>
    <w:rsid w:val="00F23D0E"/>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F23D0E"/>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F23D0E"/>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F23D0E"/>
    <w:pPr>
      <w:spacing w:after="240"/>
      <w:outlineLvl w:val="3"/>
    </w:pPr>
    <w:rPr>
      <w:rFonts w:ascii="Arial" w:hAnsi="Arial" w:cs="Arial"/>
      <w:b/>
      <w:sz w:val="32"/>
      <w:szCs w:val="20"/>
    </w:rPr>
  </w:style>
  <w:style w:type="paragraph" w:styleId="Heading5">
    <w:name w:val="heading 5"/>
    <w:aliases w:val="Block Label"/>
    <w:basedOn w:val="Normal"/>
    <w:qFormat/>
    <w:rsid w:val="00F23D0E"/>
    <w:pPr>
      <w:outlineLvl w:val="4"/>
    </w:pPr>
    <w:rPr>
      <w:b/>
      <w:sz w:val="22"/>
      <w:szCs w:val="20"/>
    </w:rPr>
  </w:style>
  <w:style w:type="paragraph" w:styleId="Heading6">
    <w:name w:val="heading 6"/>
    <w:aliases w:val="Sub Label"/>
    <w:basedOn w:val="Heading5"/>
    <w:next w:val="BlockText"/>
    <w:qFormat/>
    <w:rsid w:val="00F23D0E"/>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3D0E"/>
    <w:pPr>
      <w:tabs>
        <w:tab w:val="center" w:pos="4680"/>
        <w:tab w:val="right" w:pos="9360"/>
      </w:tabs>
    </w:pPr>
    <w:rPr>
      <w:color w:val="auto"/>
      <w:lang w:val="x-none" w:eastAsia="x-non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F23D0E"/>
    <w:pPr>
      <w:pBdr>
        <w:top w:val="single" w:sz="6" w:space="1" w:color="000000"/>
        <w:between w:val="single" w:sz="6" w:space="1" w:color="auto"/>
      </w:pBdr>
      <w:spacing w:before="240"/>
      <w:ind w:left="1728"/>
    </w:pPr>
    <w:rPr>
      <w:szCs w:val="20"/>
    </w:rPr>
  </w:style>
  <w:style w:type="paragraph" w:styleId="BlockText">
    <w:name w:val="Block Text"/>
    <w:basedOn w:val="Normal"/>
    <w:rsid w:val="00F23D0E"/>
  </w:style>
  <w:style w:type="paragraph" w:customStyle="1" w:styleId="BulletText1">
    <w:name w:val="Bullet Text 1"/>
    <w:basedOn w:val="Normal"/>
    <w:rsid w:val="00F23D0E"/>
    <w:pPr>
      <w:numPr>
        <w:numId w:val="19"/>
      </w:numPr>
    </w:pPr>
    <w:rPr>
      <w:szCs w:val="20"/>
    </w:rPr>
  </w:style>
  <w:style w:type="paragraph" w:customStyle="1" w:styleId="BulletText2">
    <w:name w:val="Bullet Text 2"/>
    <w:basedOn w:val="Normal"/>
    <w:rsid w:val="00F23D0E"/>
    <w:pPr>
      <w:numPr>
        <w:numId w:val="22"/>
      </w:numPr>
    </w:pPr>
    <w:rPr>
      <w:szCs w:val="20"/>
    </w:rPr>
  </w:style>
  <w:style w:type="paragraph" w:customStyle="1" w:styleId="ContinuedOnNextPa">
    <w:name w:val="Continued On Next Pa"/>
    <w:basedOn w:val="Normal"/>
    <w:next w:val="Normal"/>
    <w:rsid w:val="00F23D0E"/>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F23D0E"/>
    <w:pPr>
      <w:spacing w:after="240"/>
    </w:pPr>
    <w:rPr>
      <w:b/>
      <w:sz w:val="22"/>
      <w:szCs w:val="20"/>
    </w:rPr>
  </w:style>
  <w:style w:type="paragraph" w:customStyle="1" w:styleId="MapTitleContinued">
    <w:name w:val="Map Title. Continued"/>
    <w:basedOn w:val="Normal"/>
    <w:next w:val="Normal"/>
    <w:rsid w:val="00F23D0E"/>
    <w:pPr>
      <w:spacing w:after="240"/>
    </w:pPr>
    <w:rPr>
      <w:rFonts w:ascii="Arial" w:hAnsi="Arial" w:cs="Arial"/>
      <w:b/>
      <w:sz w:val="32"/>
      <w:szCs w:val="20"/>
    </w:rPr>
  </w:style>
  <w:style w:type="paragraph" w:customStyle="1" w:styleId="MemoLine">
    <w:name w:val="Memo Line"/>
    <w:basedOn w:val="BlockLine"/>
    <w:next w:val="Normal"/>
    <w:rsid w:val="00F23D0E"/>
  </w:style>
  <w:style w:type="paragraph" w:styleId="Footer">
    <w:name w:val="footer"/>
    <w:basedOn w:val="Normal"/>
    <w:link w:val="FooterChar"/>
    <w:rsid w:val="00F23D0E"/>
    <w:pPr>
      <w:tabs>
        <w:tab w:val="center" w:pos="4680"/>
        <w:tab w:val="right" w:pos="9360"/>
      </w:tabs>
    </w:pPr>
    <w:rPr>
      <w:color w:val="auto"/>
      <w:lang w:val="x-none" w:eastAsia="x-none"/>
    </w:rPr>
  </w:style>
  <w:style w:type="character" w:styleId="PageNumber">
    <w:name w:val="page number"/>
    <w:basedOn w:val="DefaultParagraphFont"/>
  </w:style>
  <w:style w:type="paragraph" w:customStyle="1" w:styleId="TableText">
    <w:name w:val="Table Text"/>
    <w:basedOn w:val="Normal"/>
    <w:rsid w:val="00F23D0E"/>
    <w:rPr>
      <w:szCs w:val="20"/>
    </w:rPr>
  </w:style>
  <w:style w:type="paragraph" w:customStyle="1" w:styleId="NoteText">
    <w:name w:val="Note Text"/>
    <w:basedOn w:val="Normal"/>
    <w:rsid w:val="00F23D0E"/>
    <w:rPr>
      <w:szCs w:val="20"/>
    </w:rPr>
  </w:style>
  <w:style w:type="paragraph" w:customStyle="1" w:styleId="TableHeaderText">
    <w:name w:val="Table Header Text"/>
    <w:basedOn w:val="Normal"/>
    <w:rsid w:val="00F23D0E"/>
    <w:pPr>
      <w:jc w:val="center"/>
    </w:pPr>
    <w:rPr>
      <w:b/>
      <w:szCs w:val="20"/>
    </w:rPr>
  </w:style>
  <w:style w:type="paragraph" w:customStyle="1" w:styleId="EmbeddedText">
    <w:name w:val="Embedded Text"/>
    <w:basedOn w:val="Normal"/>
    <w:rsid w:val="00F23D0E"/>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F23D0E"/>
    <w:pPr>
      <w:ind w:left="480"/>
    </w:pPr>
  </w:style>
  <w:style w:type="paragraph" w:styleId="TOC4">
    <w:name w:val="toc 4"/>
    <w:basedOn w:val="Normal"/>
    <w:next w:val="Normal"/>
    <w:autoRedefine/>
    <w:uiPriority w:val="39"/>
    <w:rsid w:val="00F23D0E"/>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sid w:val="00F23D0E"/>
    <w:rPr>
      <w:color w:val="0000FF"/>
      <w:u w:val="single"/>
    </w:rPr>
  </w:style>
  <w:style w:type="paragraph" w:styleId="Caption">
    <w:name w:val="caption"/>
    <w:basedOn w:val="Normal"/>
    <w:next w:val="Normal"/>
    <w:qFormat/>
    <w:pPr>
      <w:spacing w:before="120" w:after="120"/>
    </w:pPr>
    <w:rPr>
      <w:b/>
    </w:rPr>
  </w:style>
  <w:style w:type="character" w:customStyle="1" w:styleId="Continued">
    <w:name w:val="Continued"/>
    <w:basedOn w:val="DefaultParagraphFont"/>
    <w:rPr>
      <w:rFonts w:ascii="Arial" w:hAnsi="Arial"/>
      <w:sz w:val="24"/>
    </w:rPr>
  </w:style>
  <w:style w:type="paragraph" w:customStyle="1" w:styleId="ContinuedBlockLabel">
    <w:name w:val="Continued Block Label"/>
    <w:basedOn w:val="Normal"/>
    <w:next w:val="Normal"/>
    <w:rsid w:val="00F23D0E"/>
    <w:pPr>
      <w:spacing w:after="240"/>
    </w:pPr>
    <w:rPr>
      <w:b/>
      <w:sz w:val="22"/>
      <w:szCs w:val="20"/>
    </w:rPr>
  </w:style>
  <w:style w:type="character" w:customStyle="1" w:styleId="Jump">
    <w:name w:val="Jump"/>
    <w:basedOn w:val="DefaultParagraphFont"/>
    <w:rPr>
      <w:color w:val="FF0000"/>
    </w:rPr>
  </w:style>
  <w:style w:type="paragraph" w:customStyle="1" w:styleId="PublicationTitle">
    <w:name w:val="Publication Title"/>
    <w:basedOn w:val="Normal"/>
    <w:next w:val="Heading4"/>
    <w:rsid w:val="00F23D0E"/>
    <w:pPr>
      <w:spacing w:after="240"/>
      <w:jc w:val="center"/>
    </w:pPr>
    <w:rPr>
      <w:rFonts w:ascii="Arial" w:hAnsi="Arial" w:cs="Arial"/>
      <w:b/>
      <w:sz w:val="32"/>
      <w:szCs w:val="20"/>
    </w:rPr>
  </w:style>
  <w:style w:type="paragraph" w:customStyle="1" w:styleId="TOCTitle">
    <w:name w:val="TOC Title"/>
    <w:basedOn w:val="Normal"/>
    <w:rsid w:val="00F23D0E"/>
    <w:pPr>
      <w:widowControl w:val="0"/>
    </w:pPr>
    <w:rPr>
      <w:rFonts w:ascii="Arial" w:hAnsi="Arial" w:cs="Arial"/>
      <w:b/>
      <w:sz w:val="32"/>
      <w:szCs w:val="20"/>
    </w:rPr>
  </w:style>
  <w:style w:type="paragraph" w:customStyle="1" w:styleId="TOCItem">
    <w:name w:val="TOCItem"/>
    <w:basedOn w:val="Normal"/>
    <w:rsid w:val="00F23D0E"/>
    <w:pPr>
      <w:tabs>
        <w:tab w:val="left" w:leader="dot" w:pos="7061"/>
        <w:tab w:val="right" w:pos="7524"/>
      </w:tabs>
      <w:spacing w:before="60" w:after="60"/>
      <w:ind w:right="465"/>
    </w:pPr>
    <w:rPr>
      <w:szCs w:val="20"/>
    </w:rPr>
  </w:style>
  <w:style w:type="paragraph" w:customStyle="1" w:styleId="TOCStem">
    <w:name w:val="TOCStem"/>
    <w:basedOn w:val="Normal"/>
    <w:rsid w:val="00F23D0E"/>
    <w:rPr>
      <w:szCs w:val="20"/>
    </w:rPr>
  </w:style>
  <w:style w:type="character" w:styleId="FollowedHyperlink">
    <w:name w:val="FollowedHyperlink"/>
    <w:rsid w:val="00F23D0E"/>
    <w:rPr>
      <w:color w:val="800080"/>
      <w:u w:val="single"/>
    </w:rPr>
  </w:style>
  <w:style w:type="paragraph" w:customStyle="1" w:styleId="BulletText3">
    <w:name w:val="Bullet Text 3"/>
    <w:basedOn w:val="Normal"/>
    <w:rsid w:val="00F23D0E"/>
    <w:pPr>
      <w:numPr>
        <w:numId w:val="21"/>
      </w:numPr>
      <w:tabs>
        <w:tab w:val="clear" w:pos="173"/>
      </w:tabs>
      <w:ind w:left="533" w:hanging="173"/>
    </w:pPr>
    <w:rPr>
      <w:szCs w:val="20"/>
    </w:rPr>
  </w:style>
  <w:style w:type="character" w:styleId="HTMLAcronym">
    <w:name w:val="HTML Acronym"/>
    <w:basedOn w:val="DefaultParagraphFont"/>
    <w:rsid w:val="00F23D0E"/>
  </w:style>
  <w:style w:type="paragraph" w:customStyle="1" w:styleId="IMTOC">
    <w:name w:val="IMTOC"/>
    <w:rsid w:val="00F23D0E"/>
    <w:rPr>
      <w:sz w:val="24"/>
    </w:rPr>
  </w:style>
  <w:style w:type="character" w:styleId="CommentReference">
    <w:name w:val="annotation reference"/>
    <w:basedOn w:val="DefaultParagraphFont"/>
    <w:semiHidden/>
    <w:rsid w:val="00A60080"/>
    <w:rPr>
      <w:sz w:val="16"/>
      <w:szCs w:val="16"/>
    </w:rPr>
  </w:style>
  <w:style w:type="paragraph" w:styleId="CommentText">
    <w:name w:val="annotation text"/>
    <w:basedOn w:val="Normal"/>
    <w:semiHidden/>
    <w:rsid w:val="00A60080"/>
    <w:rPr>
      <w:sz w:val="20"/>
      <w:szCs w:val="20"/>
    </w:rPr>
  </w:style>
  <w:style w:type="paragraph" w:styleId="CommentSubject">
    <w:name w:val="annotation subject"/>
    <w:basedOn w:val="CommentText"/>
    <w:next w:val="CommentText"/>
    <w:semiHidden/>
    <w:rsid w:val="00A60080"/>
    <w:rPr>
      <w:b/>
      <w:bCs/>
    </w:rPr>
  </w:style>
  <w:style w:type="paragraph" w:styleId="BalloonText">
    <w:name w:val="Balloon Text"/>
    <w:basedOn w:val="Normal"/>
    <w:semiHidden/>
    <w:rsid w:val="00F23D0E"/>
    <w:rPr>
      <w:rFonts w:ascii="Tahoma" w:hAnsi="Tahoma" w:cs="Tahoma"/>
      <w:sz w:val="16"/>
      <w:szCs w:val="16"/>
    </w:rPr>
  </w:style>
  <w:style w:type="table" w:styleId="TableGrid">
    <w:name w:val="Table Grid"/>
    <w:basedOn w:val="TableNormal"/>
    <w:rsid w:val="00F23D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F23D0E"/>
    <w:rPr>
      <w:sz w:val="24"/>
      <w:szCs w:val="24"/>
      <w:lang w:val="x-none" w:eastAsia="x-none"/>
    </w:rPr>
  </w:style>
  <w:style w:type="character" w:customStyle="1" w:styleId="FooterChar">
    <w:name w:val="Footer Char"/>
    <w:link w:val="Footer"/>
    <w:rsid w:val="00F23D0E"/>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3D0E"/>
    <w:rPr>
      <w:color w:val="000000"/>
      <w:sz w:val="24"/>
      <w:szCs w:val="24"/>
    </w:rPr>
  </w:style>
  <w:style w:type="paragraph" w:styleId="Heading1">
    <w:name w:val="heading 1"/>
    <w:aliases w:val="Part Title"/>
    <w:basedOn w:val="Normal"/>
    <w:next w:val="Heading4"/>
    <w:qFormat/>
    <w:rsid w:val="00F23D0E"/>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F23D0E"/>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F23D0E"/>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F23D0E"/>
    <w:pPr>
      <w:spacing w:after="240"/>
      <w:outlineLvl w:val="3"/>
    </w:pPr>
    <w:rPr>
      <w:rFonts w:ascii="Arial" w:hAnsi="Arial" w:cs="Arial"/>
      <w:b/>
      <w:sz w:val="32"/>
      <w:szCs w:val="20"/>
    </w:rPr>
  </w:style>
  <w:style w:type="paragraph" w:styleId="Heading5">
    <w:name w:val="heading 5"/>
    <w:aliases w:val="Block Label"/>
    <w:basedOn w:val="Normal"/>
    <w:qFormat/>
    <w:rsid w:val="00F23D0E"/>
    <w:pPr>
      <w:outlineLvl w:val="4"/>
    </w:pPr>
    <w:rPr>
      <w:b/>
      <w:sz w:val="22"/>
      <w:szCs w:val="20"/>
    </w:rPr>
  </w:style>
  <w:style w:type="paragraph" w:styleId="Heading6">
    <w:name w:val="heading 6"/>
    <w:aliases w:val="Sub Label"/>
    <w:basedOn w:val="Heading5"/>
    <w:next w:val="BlockText"/>
    <w:qFormat/>
    <w:rsid w:val="00F23D0E"/>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3D0E"/>
    <w:pPr>
      <w:tabs>
        <w:tab w:val="center" w:pos="4680"/>
        <w:tab w:val="right" w:pos="9360"/>
      </w:tabs>
    </w:pPr>
    <w:rPr>
      <w:color w:val="auto"/>
      <w:lang w:val="x-none" w:eastAsia="x-non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F23D0E"/>
    <w:pPr>
      <w:pBdr>
        <w:top w:val="single" w:sz="6" w:space="1" w:color="000000"/>
        <w:between w:val="single" w:sz="6" w:space="1" w:color="auto"/>
      </w:pBdr>
      <w:spacing w:before="240"/>
      <w:ind w:left="1728"/>
    </w:pPr>
    <w:rPr>
      <w:szCs w:val="20"/>
    </w:rPr>
  </w:style>
  <w:style w:type="paragraph" w:styleId="BlockText">
    <w:name w:val="Block Text"/>
    <w:basedOn w:val="Normal"/>
    <w:rsid w:val="00F23D0E"/>
  </w:style>
  <w:style w:type="paragraph" w:customStyle="1" w:styleId="BulletText1">
    <w:name w:val="Bullet Text 1"/>
    <w:basedOn w:val="Normal"/>
    <w:rsid w:val="00F23D0E"/>
    <w:pPr>
      <w:numPr>
        <w:numId w:val="19"/>
      </w:numPr>
    </w:pPr>
    <w:rPr>
      <w:szCs w:val="20"/>
    </w:rPr>
  </w:style>
  <w:style w:type="paragraph" w:customStyle="1" w:styleId="BulletText2">
    <w:name w:val="Bullet Text 2"/>
    <w:basedOn w:val="Normal"/>
    <w:rsid w:val="00F23D0E"/>
    <w:pPr>
      <w:numPr>
        <w:numId w:val="22"/>
      </w:numPr>
    </w:pPr>
    <w:rPr>
      <w:szCs w:val="20"/>
    </w:rPr>
  </w:style>
  <w:style w:type="paragraph" w:customStyle="1" w:styleId="ContinuedOnNextPa">
    <w:name w:val="Continued On Next Pa"/>
    <w:basedOn w:val="Normal"/>
    <w:next w:val="Normal"/>
    <w:rsid w:val="00F23D0E"/>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F23D0E"/>
    <w:pPr>
      <w:spacing w:after="240"/>
    </w:pPr>
    <w:rPr>
      <w:b/>
      <w:sz w:val="22"/>
      <w:szCs w:val="20"/>
    </w:rPr>
  </w:style>
  <w:style w:type="paragraph" w:customStyle="1" w:styleId="MapTitleContinued">
    <w:name w:val="Map Title. Continued"/>
    <w:basedOn w:val="Normal"/>
    <w:next w:val="Normal"/>
    <w:rsid w:val="00F23D0E"/>
    <w:pPr>
      <w:spacing w:after="240"/>
    </w:pPr>
    <w:rPr>
      <w:rFonts w:ascii="Arial" w:hAnsi="Arial" w:cs="Arial"/>
      <w:b/>
      <w:sz w:val="32"/>
      <w:szCs w:val="20"/>
    </w:rPr>
  </w:style>
  <w:style w:type="paragraph" w:customStyle="1" w:styleId="MemoLine">
    <w:name w:val="Memo Line"/>
    <w:basedOn w:val="BlockLine"/>
    <w:next w:val="Normal"/>
    <w:rsid w:val="00F23D0E"/>
  </w:style>
  <w:style w:type="paragraph" w:styleId="Footer">
    <w:name w:val="footer"/>
    <w:basedOn w:val="Normal"/>
    <w:link w:val="FooterChar"/>
    <w:rsid w:val="00F23D0E"/>
    <w:pPr>
      <w:tabs>
        <w:tab w:val="center" w:pos="4680"/>
        <w:tab w:val="right" w:pos="9360"/>
      </w:tabs>
    </w:pPr>
    <w:rPr>
      <w:color w:val="auto"/>
      <w:lang w:val="x-none" w:eastAsia="x-none"/>
    </w:rPr>
  </w:style>
  <w:style w:type="character" w:styleId="PageNumber">
    <w:name w:val="page number"/>
    <w:basedOn w:val="DefaultParagraphFont"/>
  </w:style>
  <w:style w:type="paragraph" w:customStyle="1" w:styleId="TableText">
    <w:name w:val="Table Text"/>
    <w:basedOn w:val="Normal"/>
    <w:rsid w:val="00F23D0E"/>
    <w:rPr>
      <w:szCs w:val="20"/>
    </w:rPr>
  </w:style>
  <w:style w:type="paragraph" w:customStyle="1" w:styleId="NoteText">
    <w:name w:val="Note Text"/>
    <w:basedOn w:val="Normal"/>
    <w:rsid w:val="00F23D0E"/>
    <w:rPr>
      <w:szCs w:val="20"/>
    </w:rPr>
  </w:style>
  <w:style w:type="paragraph" w:customStyle="1" w:styleId="TableHeaderText">
    <w:name w:val="Table Header Text"/>
    <w:basedOn w:val="Normal"/>
    <w:rsid w:val="00F23D0E"/>
    <w:pPr>
      <w:jc w:val="center"/>
    </w:pPr>
    <w:rPr>
      <w:b/>
      <w:szCs w:val="20"/>
    </w:rPr>
  </w:style>
  <w:style w:type="paragraph" w:customStyle="1" w:styleId="EmbeddedText">
    <w:name w:val="Embedded Text"/>
    <w:basedOn w:val="Normal"/>
    <w:rsid w:val="00F23D0E"/>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F23D0E"/>
    <w:pPr>
      <w:ind w:left="480"/>
    </w:pPr>
  </w:style>
  <w:style w:type="paragraph" w:styleId="TOC4">
    <w:name w:val="toc 4"/>
    <w:basedOn w:val="Normal"/>
    <w:next w:val="Normal"/>
    <w:autoRedefine/>
    <w:uiPriority w:val="39"/>
    <w:rsid w:val="00F23D0E"/>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sid w:val="00F23D0E"/>
    <w:rPr>
      <w:color w:val="0000FF"/>
      <w:u w:val="single"/>
    </w:rPr>
  </w:style>
  <w:style w:type="paragraph" w:styleId="Caption">
    <w:name w:val="caption"/>
    <w:basedOn w:val="Normal"/>
    <w:next w:val="Normal"/>
    <w:qFormat/>
    <w:pPr>
      <w:spacing w:before="120" w:after="120"/>
    </w:pPr>
    <w:rPr>
      <w:b/>
    </w:rPr>
  </w:style>
  <w:style w:type="character" w:customStyle="1" w:styleId="Continued">
    <w:name w:val="Continued"/>
    <w:basedOn w:val="DefaultParagraphFont"/>
    <w:rPr>
      <w:rFonts w:ascii="Arial" w:hAnsi="Arial"/>
      <w:sz w:val="24"/>
    </w:rPr>
  </w:style>
  <w:style w:type="paragraph" w:customStyle="1" w:styleId="ContinuedBlockLabel">
    <w:name w:val="Continued Block Label"/>
    <w:basedOn w:val="Normal"/>
    <w:next w:val="Normal"/>
    <w:rsid w:val="00F23D0E"/>
    <w:pPr>
      <w:spacing w:after="240"/>
    </w:pPr>
    <w:rPr>
      <w:b/>
      <w:sz w:val="22"/>
      <w:szCs w:val="20"/>
    </w:rPr>
  </w:style>
  <w:style w:type="character" w:customStyle="1" w:styleId="Jump">
    <w:name w:val="Jump"/>
    <w:basedOn w:val="DefaultParagraphFont"/>
    <w:rPr>
      <w:color w:val="FF0000"/>
    </w:rPr>
  </w:style>
  <w:style w:type="paragraph" w:customStyle="1" w:styleId="PublicationTitle">
    <w:name w:val="Publication Title"/>
    <w:basedOn w:val="Normal"/>
    <w:next w:val="Heading4"/>
    <w:rsid w:val="00F23D0E"/>
    <w:pPr>
      <w:spacing w:after="240"/>
      <w:jc w:val="center"/>
    </w:pPr>
    <w:rPr>
      <w:rFonts w:ascii="Arial" w:hAnsi="Arial" w:cs="Arial"/>
      <w:b/>
      <w:sz w:val="32"/>
      <w:szCs w:val="20"/>
    </w:rPr>
  </w:style>
  <w:style w:type="paragraph" w:customStyle="1" w:styleId="TOCTitle">
    <w:name w:val="TOC Title"/>
    <w:basedOn w:val="Normal"/>
    <w:rsid w:val="00F23D0E"/>
    <w:pPr>
      <w:widowControl w:val="0"/>
    </w:pPr>
    <w:rPr>
      <w:rFonts w:ascii="Arial" w:hAnsi="Arial" w:cs="Arial"/>
      <w:b/>
      <w:sz w:val="32"/>
      <w:szCs w:val="20"/>
    </w:rPr>
  </w:style>
  <w:style w:type="paragraph" w:customStyle="1" w:styleId="TOCItem">
    <w:name w:val="TOCItem"/>
    <w:basedOn w:val="Normal"/>
    <w:rsid w:val="00F23D0E"/>
    <w:pPr>
      <w:tabs>
        <w:tab w:val="left" w:leader="dot" w:pos="7061"/>
        <w:tab w:val="right" w:pos="7524"/>
      </w:tabs>
      <w:spacing w:before="60" w:after="60"/>
      <w:ind w:right="465"/>
    </w:pPr>
    <w:rPr>
      <w:szCs w:val="20"/>
    </w:rPr>
  </w:style>
  <w:style w:type="paragraph" w:customStyle="1" w:styleId="TOCStem">
    <w:name w:val="TOCStem"/>
    <w:basedOn w:val="Normal"/>
    <w:rsid w:val="00F23D0E"/>
    <w:rPr>
      <w:szCs w:val="20"/>
    </w:rPr>
  </w:style>
  <w:style w:type="character" w:styleId="FollowedHyperlink">
    <w:name w:val="FollowedHyperlink"/>
    <w:rsid w:val="00F23D0E"/>
    <w:rPr>
      <w:color w:val="800080"/>
      <w:u w:val="single"/>
    </w:rPr>
  </w:style>
  <w:style w:type="paragraph" w:customStyle="1" w:styleId="BulletText3">
    <w:name w:val="Bullet Text 3"/>
    <w:basedOn w:val="Normal"/>
    <w:rsid w:val="00F23D0E"/>
    <w:pPr>
      <w:numPr>
        <w:numId w:val="21"/>
      </w:numPr>
      <w:tabs>
        <w:tab w:val="clear" w:pos="173"/>
      </w:tabs>
      <w:ind w:left="533" w:hanging="173"/>
    </w:pPr>
    <w:rPr>
      <w:szCs w:val="20"/>
    </w:rPr>
  </w:style>
  <w:style w:type="character" w:styleId="HTMLAcronym">
    <w:name w:val="HTML Acronym"/>
    <w:basedOn w:val="DefaultParagraphFont"/>
    <w:rsid w:val="00F23D0E"/>
  </w:style>
  <w:style w:type="paragraph" w:customStyle="1" w:styleId="IMTOC">
    <w:name w:val="IMTOC"/>
    <w:rsid w:val="00F23D0E"/>
    <w:rPr>
      <w:sz w:val="24"/>
    </w:rPr>
  </w:style>
  <w:style w:type="character" w:styleId="CommentReference">
    <w:name w:val="annotation reference"/>
    <w:basedOn w:val="DefaultParagraphFont"/>
    <w:semiHidden/>
    <w:rsid w:val="00A60080"/>
    <w:rPr>
      <w:sz w:val="16"/>
      <w:szCs w:val="16"/>
    </w:rPr>
  </w:style>
  <w:style w:type="paragraph" w:styleId="CommentText">
    <w:name w:val="annotation text"/>
    <w:basedOn w:val="Normal"/>
    <w:semiHidden/>
    <w:rsid w:val="00A60080"/>
    <w:rPr>
      <w:sz w:val="20"/>
      <w:szCs w:val="20"/>
    </w:rPr>
  </w:style>
  <w:style w:type="paragraph" w:styleId="CommentSubject">
    <w:name w:val="annotation subject"/>
    <w:basedOn w:val="CommentText"/>
    <w:next w:val="CommentText"/>
    <w:semiHidden/>
    <w:rsid w:val="00A60080"/>
    <w:rPr>
      <w:b/>
      <w:bCs/>
    </w:rPr>
  </w:style>
  <w:style w:type="paragraph" w:styleId="BalloonText">
    <w:name w:val="Balloon Text"/>
    <w:basedOn w:val="Normal"/>
    <w:semiHidden/>
    <w:rsid w:val="00F23D0E"/>
    <w:rPr>
      <w:rFonts w:ascii="Tahoma" w:hAnsi="Tahoma" w:cs="Tahoma"/>
      <w:sz w:val="16"/>
      <w:szCs w:val="16"/>
    </w:rPr>
  </w:style>
  <w:style w:type="table" w:styleId="TableGrid">
    <w:name w:val="Table Grid"/>
    <w:basedOn w:val="TableNormal"/>
    <w:rsid w:val="00F23D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F23D0E"/>
    <w:rPr>
      <w:sz w:val="24"/>
      <w:szCs w:val="24"/>
      <w:lang w:val="x-none" w:eastAsia="x-none"/>
    </w:rPr>
  </w:style>
  <w:style w:type="character" w:customStyle="1" w:styleId="FooterChar">
    <w:name w:val="Footer Char"/>
    <w:link w:val="Footer"/>
    <w:rsid w:val="00F23D0E"/>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benefits.va.gov/warms/docs/regs/38CFR/BOOKC/PART4/S4_97.doc" TargetMode="External"/><Relationship Id="rId18" Type="http://schemas.openxmlformats.org/officeDocument/2006/relationships/hyperlink" Target="http://www.benefits.va.gov/warms/docs/regs/38CFR/BOOKC/PART4/S4_14.DOC" TargetMode="External"/><Relationship Id="rId26" Type="http://schemas.openxmlformats.org/officeDocument/2006/relationships/hyperlink" Target="http://www.benefits.va.gov/warms/docs/regs/38CFR/BOOKB/PART3/S3_370.DOC" TargetMode="External"/><Relationship Id="rId3" Type="http://schemas.openxmlformats.org/officeDocument/2006/relationships/customXml" Target="../customXml/item2.xml"/><Relationship Id="rId21" Type="http://schemas.openxmlformats.org/officeDocument/2006/relationships/hyperlink" Target="http://www.law.cornell.edu/uscode/text/38/1159"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benefits.va.gov/warms/docs/regs/38CFR/BOOKC/PART4/S4_73.doc" TargetMode="External"/><Relationship Id="rId25" Type="http://schemas.openxmlformats.org/officeDocument/2006/relationships/hyperlink" Target="http://www.benefits.va.gov/warms/docs/regs/38CFR/BOOKB/PART3/S3_371.DOC" TargetMode="External"/><Relationship Id="rId33"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www.benefits.va.gov/warms/docs/regs/38CFR/BOOKC/PART4/S4_97.doc" TargetMode="External"/><Relationship Id="rId20" Type="http://schemas.openxmlformats.org/officeDocument/2006/relationships/hyperlink" Target="http://www.benefits.va.gov/WARMS/docs/regs/38cfr/bookb/part3/S3_159.doc" TargetMode="External"/><Relationship Id="rId29" Type="http://schemas.openxmlformats.org/officeDocument/2006/relationships/hyperlink" Target="http://www.benefits.va.gov/warms/docs/regs/38CFR/BOOKB/PART3/S3_374.DOC"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benefits.va.gov/warms/docs/regs/38CFR/BOOKB/PART3/S3_370.DOC"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benefits.va.gov/warms/docs/regs/38CFR/BOOKC/PART4/S4_96.doc" TargetMode="External"/><Relationship Id="rId23" Type="http://schemas.openxmlformats.org/officeDocument/2006/relationships/hyperlink" Target="http://ajrccm.atsjournals.org/cgi/content/full/161/4/1376" TargetMode="External"/><Relationship Id="rId28" Type="http://schemas.openxmlformats.org/officeDocument/2006/relationships/hyperlink" Target="imi-internal:M21-1MRIV.ii.1.H.26"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vbaw.vba.va.gov/bl/21/advisory/CAVCDAD.htm" TargetMode="External"/><Relationship Id="rId31" Type="http://schemas.openxmlformats.org/officeDocument/2006/relationships/hyperlink" Target="http://www.benefits.va.gov/warms/docs/regs/38CFR/BOOKB/PART3/S3_655.DOC"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benefits.va.gov/warms/docs/regs/38CFR/BOOKC/PART4/S4_96.doc" TargetMode="External"/><Relationship Id="rId22" Type="http://schemas.openxmlformats.org/officeDocument/2006/relationships/hyperlink" Target="http://www.benefits.va.gov/WARMS/docs/regs/38cfr/bookb/part3/S3_105.doc" TargetMode="External"/><Relationship Id="rId27" Type="http://schemas.openxmlformats.org/officeDocument/2006/relationships/hyperlink" Target="http://www.benefits.va.gov/warms/docs/regs/38CFR/BOOKB/PART3/S3_371.DOC" TargetMode="External"/><Relationship Id="rId30" Type="http://schemas.openxmlformats.org/officeDocument/2006/relationships/hyperlink" Target="http://www.benefits.va.gov/warms/docs/regs/38CFR/BOOKB/PART3/S3_374.DOC" TargetMode="External"/><Relationship Id="rId35"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c12b2768c8e4029759d13a5a5b3dfa4c">
  <xsd:schema xmlns:xsd="http://www.w3.org/2001/XMLSchema" xmlns:xs="http://www.w3.org/2001/XMLSchema" xmlns:p="http://schemas.microsoft.com/office/2006/metadata/properties" xmlns:ns2="b438dcf7-3998-4283-b7fc-0ec6fa8e430f" targetNamespace="http://schemas.microsoft.com/office/2006/metadata/properties" ma:root="true" ma:fieldsID="a81d78088bb395a281ca6ac745992e25"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Props1.xml><?xml version="1.0" encoding="utf-8"?>
<ds:datastoreItem xmlns:ds="http://schemas.openxmlformats.org/officeDocument/2006/customXml" ds:itemID="{0EFAC7E6-64AA-4F9C-B798-4B46A04AD211}">
  <ds:schemaRefs>
    <ds:schemaRef ds:uri="http://schemas.microsoft.com/office/2006/metadata/longProperties"/>
  </ds:schemaRefs>
</ds:datastoreItem>
</file>

<file path=customXml/itemProps2.xml><?xml version="1.0" encoding="utf-8"?>
<ds:datastoreItem xmlns:ds="http://schemas.openxmlformats.org/officeDocument/2006/customXml" ds:itemID="{AF2DC5D5-9AD6-4DCF-AA17-CB93434ED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C3C5A8-CA1E-4AAE-8FA0-850163C31F3D}">
  <ds:schemaRefs>
    <ds:schemaRef ds:uri="http://schemas.microsoft.com/sharepoint/v3/contenttype/forms"/>
  </ds:schemaRefs>
</ds:datastoreItem>
</file>

<file path=customXml/itemProps4.xml><?xml version="1.0" encoding="utf-8"?>
<ds:datastoreItem xmlns:ds="http://schemas.openxmlformats.org/officeDocument/2006/customXml" ds:itemID="{51148359-33A4-4AEC-A256-A58353D5F650}">
  <ds:schemaRefs>
    <ds:schemaRef ds:uri="http://schemas.microsoft.com/office/infopath/2007/PartnerControls"/>
    <ds:schemaRef ds:uri="http://purl.org/dc/elements/1.1/"/>
    <ds:schemaRef ds:uri="http://schemas.openxmlformats.org/package/2006/metadata/core-properties"/>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b438dcf7-3998-4283-b7fc-0ec6fa8e430f"/>
  </ds:schemaRefs>
</ds:datastoreItem>
</file>

<file path=docProps/app.xml><?xml version="1.0" encoding="utf-8"?>
<Properties xmlns="http://schemas.openxmlformats.org/officeDocument/2006/extended-properties" xmlns:vt="http://schemas.openxmlformats.org/officeDocument/2006/docPropsVTypes">
  <Template>FSPro.dotm</Template>
  <TotalTime>419</TotalTime>
  <Pages>12</Pages>
  <Words>2956</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Respiratory Conditions (U.S. Department of Veterans Affairs)</vt:lpstr>
    </vt:vector>
  </TitlesOfParts>
  <Company>VA</Company>
  <LinksUpToDate>false</LinksUpToDate>
  <CharactersWithSpaces>19767</CharactersWithSpaces>
  <SharedDoc>false</SharedDoc>
  <HLinks>
    <vt:vector size="60" baseType="variant">
      <vt:variant>
        <vt:i4>458851</vt:i4>
      </vt:variant>
      <vt:variant>
        <vt:i4>39</vt:i4>
      </vt:variant>
      <vt:variant>
        <vt:i4>0</vt:i4>
      </vt:variant>
      <vt:variant>
        <vt:i4>5</vt:i4>
      </vt:variant>
      <vt:variant>
        <vt:lpwstr>http://www.benefits.va.gov/warms/docs/regs/38CFR/BOOKB/PART3/S3_655.DOC</vt:lpwstr>
      </vt:variant>
      <vt:variant>
        <vt:lpwstr/>
      </vt:variant>
      <vt:variant>
        <vt:i4>327783</vt:i4>
      </vt:variant>
      <vt:variant>
        <vt:i4>33</vt:i4>
      </vt:variant>
      <vt:variant>
        <vt:i4>0</vt:i4>
      </vt:variant>
      <vt:variant>
        <vt:i4>5</vt:i4>
      </vt:variant>
      <vt:variant>
        <vt:lpwstr>http://www.benefits.va.gov/warms/docs/regs/38CFR/BOOKB/PART3/S3_374.DOC</vt:lpwstr>
      </vt:variant>
      <vt:variant>
        <vt:lpwstr/>
      </vt:variant>
      <vt:variant>
        <vt:i4>327783</vt:i4>
      </vt:variant>
      <vt:variant>
        <vt:i4>30</vt:i4>
      </vt:variant>
      <vt:variant>
        <vt:i4>0</vt:i4>
      </vt:variant>
      <vt:variant>
        <vt:i4>5</vt:i4>
      </vt:variant>
      <vt:variant>
        <vt:lpwstr>http://www.benefits.va.gov/warms/docs/regs/38CFR/BOOKB/PART3/S3_374.DOC</vt:lpwstr>
      </vt:variant>
      <vt:variant>
        <vt:lpwstr/>
      </vt:variant>
      <vt:variant>
        <vt:i4>5308419</vt:i4>
      </vt:variant>
      <vt:variant>
        <vt:i4>27</vt:i4>
      </vt:variant>
      <vt:variant>
        <vt:i4>0</vt:i4>
      </vt:variant>
      <vt:variant>
        <vt:i4>5</vt:i4>
      </vt:variant>
      <vt:variant>
        <vt:lpwstr>imi-internal:M21-1MRIV.ii.1.H.26</vt:lpwstr>
      </vt:variant>
      <vt:variant>
        <vt:lpwstr/>
      </vt:variant>
      <vt:variant>
        <vt:i4>327778</vt:i4>
      </vt:variant>
      <vt:variant>
        <vt:i4>24</vt:i4>
      </vt:variant>
      <vt:variant>
        <vt:i4>0</vt:i4>
      </vt:variant>
      <vt:variant>
        <vt:i4>5</vt:i4>
      </vt:variant>
      <vt:variant>
        <vt:lpwstr>http://www.benefits.va.gov/warms/docs/regs/38CFR/BOOKB/PART3/S3_371.DOC</vt:lpwstr>
      </vt:variant>
      <vt:variant>
        <vt:lpwstr/>
      </vt:variant>
      <vt:variant>
        <vt:i4>327779</vt:i4>
      </vt:variant>
      <vt:variant>
        <vt:i4>21</vt:i4>
      </vt:variant>
      <vt:variant>
        <vt:i4>0</vt:i4>
      </vt:variant>
      <vt:variant>
        <vt:i4>5</vt:i4>
      </vt:variant>
      <vt:variant>
        <vt:lpwstr>http://www.benefits.va.gov/warms/docs/regs/38CFR/BOOKB/PART3/S3_370.DOC</vt:lpwstr>
      </vt:variant>
      <vt:variant>
        <vt:lpwstr/>
      </vt:variant>
      <vt:variant>
        <vt:i4>327778</vt:i4>
      </vt:variant>
      <vt:variant>
        <vt:i4>18</vt:i4>
      </vt:variant>
      <vt:variant>
        <vt:i4>0</vt:i4>
      </vt:variant>
      <vt:variant>
        <vt:i4>5</vt:i4>
      </vt:variant>
      <vt:variant>
        <vt:lpwstr>http://www.benefits.va.gov/warms/docs/regs/38CFR/BOOKB/PART3/S3_371.DOC</vt:lpwstr>
      </vt:variant>
      <vt:variant>
        <vt:lpwstr/>
      </vt:variant>
      <vt:variant>
        <vt:i4>327779</vt:i4>
      </vt:variant>
      <vt:variant>
        <vt:i4>15</vt:i4>
      </vt:variant>
      <vt:variant>
        <vt:i4>0</vt:i4>
      </vt:variant>
      <vt:variant>
        <vt:i4>5</vt:i4>
      </vt:variant>
      <vt:variant>
        <vt:lpwstr>http://www.benefits.va.gov/warms/docs/regs/38CFR/BOOKB/PART3/S3_370.DOC</vt:lpwstr>
      </vt:variant>
      <vt:variant>
        <vt:lpwstr/>
      </vt:variant>
      <vt:variant>
        <vt:i4>5636174</vt:i4>
      </vt:variant>
      <vt:variant>
        <vt:i4>6</vt:i4>
      </vt:variant>
      <vt:variant>
        <vt:i4>0</vt:i4>
      </vt:variant>
      <vt:variant>
        <vt:i4>5</vt:i4>
      </vt:variant>
      <vt:variant>
        <vt:lpwstr>http://ajrccm.atsjournals.org/cgi/content/full/161/4/1376</vt:lpwstr>
      </vt:variant>
      <vt:variant>
        <vt:lpwstr/>
      </vt:variant>
      <vt:variant>
        <vt:i4>4522107</vt:i4>
      </vt:variant>
      <vt:variant>
        <vt:i4>3</vt:i4>
      </vt:variant>
      <vt:variant>
        <vt:i4>0</vt:i4>
      </vt:variant>
      <vt:variant>
        <vt:i4>5</vt:i4>
      </vt:variant>
      <vt:variant>
        <vt:lpwstr>http://www.benefits.va.gov/warms/docs/regs/38CFR/BOOKC/PART4/S4_97.DOC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Conditions (U.S. Department of Veterans Affairs)</dc:title>
  <dc:subject>Rating Respiratory Conditions</dc:subject>
  <dc:creator>Department of Veterans Affairs</dc:creator>
  <cp:keywords>respiratory, tuberculosis, sleep apnea, sleep study, arrested tuberculosis, coexisting, infections, pneumothorax, pyramiding</cp:keywords>
  <dc:description>Rating concepts to consider for respiratory conditions, including co-exisiting respiratory conditions, sleep apnea, and tuberculosis.</dc:description>
  <cp:lastModifiedBy>Mazar, Leah B., VBAVACO</cp:lastModifiedBy>
  <cp:revision>33</cp:revision>
  <cp:lastPrinted>2011-02-15T17:17:00Z</cp:lastPrinted>
  <dcterms:created xsi:type="dcterms:W3CDTF">2014-08-21T20:34:00Z</dcterms:created>
  <dcterms:modified xsi:type="dcterms:W3CDTF">2014-09-24T18:43:00Z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2007</vt:lpwstr>
  </property>
  <property fmtid="{D5CDD505-2E9C-101B-9397-08002B2CF9AE}" pid="3" name="DateReviewed">
    <vt:lpwstr>20140822</vt:lpwstr>
  </property>
  <property fmtid="{D5CDD505-2E9C-101B-9397-08002B2CF9AE}" pid="4" name="Language">
    <vt:lpwstr>en</vt:lpwstr>
  </property>
  <property fmtid="{D5CDD505-2E9C-101B-9397-08002B2CF9AE}" pid="5" name="Type">
    <vt:lpwstr>Manual</vt:lpwstr>
  </property>
  <property fmtid="{D5CDD505-2E9C-101B-9397-08002B2CF9AE}" pid="6" name="Creator">
    <vt:lpwstr>Department of Veterans Affairs, Veterans Benefits Administration, Compensation Service, Procedures</vt:lpwstr>
  </property>
</Properties>
</file>